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86B5" w14:textId="196376B0" w:rsidR="00ED09AA" w:rsidRPr="004736A8" w:rsidRDefault="00ED09AA" w:rsidP="005514A4">
      <w:pPr>
        <w:pStyle w:val="Caption"/>
        <w:keepNext/>
        <w:rPr>
          <w:rFonts w:ascii="Times New Roman" w:hAnsi="Times New Roman" w:cs="Times New Roman"/>
          <w:b/>
          <w:bCs/>
          <w:i w:val="0"/>
          <w:iCs w:val="0"/>
          <w:color w:val="000000" w:themeColor="text1"/>
          <w:sz w:val="20"/>
          <w:szCs w:val="20"/>
        </w:rPr>
      </w:pPr>
      <w:r w:rsidRPr="004736A8">
        <w:rPr>
          <w:rFonts w:ascii="Times New Roman" w:hAnsi="Times New Roman" w:cs="Times New Roman"/>
          <w:b/>
          <w:bCs/>
          <w:i w:val="0"/>
          <w:iCs w:val="0"/>
          <w:color w:val="000000" w:themeColor="text1"/>
          <w:sz w:val="20"/>
          <w:szCs w:val="20"/>
        </w:rPr>
        <w:t xml:space="preserve">Supplementary Table </w:t>
      </w:r>
      <w:r w:rsidRPr="004736A8">
        <w:rPr>
          <w:rFonts w:ascii="Times New Roman" w:hAnsi="Times New Roman" w:cs="Times New Roman"/>
          <w:b/>
          <w:bCs/>
          <w:i w:val="0"/>
          <w:iCs w:val="0"/>
          <w:color w:val="000000" w:themeColor="text1"/>
          <w:sz w:val="20"/>
          <w:szCs w:val="20"/>
        </w:rPr>
        <w:fldChar w:fldCharType="begin"/>
      </w:r>
      <w:r w:rsidRPr="004736A8">
        <w:rPr>
          <w:rFonts w:ascii="Times New Roman" w:hAnsi="Times New Roman" w:cs="Times New Roman"/>
          <w:b/>
          <w:bCs/>
          <w:i w:val="0"/>
          <w:iCs w:val="0"/>
          <w:color w:val="000000" w:themeColor="text1"/>
          <w:sz w:val="20"/>
          <w:szCs w:val="20"/>
        </w:rPr>
        <w:instrText xml:space="preserve"> SEQ Table \* ARABIC </w:instrText>
      </w:r>
      <w:r w:rsidRPr="004736A8">
        <w:rPr>
          <w:rFonts w:ascii="Times New Roman" w:hAnsi="Times New Roman" w:cs="Times New Roman"/>
          <w:b/>
          <w:bCs/>
          <w:i w:val="0"/>
          <w:iCs w:val="0"/>
          <w:color w:val="000000" w:themeColor="text1"/>
          <w:sz w:val="20"/>
          <w:szCs w:val="20"/>
        </w:rPr>
        <w:fldChar w:fldCharType="separate"/>
      </w:r>
      <w:r w:rsidR="001066C1" w:rsidRPr="004736A8">
        <w:rPr>
          <w:rFonts w:ascii="Times New Roman" w:hAnsi="Times New Roman" w:cs="Times New Roman"/>
          <w:b/>
          <w:bCs/>
          <w:i w:val="0"/>
          <w:iCs w:val="0"/>
          <w:noProof/>
          <w:color w:val="000000" w:themeColor="text1"/>
          <w:sz w:val="20"/>
          <w:szCs w:val="20"/>
        </w:rPr>
        <w:t>1</w:t>
      </w:r>
      <w:r w:rsidRPr="004736A8">
        <w:rPr>
          <w:rFonts w:ascii="Times New Roman" w:hAnsi="Times New Roman" w:cs="Times New Roman"/>
          <w:b/>
          <w:bCs/>
          <w:i w:val="0"/>
          <w:iCs w:val="0"/>
          <w:color w:val="000000" w:themeColor="text1"/>
          <w:sz w:val="20"/>
          <w:szCs w:val="20"/>
        </w:rPr>
        <w:fldChar w:fldCharType="end"/>
      </w:r>
      <w:r w:rsidRPr="004736A8">
        <w:rPr>
          <w:rFonts w:ascii="Times New Roman" w:hAnsi="Times New Roman" w:cs="Times New Roman"/>
          <w:b/>
          <w:bCs/>
          <w:i w:val="0"/>
          <w:iCs w:val="0"/>
          <w:color w:val="000000" w:themeColor="text1"/>
          <w:sz w:val="20"/>
          <w:szCs w:val="20"/>
        </w:rPr>
        <w:t>. Description of collected demographic variables</w:t>
      </w:r>
    </w:p>
    <w:tbl>
      <w:tblPr>
        <w:tblStyle w:val="TableGrid"/>
        <w:tblW w:w="14560" w:type="dxa"/>
        <w:tblLook w:val="04A0" w:firstRow="1" w:lastRow="0" w:firstColumn="1" w:lastColumn="0" w:noHBand="0" w:noVBand="1"/>
      </w:tblPr>
      <w:tblGrid>
        <w:gridCol w:w="5063"/>
        <w:gridCol w:w="4945"/>
        <w:gridCol w:w="4552"/>
      </w:tblGrid>
      <w:tr w:rsidR="00DD3938" w:rsidRPr="005514A4" w14:paraId="1C95A4C1" w14:textId="77777777" w:rsidTr="005514A4">
        <w:trPr>
          <w:tblHeader/>
        </w:trPr>
        <w:tc>
          <w:tcPr>
            <w:tcW w:w="5063" w:type="dxa"/>
          </w:tcPr>
          <w:p w14:paraId="15C98AC0" w14:textId="3C5989E2" w:rsidR="00DD3938" w:rsidRPr="005514A4" w:rsidRDefault="00ED09AA" w:rsidP="00F4766B">
            <w:pPr>
              <w:pStyle w:val="NoSpacing"/>
              <w:spacing w:line="480" w:lineRule="auto"/>
              <w:rPr>
                <w:rFonts w:ascii="Times New Roman" w:hAnsi="Times New Roman" w:cs="Times New Roman"/>
                <w:b/>
                <w:bCs/>
                <w:sz w:val="20"/>
                <w:szCs w:val="20"/>
              </w:rPr>
            </w:pPr>
            <w:r w:rsidRPr="005514A4">
              <w:rPr>
                <w:rFonts w:ascii="Times New Roman" w:hAnsi="Times New Roman" w:cs="Times New Roman"/>
                <w:b/>
                <w:bCs/>
                <w:sz w:val="20"/>
                <w:szCs w:val="20"/>
              </w:rPr>
              <w:t>Demographic v</w:t>
            </w:r>
            <w:r w:rsidR="00DD3938" w:rsidRPr="005514A4">
              <w:rPr>
                <w:rFonts w:ascii="Times New Roman" w:hAnsi="Times New Roman" w:cs="Times New Roman"/>
                <w:b/>
                <w:bCs/>
                <w:sz w:val="20"/>
                <w:szCs w:val="20"/>
              </w:rPr>
              <w:t>ariable specific to place of usual residence</w:t>
            </w:r>
          </w:p>
        </w:tc>
        <w:tc>
          <w:tcPr>
            <w:tcW w:w="4945" w:type="dxa"/>
          </w:tcPr>
          <w:p w14:paraId="6FDC9381" w14:textId="77777777" w:rsidR="00DD3938" w:rsidRPr="005514A4" w:rsidRDefault="00DD3938" w:rsidP="00F4766B">
            <w:pPr>
              <w:pStyle w:val="NoSpacing"/>
              <w:spacing w:line="480" w:lineRule="auto"/>
              <w:rPr>
                <w:rFonts w:ascii="Times New Roman" w:hAnsi="Times New Roman" w:cs="Times New Roman"/>
                <w:b/>
                <w:bCs/>
                <w:sz w:val="20"/>
                <w:szCs w:val="20"/>
              </w:rPr>
            </w:pPr>
            <w:r w:rsidRPr="005514A4">
              <w:rPr>
                <w:rFonts w:ascii="Times New Roman" w:hAnsi="Times New Roman" w:cs="Times New Roman"/>
                <w:b/>
                <w:bCs/>
                <w:sz w:val="20"/>
                <w:szCs w:val="20"/>
              </w:rPr>
              <w:t>Description</w:t>
            </w:r>
          </w:p>
        </w:tc>
        <w:tc>
          <w:tcPr>
            <w:tcW w:w="4552" w:type="dxa"/>
          </w:tcPr>
          <w:p w14:paraId="7C13BF0F" w14:textId="77777777" w:rsidR="00DD3938" w:rsidRPr="005514A4" w:rsidRDefault="00DD3938" w:rsidP="00F4766B">
            <w:pPr>
              <w:pStyle w:val="NoSpacing"/>
              <w:spacing w:line="480" w:lineRule="auto"/>
              <w:rPr>
                <w:rFonts w:ascii="Times New Roman" w:hAnsi="Times New Roman" w:cs="Times New Roman"/>
                <w:b/>
                <w:bCs/>
                <w:sz w:val="20"/>
                <w:szCs w:val="20"/>
              </w:rPr>
            </w:pPr>
            <w:r w:rsidRPr="005514A4">
              <w:rPr>
                <w:rFonts w:ascii="Times New Roman" w:hAnsi="Times New Roman" w:cs="Times New Roman"/>
                <w:b/>
                <w:bCs/>
                <w:sz w:val="20"/>
                <w:szCs w:val="20"/>
              </w:rPr>
              <w:t>Denominator (where applicable)</w:t>
            </w:r>
          </w:p>
        </w:tc>
      </w:tr>
      <w:tr w:rsidR="00DD3938" w:rsidRPr="005514A4" w14:paraId="383328A6" w14:textId="77777777" w:rsidTr="002B365D">
        <w:tc>
          <w:tcPr>
            <w:tcW w:w="5063" w:type="dxa"/>
          </w:tcPr>
          <w:p w14:paraId="33DE2ECB"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Number of people per </w:t>
            </w:r>
            <w:proofErr w:type="spellStart"/>
            <w:r w:rsidRPr="005514A4">
              <w:rPr>
                <w:rFonts w:ascii="Times New Roman" w:hAnsi="Times New Roman" w:cs="Times New Roman"/>
                <w:sz w:val="20"/>
                <w:szCs w:val="20"/>
              </w:rPr>
              <w:t>kmsq</w:t>
            </w:r>
            <w:proofErr w:type="spellEnd"/>
            <w:r w:rsidRPr="005514A4">
              <w:rPr>
                <w:rFonts w:ascii="Times New Roman" w:hAnsi="Times New Roman" w:cs="Times New Roman"/>
                <w:sz w:val="20"/>
                <w:szCs w:val="20"/>
              </w:rPr>
              <w:t xml:space="preserve"> (1000 pax)</w:t>
            </w:r>
          </w:p>
        </w:tc>
        <w:tc>
          <w:tcPr>
            <w:tcW w:w="4945" w:type="dxa"/>
          </w:tcPr>
          <w:p w14:paraId="6DB601CD"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Number of residents per km squared of the postal area</w:t>
            </w:r>
          </w:p>
        </w:tc>
        <w:tc>
          <w:tcPr>
            <w:tcW w:w="4552" w:type="dxa"/>
          </w:tcPr>
          <w:p w14:paraId="7A70106D"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w:t>
            </w:r>
          </w:p>
        </w:tc>
      </w:tr>
      <w:tr w:rsidR="00DD3938" w:rsidRPr="005514A4" w14:paraId="6D97EE49" w14:textId="77777777" w:rsidTr="002B365D">
        <w:tc>
          <w:tcPr>
            <w:tcW w:w="5063" w:type="dxa"/>
          </w:tcPr>
          <w:p w14:paraId="1DAB364F"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Median age</w:t>
            </w:r>
          </w:p>
        </w:tc>
        <w:tc>
          <w:tcPr>
            <w:tcW w:w="4945" w:type="dxa"/>
          </w:tcPr>
          <w:p w14:paraId="4C4F2B8C"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Median age</w:t>
            </w:r>
          </w:p>
        </w:tc>
        <w:tc>
          <w:tcPr>
            <w:tcW w:w="4552" w:type="dxa"/>
          </w:tcPr>
          <w:p w14:paraId="14467234"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w:t>
            </w:r>
          </w:p>
        </w:tc>
      </w:tr>
      <w:tr w:rsidR="00DD3938" w:rsidRPr="005514A4" w14:paraId="3C82955A" w14:textId="77777777" w:rsidTr="002B365D">
        <w:tc>
          <w:tcPr>
            <w:tcW w:w="5063" w:type="dxa"/>
          </w:tcPr>
          <w:p w14:paraId="789D459A"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male (10%)</w:t>
            </w:r>
          </w:p>
        </w:tc>
        <w:tc>
          <w:tcPr>
            <w:tcW w:w="4945" w:type="dxa"/>
          </w:tcPr>
          <w:p w14:paraId="4484121E"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Male</w:t>
            </w:r>
          </w:p>
        </w:tc>
        <w:tc>
          <w:tcPr>
            <w:tcW w:w="4552" w:type="dxa"/>
          </w:tcPr>
          <w:p w14:paraId="19B7D567"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residents, excluding tourists</w:t>
            </w:r>
          </w:p>
        </w:tc>
      </w:tr>
      <w:tr w:rsidR="00DD3938" w:rsidRPr="005514A4" w14:paraId="797CE472" w14:textId="77777777" w:rsidTr="002B365D">
        <w:tc>
          <w:tcPr>
            <w:tcW w:w="5063" w:type="dxa"/>
          </w:tcPr>
          <w:p w14:paraId="78A87BBA"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Aboriginal and Torres Strait Islander (10%)</w:t>
            </w:r>
          </w:p>
        </w:tc>
        <w:tc>
          <w:tcPr>
            <w:tcW w:w="4945" w:type="dxa"/>
          </w:tcPr>
          <w:p w14:paraId="729F8D32"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Aboriginal and Torres Strait Islander </w:t>
            </w:r>
          </w:p>
        </w:tc>
        <w:tc>
          <w:tcPr>
            <w:tcW w:w="4552" w:type="dxa"/>
          </w:tcPr>
          <w:p w14:paraId="6DF8B677"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residents, excluding tourists</w:t>
            </w:r>
          </w:p>
        </w:tc>
      </w:tr>
      <w:tr w:rsidR="00DD3938" w:rsidRPr="005514A4" w14:paraId="66932D9C" w14:textId="77777777" w:rsidTr="002B365D">
        <w:tc>
          <w:tcPr>
            <w:tcW w:w="5063" w:type="dxa"/>
          </w:tcPr>
          <w:p w14:paraId="4754D4F0"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residents born in Australia (10%)</w:t>
            </w:r>
          </w:p>
        </w:tc>
        <w:tc>
          <w:tcPr>
            <w:tcW w:w="4945" w:type="dxa"/>
          </w:tcPr>
          <w:p w14:paraId="1C79C7D7"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People who were born in Australia</w:t>
            </w:r>
          </w:p>
        </w:tc>
        <w:tc>
          <w:tcPr>
            <w:tcW w:w="4552" w:type="dxa"/>
          </w:tcPr>
          <w:p w14:paraId="06F455FB"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residents, excluding tourists</w:t>
            </w:r>
          </w:p>
        </w:tc>
      </w:tr>
      <w:tr w:rsidR="00DD3938" w:rsidRPr="005514A4" w14:paraId="3CF86ED4" w14:textId="77777777" w:rsidTr="002B365D">
        <w:tc>
          <w:tcPr>
            <w:tcW w:w="5063" w:type="dxa"/>
          </w:tcPr>
          <w:p w14:paraId="5064ED97"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Average number of children per family (0.1)</w:t>
            </w:r>
          </w:p>
        </w:tc>
        <w:tc>
          <w:tcPr>
            <w:tcW w:w="4945" w:type="dxa"/>
          </w:tcPr>
          <w:p w14:paraId="4AFB8947"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Number of children aged 0 to 14 years old in a family</w:t>
            </w:r>
          </w:p>
        </w:tc>
        <w:tc>
          <w:tcPr>
            <w:tcW w:w="4552" w:type="dxa"/>
          </w:tcPr>
          <w:p w14:paraId="2ECE5750"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families, including couple families with and without children, one parent families and other family compositions</w:t>
            </w:r>
          </w:p>
        </w:tc>
      </w:tr>
      <w:tr w:rsidR="00DD3938" w:rsidRPr="005514A4" w14:paraId="259ABF3C" w14:textId="77777777" w:rsidTr="002B365D">
        <w:tc>
          <w:tcPr>
            <w:tcW w:w="5063" w:type="dxa"/>
          </w:tcPr>
          <w:p w14:paraId="21C0A1E5"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Average number of residents per house (0.1)</w:t>
            </w:r>
          </w:p>
        </w:tc>
        <w:tc>
          <w:tcPr>
            <w:tcW w:w="4945" w:type="dxa"/>
          </w:tcPr>
          <w:p w14:paraId="760F90BA"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Number of residents usually resident in an occupied private dwelling, including up to 3 residents that were temporarily away from household on census night</w:t>
            </w:r>
          </w:p>
        </w:tc>
        <w:tc>
          <w:tcPr>
            <w:tcW w:w="4552" w:type="dxa"/>
          </w:tcPr>
          <w:p w14:paraId="4E3014CC"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occupied private dwellings</w:t>
            </w:r>
          </w:p>
        </w:tc>
      </w:tr>
      <w:tr w:rsidR="00DD3938" w:rsidRPr="005514A4" w14:paraId="1874585D" w14:textId="77777777" w:rsidTr="002B365D">
        <w:tc>
          <w:tcPr>
            <w:tcW w:w="5063" w:type="dxa"/>
          </w:tcPr>
          <w:p w14:paraId="3CA73491"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rented households (nr 7.7%)</w:t>
            </w:r>
          </w:p>
        </w:tc>
        <w:tc>
          <w:tcPr>
            <w:tcW w:w="4945" w:type="dxa"/>
          </w:tcPr>
          <w:p w14:paraId="75987B5C"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Households with rental arrangement</w:t>
            </w:r>
          </w:p>
        </w:tc>
        <w:tc>
          <w:tcPr>
            <w:tcW w:w="4552" w:type="dxa"/>
          </w:tcPr>
          <w:p w14:paraId="75C16CB5"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occupied private dwellings</w:t>
            </w:r>
          </w:p>
        </w:tc>
      </w:tr>
      <w:tr w:rsidR="00DD3938" w:rsidRPr="005514A4" w14:paraId="1E96E336" w14:textId="77777777" w:rsidTr="002B365D">
        <w:tc>
          <w:tcPr>
            <w:tcW w:w="5063" w:type="dxa"/>
          </w:tcPr>
          <w:p w14:paraId="426E9DF5"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residents employed in health care services (10%)</w:t>
            </w:r>
          </w:p>
        </w:tc>
        <w:tc>
          <w:tcPr>
            <w:tcW w:w="4945" w:type="dxa"/>
          </w:tcPr>
          <w:p w14:paraId="28AEA65C"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People employed in health care services, including hospital, medical, allied health, residential care and social assistance</w:t>
            </w:r>
          </w:p>
        </w:tc>
        <w:tc>
          <w:tcPr>
            <w:tcW w:w="4552" w:type="dxa"/>
          </w:tcPr>
          <w:p w14:paraId="4F30CF8B"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residents at least 15 years old and employed at time of census</w:t>
            </w:r>
          </w:p>
        </w:tc>
      </w:tr>
      <w:tr w:rsidR="00DD3938" w:rsidRPr="005514A4" w14:paraId="59A0E822" w14:textId="77777777" w:rsidTr="002B365D">
        <w:tc>
          <w:tcPr>
            <w:tcW w:w="5063" w:type="dxa"/>
          </w:tcPr>
          <w:p w14:paraId="1D974EAF"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residents employed in agricultural industry (10%)</w:t>
            </w:r>
          </w:p>
        </w:tc>
        <w:tc>
          <w:tcPr>
            <w:tcW w:w="4945" w:type="dxa"/>
          </w:tcPr>
          <w:p w14:paraId="50B24EAA"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People employed in agriculture, forestry and fishing industries</w:t>
            </w:r>
          </w:p>
        </w:tc>
        <w:tc>
          <w:tcPr>
            <w:tcW w:w="4552" w:type="dxa"/>
          </w:tcPr>
          <w:p w14:paraId="6380A759"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residents at least 15 years old and employed at time of census</w:t>
            </w:r>
          </w:p>
        </w:tc>
      </w:tr>
      <w:tr w:rsidR="00DD3938" w:rsidRPr="005514A4" w14:paraId="1B077C75" w14:textId="77777777" w:rsidTr="002B365D">
        <w:tc>
          <w:tcPr>
            <w:tcW w:w="5063" w:type="dxa"/>
          </w:tcPr>
          <w:p w14:paraId="0CF64249"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lastRenderedPageBreak/>
              <w:t>Average number of people per bedroom (0.1)</w:t>
            </w:r>
          </w:p>
        </w:tc>
        <w:tc>
          <w:tcPr>
            <w:tcW w:w="4945" w:type="dxa"/>
          </w:tcPr>
          <w:p w14:paraId="5E59AD81"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Number of residents usually resident in an occupied private dwelling, including up to 3 residents that were temporarily away from household on census night</w:t>
            </w:r>
          </w:p>
        </w:tc>
        <w:tc>
          <w:tcPr>
            <w:tcW w:w="4552" w:type="dxa"/>
          </w:tcPr>
          <w:p w14:paraId="3162168A"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bedrooms in each occupied private dwelling, including caravans</w:t>
            </w:r>
          </w:p>
        </w:tc>
      </w:tr>
      <w:tr w:rsidR="00DD3938" w:rsidRPr="005514A4" w14:paraId="637B19F2" w14:textId="77777777" w:rsidTr="002B365D">
        <w:tc>
          <w:tcPr>
            <w:tcW w:w="5063" w:type="dxa"/>
          </w:tcPr>
          <w:p w14:paraId="093E638F" w14:textId="5AC2583A"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Index of relative socioeconomic disadvantage</w:t>
            </w:r>
            <w:r w:rsidR="00B75A05" w:rsidRPr="005514A4">
              <w:rPr>
                <w:rFonts w:ascii="Times New Roman" w:hAnsi="Times New Roman" w:cs="Times New Roman"/>
                <w:sz w:val="20"/>
                <w:szCs w:val="20"/>
              </w:rPr>
              <w:t xml:space="preserve"> (IRSD)</w:t>
            </w:r>
            <w:r w:rsidRPr="005514A4">
              <w:rPr>
                <w:rFonts w:ascii="Times New Roman" w:hAnsi="Times New Roman" w:cs="Times New Roman"/>
                <w:sz w:val="20"/>
                <w:szCs w:val="20"/>
              </w:rPr>
              <w:t xml:space="preserve"> (100)</w:t>
            </w:r>
          </w:p>
        </w:tc>
        <w:tc>
          <w:tcPr>
            <w:tcW w:w="4945" w:type="dxa"/>
          </w:tcPr>
          <w:p w14:paraId="335C97B7" w14:textId="520B694F"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Measure of relative socioeconomic disadvantage, including low income households, dwellings without internet connection or car, residents with low or no educational attainment, unemployment, one-parent families with dependent, elderly with disability or long-term health condition, divorced or separated families, employment as Labourers, Machinery operators and drivers or low skill Community and Personal Service workers, overcrowded housing, people with poor English skills, rented dwellings with rent less than $215/week;</w:t>
            </w:r>
          </w:p>
          <w:p w14:paraId="02350620"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Lower score indicates higher relative socio-economic disadvantage</w:t>
            </w:r>
          </w:p>
        </w:tc>
        <w:tc>
          <w:tcPr>
            <w:tcW w:w="4552" w:type="dxa"/>
          </w:tcPr>
          <w:p w14:paraId="4738A768"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w:t>
            </w:r>
          </w:p>
        </w:tc>
      </w:tr>
      <w:tr w:rsidR="00DD3938" w:rsidRPr="005514A4" w14:paraId="23C79F96" w14:textId="77777777" w:rsidTr="002B365D">
        <w:tc>
          <w:tcPr>
            <w:tcW w:w="5063" w:type="dxa"/>
          </w:tcPr>
          <w:p w14:paraId="049F4F9B"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Proportion of residents with tertiary education </w:t>
            </w:r>
          </w:p>
        </w:tc>
        <w:tc>
          <w:tcPr>
            <w:tcW w:w="4945" w:type="dxa"/>
          </w:tcPr>
          <w:p w14:paraId="6EBD95FE"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People aged above 15 years old with at least a Diploma or Bachelor for their highest educational attainment</w:t>
            </w:r>
          </w:p>
        </w:tc>
        <w:tc>
          <w:tcPr>
            <w:tcW w:w="4552" w:type="dxa"/>
          </w:tcPr>
          <w:p w14:paraId="7A302350"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All residents aged above 15 years old</w:t>
            </w:r>
          </w:p>
        </w:tc>
      </w:tr>
      <w:tr w:rsidR="00DD3938" w:rsidRPr="005514A4" w14:paraId="1849F493" w14:textId="77777777" w:rsidTr="002B365D">
        <w:tc>
          <w:tcPr>
            <w:tcW w:w="5063" w:type="dxa"/>
          </w:tcPr>
          <w:p w14:paraId="3C420A25"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lastRenderedPageBreak/>
              <w:t>Median income (personal)</w:t>
            </w:r>
          </w:p>
        </w:tc>
        <w:tc>
          <w:tcPr>
            <w:tcW w:w="4945" w:type="dxa"/>
          </w:tcPr>
          <w:p w14:paraId="4C8C0050" w14:textId="77777777" w:rsidR="00DD3938" w:rsidRPr="005514A4" w:rsidRDefault="00DD3938" w:rsidP="00F4766B">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Total income (including wages, pensions, superannuation, allowances, profits and any passive income) a person usually receives each week, for people aged at least 15 years old</w:t>
            </w:r>
          </w:p>
        </w:tc>
        <w:tc>
          <w:tcPr>
            <w:tcW w:w="4552" w:type="dxa"/>
          </w:tcPr>
          <w:p w14:paraId="31F4D2DB" w14:textId="77777777" w:rsidR="00DD3938" w:rsidRPr="005514A4" w:rsidRDefault="00DD3938" w:rsidP="00F4766B">
            <w:pPr>
              <w:pStyle w:val="NoSpacing"/>
              <w:spacing w:line="480" w:lineRule="auto"/>
              <w:rPr>
                <w:rFonts w:ascii="Times New Roman" w:hAnsi="Times New Roman" w:cs="Times New Roman"/>
                <w:sz w:val="20"/>
                <w:szCs w:val="20"/>
              </w:rPr>
            </w:pPr>
          </w:p>
        </w:tc>
      </w:tr>
    </w:tbl>
    <w:p w14:paraId="330C49B1" w14:textId="3787374E" w:rsidR="00C84D6B" w:rsidRPr="00B2209E" w:rsidRDefault="00C84D6B" w:rsidP="00B2209E">
      <w:pPr>
        <w:rPr>
          <w:rFonts w:ascii="Times New Roman" w:hAnsi="Times New Roman" w:cs="Times New Roman"/>
          <w:b/>
          <w:bCs/>
        </w:rPr>
      </w:pPr>
    </w:p>
    <w:p w14:paraId="4D964BC2" w14:textId="38751831" w:rsidR="001066C1" w:rsidRPr="005514A4" w:rsidRDefault="004736A8" w:rsidP="005514A4">
      <w:pPr>
        <w:pStyle w:val="Caption"/>
        <w:keepNext/>
        <w:rPr>
          <w:rFonts w:ascii="Times New Roman" w:hAnsi="Times New Roman" w:cs="Times New Roman"/>
          <w:b/>
          <w:bCs/>
          <w:i w:val="0"/>
          <w:iCs w:val="0"/>
          <w:color w:val="000000" w:themeColor="text1"/>
          <w:sz w:val="20"/>
          <w:szCs w:val="20"/>
        </w:rPr>
      </w:pPr>
      <w:r>
        <w:rPr>
          <w:rFonts w:ascii="Times New Roman" w:hAnsi="Times New Roman" w:cs="Times New Roman"/>
          <w:b/>
          <w:bCs/>
          <w:i w:val="0"/>
          <w:iCs w:val="0"/>
          <w:color w:val="000000" w:themeColor="text1"/>
          <w:sz w:val="20"/>
          <w:szCs w:val="20"/>
        </w:rPr>
        <w:br w:type="column"/>
      </w:r>
      <w:r w:rsidR="00901BD1" w:rsidRPr="005514A4">
        <w:rPr>
          <w:rFonts w:ascii="Times New Roman" w:hAnsi="Times New Roman" w:cs="Times New Roman"/>
          <w:b/>
          <w:bCs/>
          <w:i w:val="0"/>
          <w:iCs w:val="0"/>
          <w:color w:val="000000" w:themeColor="text1"/>
          <w:sz w:val="20"/>
          <w:szCs w:val="20"/>
        </w:rPr>
        <w:lastRenderedPageBreak/>
        <w:t xml:space="preserve">Supplementary </w:t>
      </w:r>
      <w:r w:rsidR="001066C1" w:rsidRPr="005514A4">
        <w:rPr>
          <w:rFonts w:ascii="Times New Roman" w:hAnsi="Times New Roman" w:cs="Times New Roman"/>
          <w:b/>
          <w:bCs/>
          <w:i w:val="0"/>
          <w:iCs w:val="0"/>
          <w:color w:val="000000" w:themeColor="text1"/>
          <w:sz w:val="20"/>
          <w:szCs w:val="20"/>
        </w:rPr>
        <w:t xml:space="preserve">Table </w:t>
      </w:r>
      <w:r w:rsidR="001066C1" w:rsidRPr="005514A4">
        <w:rPr>
          <w:rFonts w:ascii="Times New Roman" w:hAnsi="Times New Roman" w:cs="Times New Roman"/>
          <w:b/>
          <w:bCs/>
          <w:i w:val="0"/>
          <w:iCs w:val="0"/>
          <w:color w:val="000000" w:themeColor="text1"/>
          <w:sz w:val="20"/>
          <w:szCs w:val="20"/>
        </w:rPr>
        <w:fldChar w:fldCharType="begin"/>
      </w:r>
      <w:r w:rsidR="001066C1" w:rsidRPr="005514A4">
        <w:rPr>
          <w:rFonts w:ascii="Times New Roman" w:hAnsi="Times New Roman" w:cs="Times New Roman"/>
          <w:b/>
          <w:bCs/>
          <w:i w:val="0"/>
          <w:iCs w:val="0"/>
          <w:color w:val="000000" w:themeColor="text1"/>
          <w:sz w:val="20"/>
          <w:szCs w:val="20"/>
        </w:rPr>
        <w:instrText xml:space="preserve"> SEQ Table \* ARABIC </w:instrText>
      </w:r>
      <w:r w:rsidR="001066C1" w:rsidRPr="005514A4">
        <w:rPr>
          <w:rFonts w:ascii="Times New Roman" w:hAnsi="Times New Roman" w:cs="Times New Roman"/>
          <w:b/>
          <w:bCs/>
          <w:i w:val="0"/>
          <w:iCs w:val="0"/>
          <w:color w:val="000000" w:themeColor="text1"/>
          <w:sz w:val="20"/>
          <w:szCs w:val="20"/>
        </w:rPr>
        <w:fldChar w:fldCharType="separate"/>
      </w:r>
      <w:r w:rsidR="001066C1" w:rsidRPr="005514A4">
        <w:rPr>
          <w:rFonts w:ascii="Times New Roman" w:hAnsi="Times New Roman" w:cs="Times New Roman"/>
          <w:b/>
          <w:bCs/>
          <w:i w:val="0"/>
          <w:iCs w:val="0"/>
          <w:noProof/>
          <w:color w:val="000000" w:themeColor="text1"/>
          <w:sz w:val="20"/>
          <w:szCs w:val="20"/>
        </w:rPr>
        <w:t>2</w:t>
      </w:r>
      <w:r w:rsidR="001066C1" w:rsidRPr="005514A4">
        <w:rPr>
          <w:rFonts w:ascii="Times New Roman" w:hAnsi="Times New Roman" w:cs="Times New Roman"/>
          <w:b/>
          <w:bCs/>
          <w:i w:val="0"/>
          <w:iCs w:val="0"/>
          <w:color w:val="000000" w:themeColor="text1"/>
          <w:sz w:val="20"/>
          <w:szCs w:val="20"/>
        </w:rPr>
        <w:fldChar w:fldCharType="end"/>
      </w:r>
      <w:r w:rsidR="001066C1" w:rsidRPr="005514A4">
        <w:rPr>
          <w:rFonts w:ascii="Times New Roman" w:hAnsi="Times New Roman" w:cs="Times New Roman"/>
          <w:b/>
          <w:bCs/>
          <w:i w:val="0"/>
          <w:iCs w:val="0"/>
          <w:color w:val="000000" w:themeColor="text1"/>
          <w:sz w:val="20"/>
          <w:szCs w:val="20"/>
        </w:rPr>
        <w:t>. Univariate analysis of demographic predictors and ESBL-Ec incidence in 2016</w:t>
      </w:r>
    </w:p>
    <w:tbl>
      <w:tblPr>
        <w:tblStyle w:val="TableGrid"/>
        <w:tblW w:w="0" w:type="auto"/>
        <w:tblLook w:val="04A0" w:firstRow="1" w:lastRow="0" w:firstColumn="1" w:lastColumn="0" w:noHBand="0" w:noVBand="1"/>
      </w:tblPr>
      <w:tblGrid>
        <w:gridCol w:w="6516"/>
        <w:gridCol w:w="2268"/>
      </w:tblGrid>
      <w:tr w:rsidR="00C84D6B" w:rsidRPr="005514A4" w14:paraId="6EBA2148" w14:textId="317559D7" w:rsidTr="005514A4">
        <w:tc>
          <w:tcPr>
            <w:tcW w:w="6516" w:type="dxa"/>
          </w:tcPr>
          <w:p w14:paraId="7973E8E2" w14:textId="111F9731" w:rsidR="00C84D6B" w:rsidRPr="005514A4" w:rsidRDefault="00C84D6B" w:rsidP="005514A4">
            <w:pPr>
              <w:pStyle w:val="NoSpacing"/>
              <w:spacing w:line="480" w:lineRule="auto"/>
              <w:rPr>
                <w:rFonts w:ascii="Times New Roman" w:hAnsi="Times New Roman" w:cs="Times New Roman"/>
                <w:b/>
                <w:bCs/>
                <w:sz w:val="20"/>
                <w:szCs w:val="20"/>
              </w:rPr>
            </w:pPr>
            <w:r w:rsidRPr="005514A4">
              <w:rPr>
                <w:rFonts w:ascii="Times New Roman" w:hAnsi="Times New Roman" w:cs="Times New Roman"/>
                <w:b/>
                <w:bCs/>
                <w:sz w:val="20"/>
                <w:szCs w:val="20"/>
              </w:rPr>
              <w:t>Demographic variable</w:t>
            </w:r>
            <w:r w:rsidR="003A453C" w:rsidRPr="005514A4">
              <w:rPr>
                <w:rFonts w:ascii="Times New Roman" w:hAnsi="Times New Roman" w:cs="Times New Roman"/>
                <w:b/>
                <w:bCs/>
                <w:sz w:val="20"/>
                <w:szCs w:val="20"/>
              </w:rPr>
              <w:t xml:space="preserve"> (unit)</w:t>
            </w:r>
          </w:p>
        </w:tc>
        <w:tc>
          <w:tcPr>
            <w:tcW w:w="2268" w:type="dxa"/>
          </w:tcPr>
          <w:p w14:paraId="7E045123" w14:textId="40757F45" w:rsidR="00C84D6B" w:rsidRPr="005514A4" w:rsidRDefault="00C84D6B" w:rsidP="005514A4">
            <w:pPr>
              <w:pStyle w:val="NoSpacing"/>
              <w:spacing w:line="480" w:lineRule="auto"/>
              <w:rPr>
                <w:rFonts w:ascii="Times New Roman" w:hAnsi="Times New Roman" w:cs="Times New Roman"/>
                <w:b/>
                <w:bCs/>
                <w:sz w:val="20"/>
                <w:szCs w:val="20"/>
              </w:rPr>
            </w:pPr>
            <w:r w:rsidRPr="005514A4">
              <w:rPr>
                <w:rFonts w:ascii="Times New Roman" w:hAnsi="Times New Roman" w:cs="Times New Roman"/>
                <w:b/>
                <w:bCs/>
                <w:sz w:val="20"/>
                <w:szCs w:val="20"/>
              </w:rPr>
              <w:t>RR (95% CI)</w:t>
            </w:r>
          </w:p>
        </w:tc>
      </w:tr>
      <w:tr w:rsidR="003A453C" w:rsidRPr="005514A4" w14:paraId="72087F84" w14:textId="06A9A939" w:rsidTr="005514A4">
        <w:tc>
          <w:tcPr>
            <w:tcW w:w="6516" w:type="dxa"/>
          </w:tcPr>
          <w:p w14:paraId="759BB8AB" w14:textId="168FD278"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Number of people per km squared (per 1000 people increase)</w:t>
            </w:r>
          </w:p>
        </w:tc>
        <w:tc>
          <w:tcPr>
            <w:tcW w:w="2268" w:type="dxa"/>
          </w:tcPr>
          <w:p w14:paraId="35CDACC6" w14:textId="7DE55022"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0.93 (0.88-0.99) </w:t>
            </w:r>
          </w:p>
        </w:tc>
      </w:tr>
      <w:tr w:rsidR="003A453C" w:rsidRPr="005514A4" w14:paraId="5EA7E27D" w14:textId="2E6A0332" w:rsidTr="005514A4">
        <w:tc>
          <w:tcPr>
            <w:tcW w:w="6516" w:type="dxa"/>
          </w:tcPr>
          <w:p w14:paraId="4B10CD7C" w14:textId="1A3B4A24"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Median age (per 1 year increase)</w:t>
            </w:r>
          </w:p>
        </w:tc>
        <w:tc>
          <w:tcPr>
            <w:tcW w:w="2268" w:type="dxa"/>
          </w:tcPr>
          <w:p w14:paraId="340951C8" w14:textId="732A1CD8"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0.99 (0.98-1.00) </w:t>
            </w:r>
          </w:p>
        </w:tc>
      </w:tr>
      <w:tr w:rsidR="003A453C" w:rsidRPr="005514A4" w14:paraId="0B6B6CFB" w14:textId="64933D78" w:rsidTr="005514A4">
        <w:tc>
          <w:tcPr>
            <w:tcW w:w="6516" w:type="dxa"/>
          </w:tcPr>
          <w:p w14:paraId="69A8CA72" w14:textId="33CD32C2"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male (per 10% increase)</w:t>
            </w:r>
          </w:p>
        </w:tc>
        <w:tc>
          <w:tcPr>
            <w:tcW w:w="2268" w:type="dxa"/>
          </w:tcPr>
          <w:p w14:paraId="7FAA204C" w14:textId="31A1765E"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1.44 (1.05-1.96) </w:t>
            </w:r>
          </w:p>
        </w:tc>
      </w:tr>
      <w:tr w:rsidR="003A453C" w:rsidRPr="005514A4" w14:paraId="4E586174" w14:textId="3CA5FF8B" w:rsidTr="005514A4">
        <w:tc>
          <w:tcPr>
            <w:tcW w:w="6516" w:type="dxa"/>
          </w:tcPr>
          <w:p w14:paraId="33408C70" w14:textId="2BA3E49D"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Aboriginal and Torres Strait Islander (per 10% increase)</w:t>
            </w:r>
          </w:p>
        </w:tc>
        <w:tc>
          <w:tcPr>
            <w:tcW w:w="2268" w:type="dxa"/>
          </w:tcPr>
          <w:p w14:paraId="47493BC1" w14:textId="1A46BD35"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1.25 (1.20-1.30) </w:t>
            </w:r>
          </w:p>
        </w:tc>
      </w:tr>
      <w:tr w:rsidR="003A453C" w:rsidRPr="005514A4" w14:paraId="15BA124C" w14:textId="5F864729" w:rsidTr="005514A4">
        <w:tc>
          <w:tcPr>
            <w:tcW w:w="6516" w:type="dxa"/>
          </w:tcPr>
          <w:p w14:paraId="2F9F84E5" w14:textId="3C6809E4"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residents born in Australia (per 10% increase)</w:t>
            </w:r>
          </w:p>
        </w:tc>
        <w:tc>
          <w:tcPr>
            <w:tcW w:w="2268" w:type="dxa"/>
          </w:tcPr>
          <w:p w14:paraId="3D64C6E3" w14:textId="26D5518E"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1.02 (0.97-1.08) </w:t>
            </w:r>
          </w:p>
        </w:tc>
      </w:tr>
      <w:tr w:rsidR="003A453C" w:rsidRPr="005514A4" w14:paraId="621580BE" w14:textId="5E2EC7E2" w:rsidTr="005514A4">
        <w:tc>
          <w:tcPr>
            <w:tcW w:w="6516" w:type="dxa"/>
          </w:tcPr>
          <w:p w14:paraId="1E5C9D91" w14:textId="6B2C5F83"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Average number of children per family (per </w:t>
            </w:r>
            <w:proofErr w:type="gramStart"/>
            <w:r w:rsidRPr="005514A4">
              <w:rPr>
                <w:rFonts w:ascii="Times New Roman" w:hAnsi="Times New Roman" w:cs="Times New Roman"/>
                <w:sz w:val="20"/>
                <w:szCs w:val="20"/>
              </w:rPr>
              <w:t>0.1 unit</w:t>
            </w:r>
            <w:proofErr w:type="gramEnd"/>
            <w:r w:rsidRPr="005514A4">
              <w:rPr>
                <w:rFonts w:ascii="Times New Roman" w:hAnsi="Times New Roman" w:cs="Times New Roman"/>
                <w:sz w:val="20"/>
                <w:szCs w:val="20"/>
              </w:rPr>
              <w:t xml:space="preserve"> increase)</w:t>
            </w:r>
          </w:p>
        </w:tc>
        <w:tc>
          <w:tcPr>
            <w:tcW w:w="2268" w:type="dxa"/>
          </w:tcPr>
          <w:p w14:paraId="43B705A3" w14:textId="60A66A02"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2.25 (1.91-2.65) </w:t>
            </w:r>
          </w:p>
        </w:tc>
      </w:tr>
      <w:tr w:rsidR="003A453C" w:rsidRPr="005514A4" w14:paraId="7DF4D77F" w14:textId="5F602491" w:rsidTr="005514A4">
        <w:tc>
          <w:tcPr>
            <w:tcW w:w="6516" w:type="dxa"/>
          </w:tcPr>
          <w:p w14:paraId="6DF8D449" w14:textId="14EB6842"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Average number of residents per house (per 0.1 increase)</w:t>
            </w:r>
          </w:p>
        </w:tc>
        <w:tc>
          <w:tcPr>
            <w:tcW w:w="2268" w:type="dxa"/>
          </w:tcPr>
          <w:p w14:paraId="0667AD2A" w14:textId="6B3DBC1F"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1.07 (1.03-1.11) </w:t>
            </w:r>
          </w:p>
        </w:tc>
      </w:tr>
      <w:tr w:rsidR="003A453C" w:rsidRPr="005514A4" w14:paraId="4799D5B7" w14:textId="526AD99B" w:rsidTr="005514A4">
        <w:tc>
          <w:tcPr>
            <w:tcW w:w="6516" w:type="dxa"/>
          </w:tcPr>
          <w:p w14:paraId="34FC2164" w14:textId="1DC9D1C5"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rented households (per 10% increase)</w:t>
            </w:r>
          </w:p>
        </w:tc>
        <w:tc>
          <w:tcPr>
            <w:tcW w:w="2268" w:type="dxa"/>
          </w:tcPr>
          <w:p w14:paraId="682AF5BC" w14:textId="3A66D298"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0.99 (0.97-1.01) </w:t>
            </w:r>
          </w:p>
        </w:tc>
      </w:tr>
      <w:tr w:rsidR="003A453C" w:rsidRPr="005514A4" w14:paraId="27F128EB" w14:textId="532212C0" w:rsidTr="005514A4">
        <w:tc>
          <w:tcPr>
            <w:tcW w:w="6516" w:type="dxa"/>
          </w:tcPr>
          <w:p w14:paraId="73A8A5E5" w14:textId="1434F0C7"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residents employed in health care services (per 10% increase)</w:t>
            </w:r>
          </w:p>
        </w:tc>
        <w:tc>
          <w:tcPr>
            <w:tcW w:w="2268" w:type="dxa"/>
          </w:tcPr>
          <w:p w14:paraId="5D362757" w14:textId="15A9E943"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1.17 (1.12-1.22) </w:t>
            </w:r>
          </w:p>
        </w:tc>
      </w:tr>
      <w:tr w:rsidR="003A453C" w:rsidRPr="005514A4" w14:paraId="5D1F7C38" w14:textId="01901B69" w:rsidTr="005514A4">
        <w:tc>
          <w:tcPr>
            <w:tcW w:w="6516" w:type="dxa"/>
          </w:tcPr>
          <w:p w14:paraId="69BB9A68" w14:textId="4C68B4BF"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Proportion of residents employed in agricultural industry (per 10% increase)</w:t>
            </w:r>
          </w:p>
        </w:tc>
        <w:tc>
          <w:tcPr>
            <w:tcW w:w="2268" w:type="dxa"/>
          </w:tcPr>
          <w:p w14:paraId="107846B7" w14:textId="3266733A"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1.26 (1.03-1.55) </w:t>
            </w:r>
          </w:p>
        </w:tc>
      </w:tr>
      <w:tr w:rsidR="003A453C" w:rsidRPr="005514A4" w14:paraId="7AD06CE5" w14:textId="713D9D77" w:rsidTr="005514A4">
        <w:tc>
          <w:tcPr>
            <w:tcW w:w="6516" w:type="dxa"/>
          </w:tcPr>
          <w:p w14:paraId="1BED5487" w14:textId="38B725EC"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Average number of people per bedroom (per </w:t>
            </w:r>
            <w:proofErr w:type="gramStart"/>
            <w:r w:rsidRPr="005514A4">
              <w:rPr>
                <w:rFonts w:ascii="Times New Roman" w:hAnsi="Times New Roman" w:cs="Times New Roman"/>
                <w:sz w:val="20"/>
                <w:szCs w:val="20"/>
              </w:rPr>
              <w:t>0.1 unit</w:t>
            </w:r>
            <w:proofErr w:type="gramEnd"/>
            <w:r w:rsidRPr="005514A4">
              <w:rPr>
                <w:rFonts w:ascii="Times New Roman" w:hAnsi="Times New Roman" w:cs="Times New Roman"/>
                <w:sz w:val="20"/>
                <w:szCs w:val="20"/>
              </w:rPr>
              <w:t xml:space="preserve"> increase)</w:t>
            </w:r>
          </w:p>
        </w:tc>
        <w:tc>
          <w:tcPr>
            <w:tcW w:w="2268" w:type="dxa"/>
          </w:tcPr>
          <w:p w14:paraId="63CED268" w14:textId="1F5F4147"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0.95 (0.87-1.04) </w:t>
            </w:r>
          </w:p>
        </w:tc>
      </w:tr>
      <w:tr w:rsidR="003A453C" w:rsidRPr="005514A4" w14:paraId="63A4A293" w14:textId="106ABEDE" w:rsidTr="005514A4">
        <w:tc>
          <w:tcPr>
            <w:tcW w:w="6516" w:type="dxa"/>
          </w:tcPr>
          <w:p w14:paraId="28EE93B0" w14:textId="7DD0F6DB"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Index of relative socioeconomic disadvantage (per 100 units increase)</w:t>
            </w:r>
          </w:p>
        </w:tc>
        <w:tc>
          <w:tcPr>
            <w:tcW w:w="2268" w:type="dxa"/>
          </w:tcPr>
          <w:p w14:paraId="6A291161" w14:textId="24580607"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1.21 (1.13-1.29) </w:t>
            </w:r>
          </w:p>
        </w:tc>
      </w:tr>
      <w:tr w:rsidR="003A453C" w:rsidRPr="005514A4" w14:paraId="4ADCA17F" w14:textId="448CA20F" w:rsidTr="005514A4">
        <w:tc>
          <w:tcPr>
            <w:tcW w:w="6516" w:type="dxa"/>
          </w:tcPr>
          <w:p w14:paraId="3DFDC0DD" w14:textId="5DA71E7D"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Number of people per km squared (per 1000 people increase)</w:t>
            </w:r>
          </w:p>
        </w:tc>
        <w:tc>
          <w:tcPr>
            <w:tcW w:w="2268" w:type="dxa"/>
          </w:tcPr>
          <w:p w14:paraId="623201E6" w14:textId="5FEC0E16" w:rsidR="003A453C" w:rsidRPr="005514A4" w:rsidRDefault="003A453C" w:rsidP="005514A4">
            <w:pPr>
              <w:pStyle w:val="NoSpacing"/>
              <w:spacing w:line="480" w:lineRule="auto"/>
              <w:rPr>
                <w:rFonts w:ascii="Times New Roman" w:hAnsi="Times New Roman" w:cs="Times New Roman"/>
                <w:sz w:val="20"/>
                <w:szCs w:val="20"/>
              </w:rPr>
            </w:pPr>
            <w:r w:rsidRPr="005514A4">
              <w:rPr>
                <w:rFonts w:ascii="Times New Roman" w:hAnsi="Times New Roman" w:cs="Times New Roman"/>
                <w:sz w:val="20"/>
                <w:szCs w:val="20"/>
              </w:rPr>
              <w:t xml:space="preserve">0.65 (0.60-0.69) </w:t>
            </w:r>
          </w:p>
        </w:tc>
      </w:tr>
    </w:tbl>
    <w:p w14:paraId="79DFD304" w14:textId="77777777" w:rsidR="00C84D6B" w:rsidRDefault="00C84D6B" w:rsidP="005514A4">
      <w:pPr>
        <w:spacing w:line="480" w:lineRule="auto"/>
        <w:rPr>
          <w:rFonts w:ascii="Times New Roman" w:hAnsi="Times New Roman" w:cs="Times New Roman"/>
          <w:b/>
          <w:bCs/>
        </w:rPr>
      </w:pPr>
    </w:p>
    <w:p w14:paraId="20FDDBC7" w14:textId="7F7A43F7" w:rsidR="00ED09AA" w:rsidRPr="00972DB2" w:rsidRDefault="00C84D6B" w:rsidP="007D3BB5">
      <w:pPr>
        <w:spacing w:line="240" w:lineRule="auto"/>
        <w:rPr>
          <w:sz w:val="20"/>
          <w:szCs w:val="20"/>
        </w:rPr>
      </w:pPr>
      <w:r>
        <w:rPr>
          <w:rFonts w:ascii="Times New Roman" w:hAnsi="Times New Roman" w:cs="Times New Roman"/>
          <w:b/>
          <w:bCs/>
        </w:rPr>
        <w:br w:type="column"/>
      </w:r>
      <w:r w:rsidR="00B2209E" w:rsidRPr="00972DB2">
        <w:rPr>
          <w:rFonts w:ascii="Times New Roman" w:hAnsi="Times New Roman" w:cs="Times New Roman"/>
          <w:b/>
          <w:bCs/>
          <w:sz w:val="20"/>
          <w:szCs w:val="20"/>
        </w:rPr>
        <w:lastRenderedPageBreak/>
        <w:t xml:space="preserve">Supplementary </w:t>
      </w:r>
      <w:r w:rsidR="00ED09AA" w:rsidRPr="00972DB2">
        <w:rPr>
          <w:rFonts w:ascii="Times New Roman" w:hAnsi="Times New Roman" w:cs="Times New Roman"/>
          <w:b/>
          <w:bCs/>
          <w:color w:val="000000" w:themeColor="text1"/>
          <w:sz w:val="20"/>
          <w:szCs w:val="20"/>
        </w:rPr>
        <w:t xml:space="preserve">Table </w:t>
      </w:r>
      <w:r w:rsidR="00ED09AA" w:rsidRPr="00972DB2">
        <w:rPr>
          <w:rFonts w:ascii="Times New Roman" w:hAnsi="Times New Roman" w:cs="Times New Roman"/>
          <w:b/>
          <w:bCs/>
          <w:color w:val="000000" w:themeColor="text1"/>
          <w:sz w:val="20"/>
          <w:szCs w:val="20"/>
        </w:rPr>
        <w:fldChar w:fldCharType="begin"/>
      </w:r>
      <w:r w:rsidR="00ED09AA" w:rsidRPr="00972DB2">
        <w:rPr>
          <w:rFonts w:ascii="Times New Roman" w:hAnsi="Times New Roman" w:cs="Times New Roman"/>
          <w:b/>
          <w:bCs/>
          <w:color w:val="000000" w:themeColor="text1"/>
          <w:sz w:val="20"/>
          <w:szCs w:val="20"/>
        </w:rPr>
        <w:instrText xml:space="preserve"> SEQ Table \* ARABIC </w:instrText>
      </w:r>
      <w:r w:rsidR="00ED09AA" w:rsidRPr="00972DB2">
        <w:rPr>
          <w:rFonts w:ascii="Times New Roman" w:hAnsi="Times New Roman" w:cs="Times New Roman"/>
          <w:b/>
          <w:bCs/>
          <w:color w:val="000000" w:themeColor="text1"/>
          <w:sz w:val="20"/>
          <w:szCs w:val="20"/>
        </w:rPr>
        <w:fldChar w:fldCharType="separate"/>
      </w:r>
      <w:r w:rsidR="001066C1" w:rsidRPr="00972DB2">
        <w:rPr>
          <w:rFonts w:ascii="Times New Roman" w:hAnsi="Times New Roman" w:cs="Times New Roman"/>
          <w:b/>
          <w:bCs/>
          <w:noProof/>
          <w:color w:val="000000" w:themeColor="text1"/>
          <w:sz w:val="20"/>
          <w:szCs w:val="20"/>
        </w:rPr>
        <w:t>3</w:t>
      </w:r>
      <w:r w:rsidR="00ED09AA" w:rsidRPr="00972DB2">
        <w:rPr>
          <w:rFonts w:ascii="Times New Roman" w:hAnsi="Times New Roman" w:cs="Times New Roman"/>
          <w:b/>
          <w:bCs/>
          <w:color w:val="000000" w:themeColor="text1"/>
          <w:sz w:val="20"/>
          <w:szCs w:val="20"/>
        </w:rPr>
        <w:fldChar w:fldCharType="end"/>
      </w:r>
      <w:r w:rsidR="00ED09AA" w:rsidRPr="00972DB2">
        <w:rPr>
          <w:rFonts w:ascii="Times New Roman" w:hAnsi="Times New Roman" w:cs="Times New Roman"/>
          <w:b/>
          <w:bCs/>
          <w:color w:val="000000" w:themeColor="text1"/>
          <w:sz w:val="20"/>
          <w:szCs w:val="20"/>
        </w:rPr>
        <w:t>. Multivariable spatial analysis of demographic predictors and ESBL-Ec incidence in 2011, with comparison of results across 3 different models</w:t>
      </w:r>
    </w:p>
    <w:tbl>
      <w:tblPr>
        <w:tblStyle w:val="TableGrid"/>
        <w:tblW w:w="0" w:type="auto"/>
        <w:tblLook w:val="04A0" w:firstRow="1" w:lastRow="0" w:firstColumn="1" w:lastColumn="0" w:noHBand="0" w:noVBand="1"/>
      </w:tblPr>
      <w:tblGrid>
        <w:gridCol w:w="6091"/>
        <w:gridCol w:w="2835"/>
        <w:gridCol w:w="2551"/>
        <w:gridCol w:w="2471"/>
      </w:tblGrid>
      <w:tr w:rsidR="00A20874" w:rsidRPr="00C937A7" w14:paraId="4F94F358" w14:textId="77777777" w:rsidTr="002B365D">
        <w:tc>
          <w:tcPr>
            <w:tcW w:w="6091" w:type="dxa"/>
          </w:tcPr>
          <w:p w14:paraId="06C91DF8" w14:textId="2E1DC022" w:rsidR="00A20874" w:rsidRPr="00C937A7" w:rsidRDefault="00ED09AA"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Year 2011</w:t>
            </w:r>
          </w:p>
        </w:tc>
        <w:tc>
          <w:tcPr>
            <w:tcW w:w="2835" w:type="dxa"/>
          </w:tcPr>
          <w:p w14:paraId="6C8F691D" w14:textId="364AD8CA" w:rsidR="00A20874" w:rsidRPr="00C937A7" w:rsidRDefault="00A20874"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Spatially unstructured random effects model (</w:t>
            </w:r>
            <w:r w:rsidRPr="00C937A7">
              <w:rPr>
                <w:rFonts w:ascii="Times New Roman" w:hAnsi="Times New Roman" w:cs="Times New Roman"/>
                <w:b/>
                <w:bCs/>
                <w:i/>
                <w:iCs/>
                <w:sz w:val="18"/>
                <w:szCs w:val="18"/>
              </w:rPr>
              <w:t>s</w:t>
            </w:r>
            <w:r w:rsidRPr="00C937A7">
              <w:rPr>
                <w:rFonts w:ascii="Times New Roman" w:hAnsi="Times New Roman" w:cs="Times New Roman"/>
                <w:b/>
                <w:bCs/>
                <w:sz w:val="18"/>
                <w:szCs w:val="18"/>
              </w:rPr>
              <w:t>+</w:t>
            </w:r>
            <w:r w:rsidR="00262C69" w:rsidRPr="00C937A7">
              <w:rPr>
                <w:rFonts w:ascii="Times New Roman" w:hAnsi="Times New Roman" w:cs="Times New Roman"/>
                <w:b/>
                <w:bCs/>
                <w:i/>
                <w:iCs/>
                <w:sz w:val="18"/>
                <w:szCs w:val="18"/>
              </w:rPr>
              <w:t>µ</w:t>
            </w:r>
            <w:r w:rsidRPr="00C937A7">
              <w:rPr>
                <w:rFonts w:ascii="Times New Roman" w:hAnsi="Times New Roman" w:cs="Times New Roman"/>
                <w:b/>
                <w:bCs/>
                <w:sz w:val="18"/>
                <w:szCs w:val="18"/>
              </w:rPr>
              <w:t>)</w:t>
            </w:r>
          </w:p>
        </w:tc>
        <w:tc>
          <w:tcPr>
            <w:tcW w:w="2551" w:type="dxa"/>
          </w:tcPr>
          <w:p w14:paraId="54C07C50" w14:textId="77777777" w:rsidR="00A20874" w:rsidRPr="00C937A7" w:rsidRDefault="00A20874"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Spatially structured model (</w:t>
            </w:r>
            <w:r w:rsidRPr="00C937A7">
              <w:rPr>
                <w:rFonts w:ascii="Times New Roman" w:hAnsi="Times New Roman" w:cs="Times New Roman"/>
                <w:b/>
                <w:bCs/>
                <w:i/>
                <w:iCs/>
                <w:sz w:val="18"/>
                <w:szCs w:val="18"/>
              </w:rPr>
              <w:t>s</w:t>
            </w:r>
            <w:r w:rsidRPr="00C937A7">
              <w:rPr>
                <w:rFonts w:ascii="Times New Roman" w:hAnsi="Times New Roman" w:cs="Times New Roman"/>
                <w:b/>
                <w:bCs/>
                <w:sz w:val="18"/>
                <w:szCs w:val="18"/>
              </w:rPr>
              <w:t>)</w:t>
            </w:r>
          </w:p>
        </w:tc>
        <w:tc>
          <w:tcPr>
            <w:tcW w:w="2471" w:type="dxa"/>
          </w:tcPr>
          <w:p w14:paraId="776DEFC9" w14:textId="10347312" w:rsidR="00A20874" w:rsidRPr="00C937A7" w:rsidRDefault="00A20874"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Unstructured random effects model (</w:t>
            </w:r>
            <w:r w:rsidR="00262C69" w:rsidRPr="00C937A7">
              <w:rPr>
                <w:rFonts w:ascii="Times New Roman" w:hAnsi="Times New Roman" w:cs="Times New Roman"/>
                <w:b/>
                <w:bCs/>
                <w:i/>
                <w:iCs/>
                <w:sz w:val="18"/>
                <w:szCs w:val="18"/>
              </w:rPr>
              <w:t>µ</w:t>
            </w:r>
            <w:r w:rsidRPr="00C937A7">
              <w:rPr>
                <w:rFonts w:ascii="Times New Roman" w:hAnsi="Times New Roman" w:cs="Times New Roman"/>
                <w:b/>
                <w:bCs/>
                <w:sz w:val="18"/>
                <w:szCs w:val="18"/>
              </w:rPr>
              <w:t>)</w:t>
            </w:r>
          </w:p>
        </w:tc>
      </w:tr>
      <w:tr w:rsidR="00A20874" w:rsidRPr="00C937A7" w14:paraId="2053058A" w14:textId="77777777" w:rsidTr="002B365D">
        <w:tc>
          <w:tcPr>
            <w:tcW w:w="6091" w:type="dxa"/>
          </w:tcPr>
          <w:p w14:paraId="20486497" w14:textId="22EC48BD" w:rsidR="00A20874" w:rsidRPr="00C937A7" w:rsidRDefault="00E7596B"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Demographic variable</w:t>
            </w:r>
          </w:p>
        </w:tc>
        <w:tc>
          <w:tcPr>
            <w:tcW w:w="7857" w:type="dxa"/>
            <w:gridSpan w:val="3"/>
          </w:tcPr>
          <w:p w14:paraId="1447C4BB" w14:textId="64B58433" w:rsidR="00A20874" w:rsidRPr="00C937A7" w:rsidRDefault="00A20874"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Relative risk (95% CI)</w:t>
            </w:r>
          </w:p>
        </w:tc>
      </w:tr>
      <w:tr w:rsidR="003A453C" w:rsidRPr="00C937A7" w14:paraId="47790316" w14:textId="77777777" w:rsidTr="002B365D">
        <w:trPr>
          <w:trHeight w:val="158"/>
        </w:trPr>
        <w:tc>
          <w:tcPr>
            <w:tcW w:w="6091" w:type="dxa"/>
          </w:tcPr>
          <w:p w14:paraId="2C083D2D" w14:textId="38411FE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Number of people per km squared (per 1000 people increase)</w:t>
            </w:r>
          </w:p>
        </w:tc>
        <w:tc>
          <w:tcPr>
            <w:tcW w:w="2835" w:type="dxa"/>
          </w:tcPr>
          <w:p w14:paraId="531FAA1C" w14:textId="4CC6B86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0.96 (0.78-1.19)</w:t>
            </w:r>
          </w:p>
        </w:tc>
        <w:tc>
          <w:tcPr>
            <w:tcW w:w="2551" w:type="dxa"/>
          </w:tcPr>
          <w:p w14:paraId="00CDC7F2" w14:textId="34B48000"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0.95 (0.77-1.17)</w:t>
            </w:r>
          </w:p>
        </w:tc>
        <w:tc>
          <w:tcPr>
            <w:tcW w:w="2471" w:type="dxa"/>
          </w:tcPr>
          <w:p w14:paraId="717C453C" w14:textId="1A1503B4"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1.00 (0.82-1.22)</w:t>
            </w:r>
          </w:p>
        </w:tc>
      </w:tr>
      <w:tr w:rsidR="003A453C" w:rsidRPr="00C937A7" w14:paraId="26B0D8DC" w14:textId="77777777" w:rsidTr="002B365D">
        <w:tc>
          <w:tcPr>
            <w:tcW w:w="6091" w:type="dxa"/>
          </w:tcPr>
          <w:p w14:paraId="087844C7" w14:textId="68B74365"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Median age (per 1 year increase)</w:t>
            </w:r>
          </w:p>
        </w:tc>
        <w:tc>
          <w:tcPr>
            <w:tcW w:w="2835" w:type="dxa"/>
          </w:tcPr>
          <w:p w14:paraId="08F33B59" w14:textId="7777777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1.00 (0.96-1.04)</w:t>
            </w:r>
          </w:p>
        </w:tc>
        <w:tc>
          <w:tcPr>
            <w:tcW w:w="2551" w:type="dxa"/>
          </w:tcPr>
          <w:p w14:paraId="76386985" w14:textId="7777777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1.00 (0.96-1.04)</w:t>
            </w:r>
          </w:p>
        </w:tc>
        <w:tc>
          <w:tcPr>
            <w:tcW w:w="2471" w:type="dxa"/>
          </w:tcPr>
          <w:p w14:paraId="6D350940" w14:textId="7777777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1.00 (0.96-1.04)</w:t>
            </w:r>
          </w:p>
        </w:tc>
      </w:tr>
      <w:tr w:rsidR="003A453C" w:rsidRPr="00C937A7" w14:paraId="4F498841" w14:textId="77777777" w:rsidTr="002B365D">
        <w:tc>
          <w:tcPr>
            <w:tcW w:w="6091" w:type="dxa"/>
          </w:tcPr>
          <w:p w14:paraId="697C2618" w14:textId="1F6CDECB"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Proportion of male (per 10% increase)</w:t>
            </w:r>
          </w:p>
        </w:tc>
        <w:tc>
          <w:tcPr>
            <w:tcW w:w="2835" w:type="dxa"/>
          </w:tcPr>
          <w:p w14:paraId="5ACE4D12" w14:textId="3D237868"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0.67 (0.32-1.41)</w:t>
            </w:r>
          </w:p>
        </w:tc>
        <w:tc>
          <w:tcPr>
            <w:tcW w:w="2551" w:type="dxa"/>
          </w:tcPr>
          <w:p w14:paraId="376F8A06" w14:textId="4E728D3C"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0.67 (0.31-1.40)</w:t>
            </w:r>
          </w:p>
        </w:tc>
        <w:tc>
          <w:tcPr>
            <w:tcW w:w="2471" w:type="dxa"/>
          </w:tcPr>
          <w:p w14:paraId="4D0EE3E4" w14:textId="3C33A93D"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0.81 (0.39-1.64)</w:t>
            </w:r>
          </w:p>
        </w:tc>
      </w:tr>
      <w:tr w:rsidR="003A453C" w:rsidRPr="00C937A7" w14:paraId="378AEE99" w14:textId="77777777" w:rsidTr="002B365D">
        <w:tc>
          <w:tcPr>
            <w:tcW w:w="6091" w:type="dxa"/>
          </w:tcPr>
          <w:p w14:paraId="52FD0B11" w14:textId="1094380B"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Proportion of Aboriginal and Torres Strait Islander (per 10% increase)</w:t>
            </w:r>
          </w:p>
        </w:tc>
        <w:tc>
          <w:tcPr>
            <w:tcW w:w="2835" w:type="dxa"/>
          </w:tcPr>
          <w:p w14:paraId="509E62C4" w14:textId="657B2F66"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0.97 (0.73-1.29)</w:t>
            </w:r>
          </w:p>
        </w:tc>
        <w:tc>
          <w:tcPr>
            <w:tcW w:w="2551" w:type="dxa"/>
          </w:tcPr>
          <w:p w14:paraId="673FE001" w14:textId="1E9B83EF"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0.97 (0.73-1.28)</w:t>
            </w:r>
          </w:p>
        </w:tc>
        <w:tc>
          <w:tcPr>
            <w:tcW w:w="2471" w:type="dxa"/>
          </w:tcPr>
          <w:p w14:paraId="1881684C" w14:textId="78441459"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1.08 (0.83-1.41)</w:t>
            </w:r>
          </w:p>
        </w:tc>
      </w:tr>
      <w:tr w:rsidR="003A453C" w:rsidRPr="00C937A7" w14:paraId="0664D516" w14:textId="77777777" w:rsidTr="002B365D">
        <w:tc>
          <w:tcPr>
            <w:tcW w:w="6091" w:type="dxa"/>
          </w:tcPr>
          <w:p w14:paraId="67F025E4" w14:textId="4BC74F2B"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Proportion of residents born in Australia (per 10% increase)</w:t>
            </w:r>
          </w:p>
        </w:tc>
        <w:tc>
          <w:tcPr>
            <w:tcW w:w="2835" w:type="dxa"/>
          </w:tcPr>
          <w:p w14:paraId="02EA9285" w14:textId="42F822E1"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0.97 (0.78-1.20)</w:t>
            </w:r>
          </w:p>
        </w:tc>
        <w:tc>
          <w:tcPr>
            <w:tcW w:w="2551" w:type="dxa"/>
          </w:tcPr>
          <w:p w14:paraId="7C03A100" w14:textId="24E04BC4"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0.97 (0.79-1.21)</w:t>
            </w:r>
          </w:p>
        </w:tc>
        <w:tc>
          <w:tcPr>
            <w:tcW w:w="2471" w:type="dxa"/>
          </w:tcPr>
          <w:p w14:paraId="32446F0B" w14:textId="1561D916"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0.98 (0.81-1.18)</w:t>
            </w:r>
          </w:p>
        </w:tc>
      </w:tr>
      <w:tr w:rsidR="003A453C" w:rsidRPr="00C937A7" w14:paraId="399997B4" w14:textId="77777777" w:rsidTr="002B365D">
        <w:tc>
          <w:tcPr>
            <w:tcW w:w="6091" w:type="dxa"/>
          </w:tcPr>
          <w:p w14:paraId="3498E3A6" w14:textId="66DE8656"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 xml:space="preserve">Average number of children per family (per </w:t>
            </w:r>
            <w:proofErr w:type="gramStart"/>
            <w:r w:rsidRPr="00C937A7">
              <w:rPr>
                <w:rFonts w:ascii="Times New Roman" w:hAnsi="Times New Roman" w:cs="Times New Roman"/>
                <w:sz w:val="18"/>
                <w:szCs w:val="18"/>
              </w:rPr>
              <w:t>0.1 unit</w:t>
            </w:r>
            <w:proofErr w:type="gramEnd"/>
            <w:r w:rsidRPr="00C937A7">
              <w:rPr>
                <w:rFonts w:ascii="Times New Roman" w:hAnsi="Times New Roman" w:cs="Times New Roman"/>
                <w:sz w:val="18"/>
                <w:szCs w:val="18"/>
              </w:rPr>
              <w:t xml:space="preserve"> increase)</w:t>
            </w:r>
          </w:p>
        </w:tc>
        <w:tc>
          <w:tcPr>
            <w:tcW w:w="2835" w:type="dxa"/>
          </w:tcPr>
          <w:p w14:paraId="6862308B" w14:textId="4E04CCA2"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0.90 (0.76-1.06)</w:t>
            </w:r>
          </w:p>
        </w:tc>
        <w:tc>
          <w:tcPr>
            <w:tcW w:w="2551" w:type="dxa"/>
          </w:tcPr>
          <w:p w14:paraId="19ED2B27" w14:textId="2A8F25AE"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0.90 (0.76-1.06)</w:t>
            </w:r>
          </w:p>
        </w:tc>
        <w:tc>
          <w:tcPr>
            <w:tcW w:w="2471" w:type="dxa"/>
          </w:tcPr>
          <w:p w14:paraId="3A9D24CD" w14:textId="3E9CE70D"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0.90 (0.76-1.07)</w:t>
            </w:r>
          </w:p>
        </w:tc>
      </w:tr>
      <w:tr w:rsidR="003A453C" w:rsidRPr="00C937A7" w14:paraId="3B38B650" w14:textId="77777777" w:rsidTr="002B365D">
        <w:tc>
          <w:tcPr>
            <w:tcW w:w="6091" w:type="dxa"/>
          </w:tcPr>
          <w:p w14:paraId="545D95F4" w14:textId="4E7E6665"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Average number of residents per house (per 0.1 increase)</w:t>
            </w:r>
          </w:p>
        </w:tc>
        <w:tc>
          <w:tcPr>
            <w:tcW w:w="2835" w:type="dxa"/>
          </w:tcPr>
          <w:p w14:paraId="254E8902" w14:textId="14F76DD0"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1.02 (0.93-1.12)</w:t>
            </w:r>
          </w:p>
        </w:tc>
        <w:tc>
          <w:tcPr>
            <w:tcW w:w="2551" w:type="dxa"/>
          </w:tcPr>
          <w:p w14:paraId="50EAE39F" w14:textId="4167667F"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1.02 (0.93-1.12)</w:t>
            </w:r>
          </w:p>
        </w:tc>
        <w:tc>
          <w:tcPr>
            <w:tcW w:w="2471" w:type="dxa"/>
          </w:tcPr>
          <w:p w14:paraId="5E2B390E" w14:textId="12F7842B"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1.02 (0.94-1.12)</w:t>
            </w:r>
          </w:p>
        </w:tc>
      </w:tr>
      <w:tr w:rsidR="003A453C" w:rsidRPr="00C937A7" w14:paraId="68E9A573" w14:textId="77777777" w:rsidTr="002B365D">
        <w:tc>
          <w:tcPr>
            <w:tcW w:w="6091" w:type="dxa"/>
          </w:tcPr>
          <w:p w14:paraId="09B6E7F1" w14:textId="26F55AF5"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Proportion of rented households (per 10% increase)</w:t>
            </w:r>
          </w:p>
        </w:tc>
        <w:tc>
          <w:tcPr>
            <w:tcW w:w="2835" w:type="dxa"/>
          </w:tcPr>
          <w:p w14:paraId="48ECC9F7" w14:textId="75092472"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0.94 (0.75-1.14)</w:t>
            </w:r>
          </w:p>
        </w:tc>
        <w:tc>
          <w:tcPr>
            <w:tcW w:w="2551" w:type="dxa"/>
          </w:tcPr>
          <w:p w14:paraId="3F0CD229" w14:textId="6FC852F2"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0.94 (0.75-1.15)</w:t>
            </w:r>
          </w:p>
        </w:tc>
        <w:tc>
          <w:tcPr>
            <w:tcW w:w="2471" w:type="dxa"/>
          </w:tcPr>
          <w:p w14:paraId="69E74908" w14:textId="6B780CCC"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0.94 (0.76-1.15)</w:t>
            </w:r>
          </w:p>
        </w:tc>
      </w:tr>
      <w:tr w:rsidR="003A453C" w:rsidRPr="00C937A7" w14:paraId="7480E338" w14:textId="77777777" w:rsidTr="002B365D">
        <w:tc>
          <w:tcPr>
            <w:tcW w:w="6091" w:type="dxa"/>
          </w:tcPr>
          <w:p w14:paraId="667D1C0B" w14:textId="327FA55F"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Proportion of residents employed in health care services (per 10% increase)</w:t>
            </w:r>
          </w:p>
        </w:tc>
        <w:tc>
          <w:tcPr>
            <w:tcW w:w="2835" w:type="dxa"/>
          </w:tcPr>
          <w:p w14:paraId="68A9C815" w14:textId="3E16351C"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0.93 (0.51-1.69)</w:t>
            </w:r>
          </w:p>
        </w:tc>
        <w:tc>
          <w:tcPr>
            <w:tcW w:w="2551" w:type="dxa"/>
          </w:tcPr>
          <w:p w14:paraId="546DB1A8" w14:textId="402F24B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0.93 (0.50-1.69)</w:t>
            </w:r>
          </w:p>
        </w:tc>
        <w:tc>
          <w:tcPr>
            <w:tcW w:w="2471" w:type="dxa"/>
          </w:tcPr>
          <w:p w14:paraId="0F4566AE" w14:textId="5C579B15"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0.86 (0.50-1.49)</w:t>
            </w:r>
          </w:p>
        </w:tc>
      </w:tr>
      <w:tr w:rsidR="003A453C" w:rsidRPr="00C937A7" w14:paraId="71F0CFCA" w14:textId="77777777" w:rsidTr="002B365D">
        <w:tc>
          <w:tcPr>
            <w:tcW w:w="6091" w:type="dxa"/>
          </w:tcPr>
          <w:p w14:paraId="0F99DC86" w14:textId="7852CCF3"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Proportion of residents employed in agricultural industry (per 10% increase)</w:t>
            </w:r>
          </w:p>
        </w:tc>
        <w:tc>
          <w:tcPr>
            <w:tcW w:w="2835" w:type="dxa"/>
          </w:tcPr>
          <w:p w14:paraId="1CADB9DA" w14:textId="2DBE9119"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0.63 (0.46-0.84)</w:t>
            </w:r>
          </w:p>
        </w:tc>
        <w:tc>
          <w:tcPr>
            <w:tcW w:w="2551" w:type="dxa"/>
          </w:tcPr>
          <w:p w14:paraId="4FBFAA60" w14:textId="52C4FF94"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0.62 (0.44-0.85)</w:t>
            </w:r>
          </w:p>
        </w:tc>
        <w:tc>
          <w:tcPr>
            <w:tcW w:w="2471" w:type="dxa"/>
          </w:tcPr>
          <w:p w14:paraId="06F7F7F9" w14:textId="033558F2"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0.57 (0.41-0.77)</w:t>
            </w:r>
          </w:p>
        </w:tc>
      </w:tr>
      <w:tr w:rsidR="003A453C" w:rsidRPr="00C937A7" w14:paraId="40135A6B" w14:textId="77777777" w:rsidTr="002B365D">
        <w:tc>
          <w:tcPr>
            <w:tcW w:w="6091" w:type="dxa"/>
          </w:tcPr>
          <w:p w14:paraId="3E606B66" w14:textId="1D8FC3E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 xml:space="preserve">Average number of people per bedroom (per </w:t>
            </w:r>
            <w:proofErr w:type="gramStart"/>
            <w:r w:rsidRPr="00C937A7">
              <w:rPr>
                <w:rFonts w:ascii="Times New Roman" w:hAnsi="Times New Roman" w:cs="Times New Roman"/>
                <w:sz w:val="18"/>
                <w:szCs w:val="18"/>
              </w:rPr>
              <w:t>0.1 unit</w:t>
            </w:r>
            <w:proofErr w:type="gramEnd"/>
            <w:r w:rsidRPr="00C937A7">
              <w:rPr>
                <w:rFonts w:ascii="Times New Roman" w:hAnsi="Times New Roman" w:cs="Times New Roman"/>
                <w:sz w:val="18"/>
                <w:szCs w:val="18"/>
              </w:rPr>
              <w:t xml:space="preserve"> increase)</w:t>
            </w:r>
          </w:p>
        </w:tc>
        <w:tc>
          <w:tcPr>
            <w:tcW w:w="2835" w:type="dxa"/>
          </w:tcPr>
          <w:p w14:paraId="1404FB01" w14:textId="32E2529C"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1.07 (0.76-1.46)</w:t>
            </w:r>
          </w:p>
        </w:tc>
        <w:tc>
          <w:tcPr>
            <w:tcW w:w="2551" w:type="dxa"/>
          </w:tcPr>
          <w:p w14:paraId="1E1E0BC3" w14:textId="1A2B5A16"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1.06 (0.78-1.45)</w:t>
            </w:r>
          </w:p>
        </w:tc>
        <w:tc>
          <w:tcPr>
            <w:tcW w:w="2471" w:type="dxa"/>
          </w:tcPr>
          <w:p w14:paraId="01B60CBD" w14:textId="7777777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1.10 (0.80-1.52)</w:t>
            </w:r>
          </w:p>
        </w:tc>
      </w:tr>
      <w:tr w:rsidR="003A453C" w:rsidRPr="00C937A7" w14:paraId="5588C65E" w14:textId="77777777" w:rsidTr="002B365D">
        <w:tc>
          <w:tcPr>
            <w:tcW w:w="6091" w:type="dxa"/>
          </w:tcPr>
          <w:p w14:paraId="418097B6" w14:textId="572C5C3C"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Index of relative socioeconomic disadvantage (per 100 units increase)</w:t>
            </w:r>
          </w:p>
        </w:tc>
        <w:tc>
          <w:tcPr>
            <w:tcW w:w="2835" w:type="dxa"/>
          </w:tcPr>
          <w:p w14:paraId="7D48ED9E" w14:textId="4AFF1CEC"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0.62 (0.46-0.81)</w:t>
            </w:r>
          </w:p>
        </w:tc>
        <w:tc>
          <w:tcPr>
            <w:tcW w:w="2551" w:type="dxa"/>
          </w:tcPr>
          <w:p w14:paraId="71D0B1B1" w14:textId="29E7BE7F"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0.61 (0.46-0.82)</w:t>
            </w:r>
          </w:p>
        </w:tc>
        <w:tc>
          <w:tcPr>
            <w:tcW w:w="2471" w:type="dxa"/>
          </w:tcPr>
          <w:p w14:paraId="6E3DD7B2" w14:textId="68EC0E97" w:rsidR="003A453C" w:rsidRPr="00C937A7" w:rsidRDefault="003A453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0.68 (0.51-0.89)</w:t>
            </w:r>
          </w:p>
        </w:tc>
      </w:tr>
      <w:tr w:rsidR="00A20874" w:rsidRPr="00C937A7" w14:paraId="2E48B8EC" w14:textId="77777777" w:rsidTr="002B365D">
        <w:tc>
          <w:tcPr>
            <w:tcW w:w="6091" w:type="dxa"/>
          </w:tcPr>
          <w:p w14:paraId="7B2EE3FA" w14:textId="1C76FF00" w:rsidR="00A20874" w:rsidRPr="00C937A7" w:rsidRDefault="00A20874" w:rsidP="007D3BB5">
            <w:pPr>
              <w:pStyle w:val="NoSpacing"/>
              <w:spacing w:line="480" w:lineRule="auto"/>
              <w:rPr>
                <w:rFonts w:ascii="Times New Roman" w:hAnsi="Times New Roman" w:cs="Times New Roman"/>
                <w:b/>
                <w:bCs/>
                <w:sz w:val="18"/>
                <w:szCs w:val="18"/>
              </w:rPr>
            </w:pPr>
          </w:p>
        </w:tc>
        <w:tc>
          <w:tcPr>
            <w:tcW w:w="7857" w:type="dxa"/>
            <w:gridSpan w:val="3"/>
          </w:tcPr>
          <w:p w14:paraId="50ECFA3C" w14:textId="1C21726D" w:rsidR="00A20874" w:rsidRPr="00C937A7" w:rsidRDefault="00981B7C"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Posterior mean of variance (95% CI)</w:t>
            </w:r>
          </w:p>
        </w:tc>
      </w:tr>
      <w:tr w:rsidR="00A20874" w:rsidRPr="00C937A7" w14:paraId="747C05D1" w14:textId="77777777" w:rsidTr="002B365D">
        <w:tc>
          <w:tcPr>
            <w:tcW w:w="6091" w:type="dxa"/>
          </w:tcPr>
          <w:p w14:paraId="36EB0981" w14:textId="4FE6D857"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 xml:space="preserve">Unstructured </w:t>
            </w:r>
            <w:r w:rsidR="00F36890" w:rsidRPr="00C937A7">
              <w:rPr>
                <w:rFonts w:ascii="Times New Roman" w:hAnsi="Times New Roman" w:cs="Times New Roman"/>
                <w:sz w:val="18"/>
                <w:szCs w:val="18"/>
              </w:rPr>
              <w:t>random effects</w:t>
            </w:r>
          </w:p>
        </w:tc>
        <w:tc>
          <w:tcPr>
            <w:tcW w:w="2835" w:type="dxa"/>
          </w:tcPr>
          <w:p w14:paraId="71D8768C" w14:textId="0C796C44"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0.00 (0.00-0.</w:t>
            </w:r>
            <w:r w:rsidR="001B542D" w:rsidRPr="00C937A7">
              <w:rPr>
                <w:rFonts w:ascii="Times New Roman" w:hAnsi="Times New Roman" w:cs="Times New Roman"/>
                <w:sz w:val="18"/>
                <w:szCs w:val="18"/>
              </w:rPr>
              <w:t>07</w:t>
            </w:r>
            <w:r w:rsidRPr="00C937A7">
              <w:rPr>
                <w:rFonts w:ascii="Times New Roman" w:hAnsi="Times New Roman" w:cs="Times New Roman"/>
                <w:sz w:val="18"/>
                <w:szCs w:val="18"/>
              </w:rPr>
              <w:t>)</w:t>
            </w:r>
          </w:p>
        </w:tc>
        <w:tc>
          <w:tcPr>
            <w:tcW w:w="2551" w:type="dxa"/>
          </w:tcPr>
          <w:p w14:paraId="1848CD27" w14:textId="77777777"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w:t>
            </w:r>
          </w:p>
        </w:tc>
        <w:tc>
          <w:tcPr>
            <w:tcW w:w="2471" w:type="dxa"/>
          </w:tcPr>
          <w:p w14:paraId="3BF3010C" w14:textId="7537D129"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0.18 (0.0</w:t>
            </w:r>
            <w:r w:rsidR="00995F28" w:rsidRPr="00C937A7">
              <w:rPr>
                <w:rFonts w:ascii="Times New Roman" w:hAnsi="Times New Roman" w:cs="Times New Roman"/>
                <w:sz w:val="18"/>
                <w:szCs w:val="18"/>
              </w:rPr>
              <w:t>8</w:t>
            </w:r>
            <w:r w:rsidRPr="00C937A7">
              <w:rPr>
                <w:rFonts w:ascii="Times New Roman" w:hAnsi="Times New Roman" w:cs="Times New Roman"/>
                <w:sz w:val="18"/>
                <w:szCs w:val="18"/>
              </w:rPr>
              <w:t>-0.35)</w:t>
            </w:r>
          </w:p>
        </w:tc>
      </w:tr>
      <w:tr w:rsidR="00A20874" w:rsidRPr="00C937A7" w14:paraId="4F75D539" w14:textId="77777777" w:rsidTr="002B365D">
        <w:tc>
          <w:tcPr>
            <w:tcW w:w="6091" w:type="dxa"/>
          </w:tcPr>
          <w:p w14:paraId="54F828AC" w14:textId="0F5BC105"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S</w:t>
            </w:r>
            <w:r w:rsidR="00F36890" w:rsidRPr="00C937A7">
              <w:rPr>
                <w:rFonts w:ascii="Times New Roman" w:hAnsi="Times New Roman" w:cs="Times New Roman"/>
                <w:sz w:val="18"/>
                <w:szCs w:val="18"/>
              </w:rPr>
              <w:t>patially s</w:t>
            </w:r>
            <w:r w:rsidRPr="00C937A7">
              <w:rPr>
                <w:rFonts w:ascii="Times New Roman" w:hAnsi="Times New Roman" w:cs="Times New Roman"/>
                <w:sz w:val="18"/>
                <w:szCs w:val="18"/>
              </w:rPr>
              <w:t>tructured</w:t>
            </w:r>
            <w:r w:rsidR="00F36890" w:rsidRPr="00C937A7">
              <w:rPr>
                <w:rFonts w:ascii="Times New Roman" w:hAnsi="Times New Roman" w:cs="Times New Roman"/>
                <w:sz w:val="18"/>
                <w:szCs w:val="18"/>
              </w:rPr>
              <w:t xml:space="preserve"> random effects</w:t>
            </w:r>
          </w:p>
        </w:tc>
        <w:tc>
          <w:tcPr>
            <w:tcW w:w="2835" w:type="dxa"/>
          </w:tcPr>
          <w:p w14:paraId="4F3D312A" w14:textId="020264C1"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w:t>
            </w:r>
            <w:r w:rsidR="001B542D" w:rsidRPr="00C937A7">
              <w:rPr>
                <w:rFonts w:ascii="Times New Roman" w:hAnsi="Times New Roman" w:cs="Times New Roman"/>
                <w:sz w:val="18"/>
                <w:szCs w:val="18"/>
              </w:rPr>
              <w:t>36</w:t>
            </w:r>
            <w:r w:rsidRPr="00C937A7">
              <w:rPr>
                <w:rFonts w:ascii="Times New Roman" w:hAnsi="Times New Roman" w:cs="Times New Roman"/>
                <w:sz w:val="18"/>
                <w:szCs w:val="18"/>
              </w:rPr>
              <w:t xml:space="preserve"> (0.</w:t>
            </w:r>
            <w:r w:rsidR="001B542D" w:rsidRPr="00C937A7">
              <w:rPr>
                <w:rFonts w:ascii="Times New Roman" w:hAnsi="Times New Roman" w:cs="Times New Roman"/>
                <w:sz w:val="18"/>
                <w:szCs w:val="18"/>
              </w:rPr>
              <w:t>16</w:t>
            </w:r>
            <w:r w:rsidRPr="00C937A7">
              <w:rPr>
                <w:rFonts w:ascii="Times New Roman" w:hAnsi="Times New Roman" w:cs="Times New Roman"/>
                <w:sz w:val="18"/>
                <w:szCs w:val="18"/>
              </w:rPr>
              <w:t>-0.</w:t>
            </w:r>
            <w:r w:rsidR="001B542D" w:rsidRPr="00C937A7">
              <w:rPr>
                <w:rFonts w:ascii="Times New Roman" w:hAnsi="Times New Roman" w:cs="Times New Roman"/>
                <w:sz w:val="18"/>
                <w:szCs w:val="18"/>
              </w:rPr>
              <w:t>82</w:t>
            </w:r>
            <w:r w:rsidRPr="00C937A7">
              <w:rPr>
                <w:rFonts w:ascii="Times New Roman" w:hAnsi="Times New Roman" w:cs="Times New Roman"/>
                <w:sz w:val="18"/>
                <w:szCs w:val="18"/>
              </w:rPr>
              <w:t>)</w:t>
            </w:r>
          </w:p>
        </w:tc>
        <w:tc>
          <w:tcPr>
            <w:tcW w:w="2551" w:type="dxa"/>
          </w:tcPr>
          <w:p w14:paraId="7993FA8F" w14:textId="4E674AED"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0.</w:t>
            </w:r>
            <w:r w:rsidR="006001A6" w:rsidRPr="00C937A7">
              <w:rPr>
                <w:rFonts w:ascii="Times New Roman" w:hAnsi="Times New Roman" w:cs="Times New Roman"/>
                <w:sz w:val="18"/>
                <w:szCs w:val="18"/>
              </w:rPr>
              <w:t>41</w:t>
            </w:r>
            <w:r w:rsidRPr="00C937A7">
              <w:rPr>
                <w:rFonts w:ascii="Times New Roman" w:hAnsi="Times New Roman" w:cs="Times New Roman"/>
                <w:sz w:val="18"/>
                <w:szCs w:val="18"/>
              </w:rPr>
              <w:t xml:space="preserve"> (0.</w:t>
            </w:r>
            <w:r w:rsidR="006001A6" w:rsidRPr="00C937A7">
              <w:rPr>
                <w:rFonts w:ascii="Times New Roman" w:hAnsi="Times New Roman" w:cs="Times New Roman"/>
                <w:sz w:val="18"/>
                <w:szCs w:val="18"/>
              </w:rPr>
              <w:t>20</w:t>
            </w:r>
            <w:r w:rsidRPr="00C937A7">
              <w:rPr>
                <w:rFonts w:ascii="Times New Roman" w:hAnsi="Times New Roman" w:cs="Times New Roman"/>
                <w:sz w:val="18"/>
                <w:szCs w:val="18"/>
              </w:rPr>
              <w:t>-0.8</w:t>
            </w:r>
            <w:r w:rsidR="006001A6" w:rsidRPr="00C937A7">
              <w:rPr>
                <w:rFonts w:ascii="Times New Roman" w:hAnsi="Times New Roman" w:cs="Times New Roman"/>
                <w:sz w:val="18"/>
                <w:szCs w:val="18"/>
              </w:rPr>
              <w:t>7</w:t>
            </w:r>
            <w:r w:rsidRPr="00C937A7">
              <w:rPr>
                <w:rFonts w:ascii="Times New Roman" w:hAnsi="Times New Roman" w:cs="Times New Roman"/>
                <w:sz w:val="18"/>
                <w:szCs w:val="18"/>
              </w:rPr>
              <w:t>)</w:t>
            </w:r>
          </w:p>
        </w:tc>
        <w:tc>
          <w:tcPr>
            <w:tcW w:w="2471" w:type="dxa"/>
          </w:tcPr>
          <w:p w14:paraId="3D004C24" w14:textId="77777777"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w:t>
            </w:r>
          </w:p>
        </w:tc>
      </w:tr>
      <w:tr w:rsidR="00A20874" w:rsidRPr="00C937A7" w14:paraId="6F8B4ADA" w14:textId="77777777" w:rsidTr="002B365D">
        <w:tc>
          <w:tcPr>
            <w:tcW w:w="6091" w:type="dxa"/>
          </w:tcPr>
          <w:p w14:paraId="7681C4DE" w14:textId="77777777" w:rsidR="00A20874" w:rsidRPr="00C937A7" w:rsidRDefault="00A20874" w:rsidP="007D3BB5">
            <w:pPr>
              <w:pStyle w:val="NoSpacing"/>
              <w:spacing w:line="480" w:lineRule="auto"/>
              <w:rPr>
                <w:rFonts w:ascii="Times New Roman" w:hAnsi="Times New Roman" w:cs="Times New Roman"/>
                <w:b/>
                <w:bCs/>
                <w:sz w:val="18"/>
                <w:szCs w:val="18"/>
              </w:rPr>
            </w:pPr>
          </w:p>
        </w:tc>
        <w:tc>
          <w:tcPr>
            <w:tcW w:w="7857" w:type="dxa"/>
            <w:gridSpan w:val="3"/>
          </w:tcPr>
          <w:p w14:paraId="6B6A7EB1" w14:textId="7BF593C5" w:rsidR="00A20874" w:rsidRPr="00C937A7" w:rsidRDefault="00981B7C" w:rsidP="007D3BB5">
            <w:pPr>
              <w:pStyle w:val="NoSpacing"/>
              <w:spacing w:line="480" w:lineRule="auto"/>
              <w:rPr>
                <w:rFonts w:ascii="Times New Roman" w:hAnsi="Times New Roman" w:cs="Times New Roman"/>
                <w:b/>
                <w:bCs/>
                <w:sz w:val="18"/>
                <w:szCs w:val="18"/>
              </w:rPr>
            </w:pPr>
            <w:r w:rsidRPr="00C937A7">
              <w:rPr>
                <w:rFonts w:ascii="Times New Roman" w:hAnsi="Times New Roman" w:cs="Times New Roman"/>
                <w:b/>
                <w:bCs/>
                <w:sz w:val="18"/>
                <w:szCs w:val="18"/>
              </w:rPr>
              <w:t>Deviance information criterion (DIC)</w:t>
            </w:r>
          </w:p>
        </w:tc>
      </w:tr>
      <w:tr w:rsidR="00A20874" w:rsidRPr="00C937A7" w14:paraId="7F51EC0F" w14:textId="77777777" w:rsidTr="002B365D">
        <w:tc>
          <w:tcPr>
            <w:tcW w:w="6091" w:type="dxa"/>
          </w:tcPr>
          <w:p w14:paraId="4DC38574" w14:textId="3B22179E" w:rsidR="00A20874" w:rsidRPr="00C937A7" w:rsidRDefault="00A20874" w:rsidP="007D3BB5">
            <w:pPr>
              <w:pStyle w:val="NoSpacing"/>
              <w:spacing w:line="480" w:lineRule="auto"/>
              <w:rPr>
                <w:rFonts w:ascii="Times New Roman" w:hAnsi="Times New Roman" w:cs="Times New Roman"/>
                <w:sz w:val="18"/>
                <w:szCs w:val="18"/>
              </w:rPr>
            </w:pPr>
          </w:p>
        </w:tc>
        <w:tc>
          <w:tcPr>
            <w:tcW w:w="2835" w:type="dxa"/>
          </w:tcPr>
          <w:p w14:paraId="60E3A182" w14:textId="6FB75C10" w:rsidR="00A20874" w:rsidRPr="00C937A7" w:rsidRDefault="00981B7C"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898.168</w:t>
            </w:r>
            <w:r w:rsidRPr="00C937A7">
              <w:rPr>
                <w:rFonts w:ascii="Times New Roman" w:hAnsi="Times New Roman" w:cs="Times New Roman"/>
                <w:sz w:val="18"/>
                <w:szCs w:val="18"/>
              </w:rPr>
              <w:tab/>
            </w:r>
          </w:p>
        </w:tc>
        <w:tc>
          <w:tcPr>
            <w:tcW w:w="2551" w:type="dxa"/>
          </w:tcPr>
          <w:p w14:paraId="17B7E76C" w14:textId="2AEA6E7D" w:rsidR="00A20874" w:rsidRPr="00C937A7" w:rsidRDefault="00A20874"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89</w:t>
            </w:r>
            <w:r w:rsidR="006001A6" w:rsidRPr="00C937A7">
              <w:rPr>
                <w:rFonts w:ascii="Times New Roman" w:hAnsi="Times New Roman" w:cs="Times New Roman"/>
                <w:sz w:val="18"/>
                <w:szCs w:val="18"/>
              </w:rPr>
              <w:t>7.462</w:t>
            </w:r>
          </w:p>
        </w:tc>
        <w:tc>
          <w:tcPr>
            <w:tcW w:w="2471" w:type="dxa"/>
          </w:tcPr>
          <w:p w14:paraId="0535E2FE" w14:textId="3F740F36" w:rsidR="00A20874" w:rsidRPr="00C937A7" w:rsidRDefault="008303C9" w:rsidP="007D3BB5">
            <w:pPr>
              <w:pStyle w:val="NoSpacing"/>
              <w:spacing w:line="480" w:lineRule="auto"/>
              <w:rPr>
                <w:rFonts w:ascii="Times New Roman" w:hAnsi="Times New Roman" w:cs="Times New Roman"/>
                <w:sz w:val="18"/>
                <w:szCs w:val="18"/>
              </w:rPr>
            </w:pPr>
            <w:r w:rsidRPr="00C937A7">
              <w:rPr>
                <w:rFonts w:ascii="Times New Roman" w:hAnsi="Times New Roman" w:cs="Times New Roman"/>
                <w:sz w:val="18"/>
                <w:szCs w:val="18"/>
              </w:rPr>
              <w:t>907.401</w:t>
            </w:r>
          </w:p>
        </w:tc>
      </w:tr>
    </w:tbl>
    <w:p w14:paraId="15AB1B3F" w14:textId="4AA98C76" w:rsidR="00F9458E" w:rsidRDefault="00F9458E"/>
    <w:p w14:paraId="6BDAF9AF" w14:textId="2926E707" w:rsidR="00A20874" w:rsidRDefault="00A20874"/>
    <w:p w14:paraId="02049817" w14:textId="00BB1ABC" w:rsidR="005B7331" w:rsidRDefault="00400ADC" w:rsidP="005B7331">
      <w:pPr>
        <w:keepNext/>
        <w:spacing w:after="0" w:line="240" w:lineRule="auto"/>
      </w:pPr>
      <w:r>
        <w:rPr>
          <w:noProof/>
        </w:rPr>
        <w:lastRenderedPageBreak/>
        <w:drawing>
          <wp:inline distT="0" distB="0" distL="0" distR="0" wp14:anchorId="24FD4616" wp14:editId="13EA73E5">
            <wp:extent cx="4191000" cy="5918200"/>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000" cy="5918200"/>
                    </a:xfrm>
                    <a:prstGeom prst="rect">
                      <a:avLst/>
                    </a:prstGeom>
                  </pic:spPr>
                </pic:pic>
              </a:graphicData>
            </a:graphic>
          </wp:inline>
        </w:drawing>
      </w:r>
    </w:p>
    <w:p w14:paraId="1F452519" w14:textId="7C7985C8" w:rsidR="00F9458E" w:rsidRPr="00F9458E" w:rsidRDefault="005B7331" w:rsidP="005B7331">
      <w:pPr>
        <w:pStyle w:val="Caption"/>
        <w:rPr>
          <w:rFonts w:ascii="Times New Roman" w:eastAsia="Times New Roman" w:hAnsi="Times New Roman" w:cs="Times New Roman"/>
          <w:b/>
          <w:bCs/>
          <w:i w:val="0"/>
          <w:iCs w:val="0"/>
          <w:color w:val="000000" w:themeColor="text1"/>
          <w:sz w:val="20"/>
          <w:szCs w:val="20"/>
          <w:lang w:eastAsia="en-GB"/>
        </w:rPr>
      </w:pPr>
      <w:r w:rsidRPr="00C07EC7">
        <w:rPr>
          <w:rFonts w:ascii="Times New Roman" w:hAnsi="Times New Roman" w:cs="Times New Roman"/>
          <w:b/>
          <w:bCs/>
          <w:i w:val="0"/>
          <w:iCs w:val="0"/>
          <w:color w:val="000000" w:themeColor="text1"/>
          <w:sz w:val="20"/>
          <w:szCs w:val="20"/>
        </w:rPr>
        <w:t xml:space="preserve">Supplementary Figure </w:t>
      </w:r>
      <w:r w:rsidRPr="00C07EC7">
        <w:rPr>
          <w:rFonts w:ascii="Times New Roman" w:hAnsi="Times New Roman" w:cs="Times New Roman"/>
          <w:b/>
          <w:bCs/>
          <w:i w:val="0"/>
          <w:iCs w:val="0"/>
          <w:color w:val="000000" w:themeColor="text1"/>
          <w:sz w:val="20"/>
          <w:szCs w:val="20"/>
        </w:rPr>
        <w:fldChar w:fldCharType="begin"/>
      </w:r>
      <w:r w:rsidRPr="00C07EC7">
        <w:rPr>
          <w:rFonts w:ascii="Times New Roman" w:hAnsi="Times New Roman" w:cs="Times New Roman"/>
          <w:b/>
          <w:bCs/>
          <w:i w:val="0"/>
          <w:iCs w:val="0"/>
          <w:color w:val="000000" w:themeColor="text1"/>
          <w:sz w:val="20"/>
          <w:szCs w:val="20"/>
        </w:rPr>
        <w:instrText xml:space="preserve"> SEQ Figure \* ARABIC </w:instrText>
      </w:r>
      <w:r w:rsidRPr="00C07EC7">
        <w:rPr>
          <w:rFonts w:ascii="Times New Roman" w:hAnsi="Times New Roman" w:cs="Times New Roman"/>
          <w:b/>
          <w:bCs/>
          <w:i w:val="0"/>
          <w:iCs w:val="0"/>
          <w:color w:val="000000" w:themeColor="text1"/>
          <w:sz w:val="20"/>
          <w:szCs w:val="20"/>
        </w:rPr>
        <w:fldChar w:fldCharType="separate"/>
      </w:r>
      <w:r w:rsidRPr="00C07EC7">
        <w:rPr>
          <w:rFonts w:ascii="Times New Roman" w:hAnsi="Times New Roman" w:cs="Times New Roman"/>
          <w:b/>
          <w:bCs/>
          <w:i w:val="0"/>
          <w:iCs w:val="0"/>
          <w:noProof/>
          <w:color w:val="000000" w:themeColor="text1"/>
          <w:sz w:val="20"/>
          <w:szCs w:val="20"/>
        </w:rPr>
        <w:t>1</w:t>
      </w:r>
      <w:r w:rsidRPr="00C07EC7">
        <w:rPr>
          <w:rFonts w:ascii="Times New Roman" w:hAnsi="Times New Roman" w:cs="Times New Roman"/>
          <w:b/>
          <w:bCs/>
          <w:i w:val="0"/>
          <w:iCs w:val="0"/>
          <w:color w:val="000000" w:themeColor="text1"/>
          <w:sz w:val="20"/>
          <w:szCs w:val="20"/>
        </w:rPr>
        <w:fldChar w:fldCharType="end"/>
      </w:r>
      <w:r w:rsidRPr="00C07EC7">
        <w:rPr>
          <w:rFonts w:ascii="Times New Roman" w:hAnsi="Times New Roman" w:cs="Times New Roman"/>
          <w:b/>
          <w:bCs/>
          <w:i w:val="0"/>
          <w:iCs w:val="0"/>
          <w:color w:val="000000" w:themeColor="text1"/>
          <w:sz w:val="20"/>
          <w:szCs w:val="20"/>
        </w:rPr>
        <w:t xml:space="preserve">. </w:t>
      </w:r>
      <w:r w:rsidR="00C07EC7" w:rsidRPr="00C07EC7">
        <w:rPr>
          <w:rFonts w:ascii="Times New Roman" w:hAnsi="Times New Roman" w:cs="Times New Roman"/>
          <w:i w:val="0"/>
          <w:iCs w:val="0"/>
          <w:color w:val="000000" w:themeColor="text1"/>
          <w:sz w:val="20"/>
          <w:szCs w:val="20"/>
        </w:rPr>
        <w:t xml:space="preserve">15 </w:t>
      </w:r>
      <w:r w:rsidRPr="00C07EC7">
        <w:rPr>
          <w:rFonts w:ascii="Times New Roman" w:hAnsi="Times New Roman" w:cs="Times New Roman"/>
          <w:i w:val="0"/>
          <w:iCs w:val="0"/>
          <w:color w:val="000000" w:themeColor="text1"/>
          <w:sz w:val="20"/>
          <w:szCs w:val="20"/>
        </w:rPr>
        <w:t>Hospital and Health Services in Queensland</w:t>
      </w:r>
    </w:p>
    <w:p w14:paraId="389BC8DA" w14:textId="53B92AB8" w:rsidR="00B2209E" w:rsidRDefault="00A20874" w:rsidP="00B2209E">
      <w:pPr>
        <w:keepNext/>
        <w:jc w:val="center"/>
      </w:pPr>
      <w:r>
        <w:br w:type="column"/>
      </w:r>
      <w:r w:rsidR="00400ADC">
        <w:rPr>
          <w:noProof/>
        </w:rPr>
        <w:lastRenderedPageBreak/>
        <w:drawing>
          <wp:inline distT="0" distB="0" distL="0" distR="0" wp14:anchorId="01A8A625" wp14:editId="7CCB38B7">
            <wp:extent cx="7696200" cy="5435600"/>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696200" cy="5435600"/>
                    </a:xfrm>
                    <a:prstGeom prst="rect">
                      <a:avLst/>
                    </a:prstGeom>
                  </pic:spPr>
                </pic:pic>
              </a:graphicData>
            </a:graphic>
          </wp:inline>
        </w:drawing>
      </w:r>
    </w:p>
    <w:p w14:paraId="2856F1BD" w14:textId="16F6CF58" w:rsidR="00CE2EB1" w:rsidRDefault="00B2209E" w:rsidP="00B2209E">
      <w:pPr>
        <w:pStyle w:val="Caption"/>
        <w:jc w:val="center"/>
        <w:rPr>
          <w:rFonts w:ascii="Times New Roman" w:hAnsi="Times New Roman" w:cs="Times New Roman"/>
          <w:b/>
          <w:bCs/>
          <w:i w:val="0"/>
          <w:iCs w:val="0"/>
          <w:color w:val="000000" w:themeColor="text1"/>
          <w:sz w:val="20"/>
          <w:szCs w:val="20"/>
        </w:rPr>
      </w:pPr>
      <w:r>
        <w:rPr>
          <w:rFonts w:ascii="Times New Roman" w:hAnsi="Times New Roman" w:cs="Times New Roman"/>
          <w:b/>
          <w:bCs/>
          <w:i w:val="0"/>
          <w:iCs w:val="0"/>
          <w:color w:val="000000" w:themeColor="text1"/>
          <w:sz w:val="20"/>
          <w:szCs w:val="20"/>
        </w:rPr>
        <w:t xml:space="preserve">Supplementary </w:t>
      </w:r>
      <w:r w:rsidRPr="00B2209E">
        <w:rPr>
          <w:rFonts w:ascii="Times New Roman" w:hAnsi="Times New Roman" w:cs="Times New Roman"/>
          <w:b/>
          <w:bCs/>
          <w:i w:val="0"/>
          <w:iCs w:val="0"/>
          <w:color w:val="000000" w:themeColor="text1"/>
          <w:sz w:val="20"/>
          <w:szCs w:val="20"/>
        </w:rPr>
        <w:t xml:space="preserve">Figure </w:t>
      </w:r>
      <w:r w:rsidRPr="00B2209E">
        <w:rPr>
          <w:rFonts w:ascii="Times New Roman" w:hAnsi="Times New Roman" w:cs="Times New Roman"/>
          <w:b/>
          <w:bCs/>
          <w:i w:val="0"/>
          <w:iCs w:val="0"/>
          <w:color w:val="000000" w:themeColor="text1"/>
          <w:sz w:val="20"/>
          <w:szCs w:val="20"/>
        </w:rPr>
        <w:fldChar w:fldCharType="begin"/>
      </w:r>
      <w:r w:rsidRPr="00B2209E">
        <w:rPr>
          <w:rFonts w:ascii="Times New Roman" w:hAnsi="Times New Roman" w:cs="Times New Roman"/>
          <w:b/>
          <w:bCs/>
          <w:i w:val="0"/>
          <w:iCs w:val="0"/>
          <w:color w:val="000000" w:themeColor="text1"/>
          <w:sz w:val="20"/>
          <w:szCs w:val="20"/>
        </w:rPr>
        <w:instrText xml:space="preserve"> SEQ Figure \* ARABIC </w:instrText>
      </w:r>
      <w:r w:rsidRPr="00B2209E">
        <w:rPr>
          <w:rFonts w:ascii="Times New Roman" w:hAnsi="Times New Roman" w:cs="Times New Roman"/>
          <w:b/>
          <w:bCs/>
          <w:i w:val="0"/>
          <w:iCs w:val="0"/>
          <w:color w:val="000000" w:themeColor="text1"/>
          <w:sz w:val="20"/>
          <w:szCs w:val="20"/>
        </w:rPr>
        <w:fldChar w:fldCharType="separate"/>
      </w:r>
      <w:r w:rsidR="005B7331">
        <w:rPr>
          <w:rFonts w:ascii="Times New Roman" w:hAnsi="Times New Roman" w:cs="Times New Roman"/>
          <w:b/>
          <w:bCs/>
          <w:i w:val="0"/>
          <w:iCs w:val="0"/>
          <w:noProof/>
          <w:color w:val="000000" w:themeColor="text1"/>
          <w:sz w:val="20"/>
          <w:szCs w:val="20"/>
        </w:rPr>
        <w:t>2</w:t>
      </w:r>
      <w:r w:rsidRPr="00B2209E">
        <w:rPr>
          <w:rFonts w:ascii="Times New Roman" w:hAnsi="Times New Roman" w:cs="Times New Roman"/>
          <w:b/>
          <w:bCs/>
          <w:i w:val="0"/>
          <w:iCs w:val="0"/>
          <w:color w:val="000000" w:themeColor="text1"/>
          <w:sz w:val="20"/>
          <w:szCs w:val="20"/>
        </w:rPr>
        <w:fldChar w:fldCharType="end"/>
      </w:r>
      <w:r w:rsidRPr="00B2209E">
        <w:rPr>
          <w:rFonts w:ascii="Times New Roman" w:hAnsi="Times New Roman" w:cs="Times New Roman"/>
          <w:b/>
          <w:bCs/>
          <w:i w:val="0"/>
          <w:iCs w:val="0"/>
          <w:color w:val="000000" w:themeColor="text1"/>
          <w:sz w:val="20"/>
          <w:szCs w:val="20"/>
        </w:rPr>
        <w:t xml:space="preserve">. Annual ESBL-Ec hot spots identified in </w:t>
      </w:r>
      <w:r>
        <w:rPr>
          <w:rFonts w:ascii="Times New Roman" w:hAnsi="Times New Roman" w:cs="Times New Roman"/>
          <w:b/>
          <w:bCs/>
          <w:i w:val="0"/>
          <w:iCs w:val="0"/>
          <w:color w:val="000000" w:themeColor="text1"/>
          <w:sz w:val="20"/>
          <w:szCs w:val="20"/>
        </w:rPr>
        <w:t>Brisbane</w:t>
      </w:r>
    </w:p>
    <w:p w14:paraId="6869EC19" w14:textId="725718DA" w:rsidR="00CE2EB1" w:rsidRDefault="00CE2EB1" w:rsidP="00CE2EB1">
      <w:pPr>
        <w:pStyle w:val="Caption"/>
        <w:keepNext/>
        <w:jc w:val="center"/>
      </w:pPr>
      <w:r>
        <w:rPr>
          <w:rFonts w:ascii="Times New Roman" w:hAnsi="Times New Roman" w:cs="Times New Roman"/>
          <w:b/>
          <w:bCs/>
          <w:i w:val="0"/>
          <w:iCs w:val="0"/>
          <w:color w:val="000000" w:themeColor="text1"/>
          <w:sz w:val="20"/>
          <w:szCs w:val="20"/>
        </w:rPr>
        <w:br w:type="column"/>
      </w:r>
      <w:r w:rsidR="00400ADC">
        <w:rPr>
          <w:noProof/>
        </w:rPr>
        <w:lastRenderedPageBreak/>
        <w:drawing>
          <wp:inline distT="0" distB="0" distL="0" distR="0" wp14:anchorId="12615A1C" wp14:editId="4DF87D6B">
            <wp:extent cx="5156200" cy="5575300"/>
            <wp:effectExtent l="0" t="0" r="0" b="0"/>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156200" cy="5575300"/>
                    </a:xfrm>
                    <a:prstGeom prst="rect">
                      <a:avLst/>
                    </a:prstGeom>
                  </pic:spPr>
                </pic:pic>
              </a:graphicData>
            </a:graphic>
          </wp:inline>
        </w:drawing>
      </w:r>
    </w:p>
    <w:p w14:paraId="49D00ED2" w14:textId="490D928E" w:rsidR="009B5CD2" w:rsidRPr="00CE2EB1" w:rsidRDefault="00CE2EB1" w:rsidP="00CE2EB1">
      <w:pPr>
        <w:pStyle w:val="Caption"/>
        <w:jc w:val="center"/>
        <w:rPr>
          <w:rFonts w:ascii="Times New Roman" w:hAnsi="Times New Roman" w:cs="Times New Roman"/>
          <w:b/>
          <w:bCs/>
          <w:i w:val="0"/>
          <w:iCs w:val="0"/>
          <w:color w:val="000000" w:themeColor="text1"/>
          <w:sz w:val="20"/>
          <w:szCs w:val="20"/>
        </w:rPr>
      </w:pPr>
      <w:r>
        <w:rPr>
          <w:rFonts w:ascii="Times New Roman" w:hAnsi="Times New Roman" w:cs="Times New Roman"/>
          <w:b/>
          <w:bCs/>
          <w:i w:val="0"/>
          <w:iCs w:val="0"/>
          <w:color w:val="000000" w:themeColor="text1"/>
          <w:sz w:val="20"/>
          <w:szCs w:val="20"/>
        </w:rPr>
        <w:t xml:space="preserve">Supplementary </w:t>
      </w:r>
      <w:r w:rsidRPr="00CE2EB1">
        <w:rPr>
          <w:rFonts w:ascii="Times New Roman" w:hAnsi="Times New Roman" w:cs="Times New Roman"/>
          <w:b/>
          <w:bCs/>
          <w:i w:val="0"/>
          <w:iCs w:val="0"/>
          <w:color w:val="000000" w:themeColor="text1"/>
          <w:sz w:val="20"/>
          <w:szCs w:val="20"/>
        </w:rPr>
        <w:t xml:space="preserve">Figure </w:t>
      </w:r>
      <w:r w:rsidRPr="00CE2EB1">
        <w:rPr>
          <w:rFonts w:ascii="Times New Roman" w:hAnsi="Times New Roman" w:cs="Times New Roman"/>
          <w:b/>
          <w:bCs/>
          <w:i w:val="0"/>
          <w:iCs w:val="0"/>
          <w:color w:val="000000" w:themeColor="text1"/>
          <w:sz w:val="20"/>
          <w:szCs w:val="20"/>
        </w:rPr>
        <w:fldChar w:fldCharType="begin"/>
      </w:r>
      <w:r w:rsidRPr="00CE2EB1">
        <w:rPr>
          <w:rFonts w:ascii="Times New Roman" w:hAnsi="Times New Roman" w:cs="Times New Roman"/>
          <w:b/>
          <w:bCs/>
          <w:i w:val="0"/>
          <w:iCs w:val="0"/>
          <w:color w:val="000000" w:themeColor="text1"/>
          <w:sz w:val="20"/>
          <w:szCs w:val="20"/>
        </w:rPr>
        <w:instrText xml:space="preserve"> SEQ Figure \* ARABIC </w:instrText>
      </w:r>
      <w:r w:rsidRPr="00CE2EB1">
        <w:rPr>
          <w:rFonts w:ascii="Times New Roman" w:hAnsi="Times New Roman" w:cs="Times New Roman"/>
          <w:b/>
          <w:bCs/>
          <w:i w:val="0"/>
          <w:iCs w:val="0"/>
          <w:color w:val="000000" w:themeColor="text1"/>
          <w:sz w:val="20"/>
          <w:szCs w:val="20"/>
        </w:rPr>
        <w:fldChar w:fldCharType="separate"/>
      </w:r>
      <w:r w:rsidR="005B7331">
        <w:rPr>
          <w:rFonts w:ascii="Times New Roman" w:hAnsi="Times New Roman" w:cs="Times New Roman"/>
          <w:b/>
          <w:bCs/>
          <w:i w:val="0"/>
          <w:iCs w:val="0"/>
          <w:noProof/>
          <w:color w:val="000000" w:themeColor="text1"/>
          <w:sz w:val="20"/>
          <w:szCs w:val="20"/>
        </w:rPr>
        <w:t>3</w:t>
      </w:r>
      <w:r w:rsidRPr="00CE2EB1">
        <w:rPr>
          <w:rFonts w:ascii="Times New Roman" w:hAnsi="Times New Roman" w:cs="Times New Roman"/>
          <w:b/>
          <w:bCs/>
          <w:i w:val="0"/>
          <w:iCs w:val="0"/>
          <w:color w:val="000000" w:themeColor="text1"/>
          <w:sz w:val="20"/>
          <w:szCs w:val="20"/>
        </w:rPr>
        <w:fldChar w:fldCharType="end"/>
      </w:r>
      <w:r w:rsidRPr="00CE2EB1">
        <w:rPr>
          <w:rFonts w:ascii="Times New Roman" w:hAnsi="Times New Roman" w:cs="Times New Roman"/>
          <w:b/>
          <w:bCs/>
          <w:i w:val="0"/>
          <w:iCs w:val="0"/>
          <w:color w:val="000000" w:themeColor="text1"/>
          <w:sz w:val="20"/>
          <w:szCs w:val="20"/>
        </w:rPr>
        <w:t>. Proportion of Aboriginal and Torres Strait Islander residents per postal area across Queensland in 2016</w:t>
      </w:r>
    </w:p>
    <w:sectPr w:rsidR="009B5CD2" w:rsidRPr="00CE2EB1" w:rsidSect="00A95381">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B56"/>
    <w:rsid w:val="00016115"/>
    <w:rsid w:val="00030A6A"/>
    <w:rsid w:val="001066C1"/>
    <w:rsid w:val="00130C56"/>
    <w:rsid w:val="001940CB"/>
    <w:rsid w:val="001B542D"/>
    <w:rsid w:val="00210EE1"/>
    <w:rsid w:val="00262C69"/>
    <w:rsid w:val="002B019A"/>
    <w:rsid w:val="003949E2"/>
    <w:rsid w:val="003A453C"/>
    <w:rsid w:val="003E1EDF"/>
    <w:rsid w:val="003F1801"/>
    <w:rsid w:val="00400ADC"/>
    <w:rsid w:val="0046354C"/>
    <w:rsid w:val="004736A8"/>
    <w:rsid w:val="0052657D"/>
    <w:rsid w:val="005514A4"/>
    <w:rsid w:val="00576329"/>
    <w:rsid w:val="00586D40"/>
    <w:rsid w:val="005B7331"/>
    <w:rsid w:val="005C2A26"/>
    <w:rsid w:val="005F5B56"/>
    <w:rsid w:val="006001A6"/>
    <w:rsid w:val="00610965"/>
    <w:rsid w:val="006759EC"/>
    <w:rsid w:val="007D3BB5"/>
    <w:rsid w:val="008303C9"/>
    <w:rsid w:val="00831767"/>
    <w:rsid w:val="00901BD1"/>
    <w:rsid w:val="00952A78"/>
    <w:rsid w:val="00956168"/>
    <w:rsid w:val="0096685C"/>
    <w:rsid w:val="00972DB2"/>
    <w:rsid w:val="00981B7C"/>
    <w:rsid w:val="00986AA7"/>
    <w:rsid w:val="00995F28"/>
    <w:rsid w:val="009A021F"/>
    <w:rsid w:val="009D66D5"/>
    <w:rsid w:val="00A20874"/>
    <w:rsid w:val="00A31DE0"/>
    <w:rsid w:val="00A95381"/>
    <w:rsid w:val="00B2209E"/>
    <w:rsid w:val="00B564BC"/>
    <w:rsid w:val="00B75A05"/>
    <w:rsid w:val="00C07EC7"/>
    <w:rsid w:val="00C84D6B"/>
    <w:rsid w:val="00C937A7"/>
    <w:rsid w:val="00CD2732"/>
    <w:rsid w:val="00CE2EB1"/>
    <w:rsid w:val="00D809D2"/>
    <w:rsid w:val="00D92864"/>
    <w:rsid w:val="00DD3938"/>
    <w:rsid w:val="00DD7E21"/>
    <w:rsid w:val="00DE3D71"/>
    <w:rsid w:val="00E37181"/>
    <w:rsid w:val="00E53D57"/>
    <w:rsid w:val="00E7596B"/>
    <w:rsid w:val="00EA61BF"/>
    <w:rsid w:val="00EB15D9"/>
    <w:rsid w:val="00ED09AA"/>
    <w:rsid w:val="00F36890"/>
    <w:rsid w:val="00F4766B"/>
    <w:rsid w:val="00F9458E"/>
    <w:rsid w:val="00FE1913"/>
    <w:rsid w:val="00FE6083"/>
    <w:rsid w:val="00FF0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E69B"/>
  <w15:chartTrackingRefBased/>
  <w15:docId w15:val="{1868965C-7703-9142-A339-8A7A8CCD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9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D09A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4D6B"/>
    <w:rPr>
      <w:sz w:val="16"/>
      <w:szCs w:val="16"/>
    </w:rPr>
  </w:style>
  <w:style w:type="paragraph" w:styleId="CommentText">
    <w:name w:val="annotation text"/>
    <w:basedOn w:val="Normal"/>
    <w:link w:val="CommentTextChar"/>
    <w:uiPriority w:val="99"/>
    <w:unhideWhenUsed/>
    <w:rsid w:val="00C84D6B"/>
    <w:pPr>
      <w:spacing w:after="0" w:line="240" w:lineRule="auto"/>
    </w:pPr>
    <w:rPr>
      <w:sz w:val="20"/>
      <w:szCs w:val="20"/>
    </w:rPr>
  </w:style>
  <w:style w:type="character" w:customStyle="1" w:styleId="CommentTextChar">
    <w:name w:val="Comment Text Char"/>
    <w:basedOn w:val="DefaultParagraphFont"/>
    <w:link w:val="CommentText"/>
    <w:uiPriority w:val="99"/>
    <w:rsid w:val="00C84D6B"/>
    <w:rPr>
      <w:sz w:val="20"/>
      <w:szCs w:val="20"/>
    </w:rPr>
  </w:style>
  <w:style w:type="paragraph" w:styleId="NoSpacing">
    <w:name w:val="No Spacing"/>
    <w:uiPriority w:val="1"/>
    <w:qFormat/>
    <w:rsid w:val="004736A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Ping Ling</dc:creator>
  <cp:keywords/>
  <dc:description/>
  <cp:lastModifiedBy>Anouska Colledge</cp:lastModifiedBy>
  <cp:revision>2</cp:revision>
  <dcterms:created xsi:type="dcterms:W3CDTF">2022-10-12T08:54:00Z</dcterms:created>
  <dcterms:modified xsi:type="dcterms:W3CDTF">2022-10-12T08:54:00Z</dcterms:modified>
</cp:coreProperties>
</file>