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2306" w14:textId="699551B3" w:rsidR="00F8196A" w:rsidRPr="00F8196A" w:rsidRDefault="00F8196A" w:rsidP="00F8196A">
      <w:pPr>
        <w:spacing w:after="0" w:line="240" w:lineRule="auto"/>
        <w:rPr>
          <w:rFonts w:cstheme="minorHAnsi"/>
          <w:i/>
          <w:iCs/>
        </w:rPr>
      </w:pPr>
      <w:r w:rsidRPr="00F8196A">
        <w:rPr>
          <w:rFonts w:cstheme="minorHAnsi"/>
        </w:rPr>
        <w:t>Journal:</w:t>
      </w:r>
      <w:r>
        <w:rPr>
          <w:rFonts w:cstheme="minorHAnsi"/>
          <w:i/>
          <w:iCs/>
        </w:rPr>
        <w:t xml:space="preserve"> </w:t>
      </w:r>
      <w:r w:rsidRPr="00F8196A">
        <w:rPr>
          <w:rFonts w:cstheme="minorHAnsi"/>
          <w:i/>
          <w:iCs/>
        </w:rPr>
        <w:t>Epidemiology and Infection</w:t>
      </w:r>
    </w:p>
    <w:p w14:paraId="740CE58E" w14:textId="1DD753F6" w:rsidR="00F8196A" w:rsidRPr="00F8196A" w:rsidRDefault="00F8196A" w:rsidP="00F8196A">
      <w:pPr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Title: </w:t>
      </w:r>
      <w:r w:rsidRPr="00F8196A">
        <w:rPr>
          <w:rStyle w:val="normaltextrun"/>
          <w:rFonts w:ascii="Calibri" w:hAnsi="Calibri" w:cs="Calibri"/>
          <w:color w:val="000000"/>
          <w:shd w:val="clear" w:color="auto" w:fill="FFFFFF"/>
        </w:rPr>
        <w:t>Identification and description of patients with multisystem inflammatory syndrome in adults associated with SARS-CoV-2 infection using the Premier Healthcare Database</w:t>
      </w:r>
    </w:p>
    <w:p w14:paraId="0F18001A" w14:textId="53F9CDB4" w:rsidR="00F8196A" w:rsidRPr="00AC22D2" w:rsidRDefault="00F8196A" w:rsidP="00F8196A">
      <w:pPr>
        <w:spacing w:after="0" w:line="240" w:lineRule="auto"/>
        <w:rPr>
          <w:rFonts w:eastAsia="Times New Roman"/>
          <w:vertAlign w:val="superscript"/>
        </w:rPr>
      </w:pPr>
      <w:r>
        <w:rPr>
          <w:rFonts w:eastAsia="Times New Roman"/>
        </w:rPr>
        <w:t xml:space="preserve">Authors: </w:t>
      </w:r>
      <w:r w:rsidRPr="7823E72C">
        <w:rPr>
          <w:rFonts w:eastAsia="Times New Roman"/>
        </w:rPr>
        <w:t xml:space="preserve">Jennifer DeCuir, James Baggs, Michael Melgar, Pragna Patel, Karen K. Wong, Noah </w:t>
      </w:r>
      <w:r>
        <w:rPr>
          <w:rFonts w:eastAsia="Times New Roman"/>
        </w:rPr>
        <w:t xml:space="preserve">G. </w:t>
      </w:r>
      <w:r w:rsidRPr="7823E72C">
        <w:rPr>
          <w:rFonts w:eastAsia="Times New Roman"/>
        </w:rPr>
        <w:t>Schwartz, Sapna Bamrah Morris, Shana Godfred-Cato</w:t>
      </w:r>
      <w:r>
        <w:rPr>
          <w:rFonts w:eastAsia="Times New Roman"/>
        </w:rPr>
        <w:t xml:space="preserve">, </w:t>
      </w:r>
      <w:r w:rsidRPr="7823E72C">
        <w:rPr>
          <w:rFonts w:eastAsia="Times New Roman"/>
        </w:rPr>
        <w:t>Ermias D. Belay</w:t>
      </w:r>
    </w:p>
    <w:p w14:paraId="3A093A8D" w14:textId="77777777" w:rsidR="00F8196A" w:rsidRDefault="00F8196A" w:rsidP="00F8196A">
      <w:pPr>
        <w:spacing w:after="0" w:line="240" w:lineRule="auto"/>
        <w:rPr>
          <w:rFonts w:cstheme="minorHAnsi"/>
          <w:b/>
          <w:bCs/>
        </w:rPr>
      </w:pPr>
    </w:p>
    <w:p w14:paraId="3BB47849" w14:textId="3D67FE77" w:rsidR="00BD45A0" w:rsidRDefault="00BD45A0" w:rsidP="00F8196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SUPPLEMENT</w:t>
      </w:r>
      <w:r w:rsidR="00F8196A">
        <w:rPr>
          <w:rFonts w:cstheme="minorHAnsi"/>
          <w:b/>
          <w:bCs/>
        </w:rPr>
        <w:t>ARY</w:t>
      </w:r>
      <w:r>
        <w:rPr>
          <w:rFonts w:cstheme="minorHAnsi"/>
          <w:b/>
          <w:bCs/>
        </w:rPr>
        <w:t xml:space="preserve"> </w:t>
      </w:r>
      <w:r w:rsidR="00F8196A">
        <w:rPr>
          <w:rFonts w:cstheme="minorHAnsi"/>
          <w:b/>
          <w:bCs/>
        </w:rPr>
        <w:t>MATERIAL</w:t>
      </w:r>
    </w:p>
    <w:p w14:paraId="157762BC" w14:textId="77777777" w:rsidR="00BD45A0" w:rsidRDefault="00BD45A0" w:rsidP="00F8196A">
      <w:pPr>
        <w:spacing w:after="0" w:line="240" w:lineRule="auto"/>
        <w:rPr>
          <w:rFonts w:cstheme="minorHAnsi"/>
          <w:b/>
          <w:bCs/>
        </w:rPr>
      </w:pPr>
    </w:p>
    <w:p w14:paraId="20139473" w14:textId="36BACCF1" w:rsidR="00F5617C" w:rsidRPr="00CF0A34" w:rsidRDefault="009A4608" w:rsidP="00F5617C">
      <w:pPr>
        <w:spacing w:after="0"/>
        <w:rPr>
          <w:rFonts w:cstheme="minorHAnsi"/>
          <w:b/>
          <w:bCs/>
        </w:rPr>
      </w:pPr>
      <w:r w:rsidRPr="00CF0A34">
        <w:rPr>
          <w:rFonts w:cstheme="minorHAnsi"/>
          <w:b/>
          <w:bCs/>
        </w:rPr>
        <w:t xml:space="preserve">CRITERIA USED TO DEFINE </w:t>
      </w:r>
      <w:r w:rsidR="00DD38EC">
        <w:rPr>
          <w:rFonts w:cstheme="minorHAnsi"/>
          <w:b/>
          <w:bCs/>
        </w:rPr>
        <w:t>T</w:t>
      </w:r>
      <w:r w:rsidR="002B199C">
        <w:rPr>
          <w:rFonts w:cstheme="minorHAnsi"/>
          <w:b/>
          <w:bCs/>
        </w:rPr>
        <w:t>HE</w:t>
      </w:r>
      <w:r w:rsidR="004F6ECA">
        <w:rPr>
          <w:rFonts w:cstheme="minorHAnsi"/>
          <w:b/>
          <w:bCs/>
        </w:rPr>
        <w:t xml:space="preserve"> POTENTIAL</w:t>
      </w:r>
      <w:r w:rsidR="002B199C">
        <w:rPr>
          <w:rFonts w:cstheme="minorHAnsi"/>
          <w:b/>
          <w:bCs/>
        </w:rPr>
        <w:t xml:space="preserve"> MIS-A COHORT</w:t>
      </w:r>
    </w:p>
    <w:p w14:paraId="2A32C490" w14:textId="77777777" w:rsidR="009A4608" w:rsidRDefault="009A4608" w:rsidP="009A4608">
      <w:pPr>
        <w:spacing w:after="0"/>
        <w:rPr>
          <w:rFonts w:cstheme="minorHAnsi"/>
        </w:rPr>
      </w:pPr>
    </w:p>
    <w:p w14:paraId="78AB9868" w14:textId="77777777" w:rsidR="009A4608" w:rsidRPr="009A4608" w:rsidRDefault="009A4608" w:rsidP="009A4608">
      <w:pPr>
        <w:spacing w:after="0"/>
        <w:rPr>
          <w:rFonts w:cstheme="minorHAnsi"/>
          <w:u w:val="single"/>
        </w:rPr>
      </w:pPr>
      <w:r w:rsidRPr="009A4608">
        <w:rPr>
          <w:rFonts w:cstheme="minorHAnsi"/>
          <w:u w:val="single"/>
        </w:rPr>
        <w:t>INCLUSION CRITERIA</w:t>
      </w:r>
    </w:p>
    <w:p w14:paraId="6A02D4A6" w14:textId="77777777" w:rsidR="00FB00C7" w:rsidRDefault="00FB00C7" w:rsidP="0038387F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FB00C7">
        <w:rPr>
          <w:rFonts w:cstheme="minorHAnsi"/>
        </w:rPr>
        <w:t>Age ≥</w:t>
      </w:r>
      <w:r w:rsidR="003274C5">
        <w:rPr>
          <w:rFonts w:cstheme="minorHAnsi"/>
        </w:rPr>
        <w:t xml:space="preserve"> 21</w:t>
      </w:r>
      <w:r w:rsidRPr="00FB00C7">
        <w:rPr>
          <w:rFonts w:cstheme="minorHAnsi"/>
        </w:rPr>
        <w:t xml:space="preserve"> years old</w:t>
      </w:r>
    </w:p>
    <w:p w14:paraId="09A4E2B6" w14:textId="77777777" w:rsidR="00FB00C7" w:rsidRPr="00FB00C7" w:rsidRDefault="00FB00C7" w:rsidP="0038387F">
      <w:pPr>
        <w:spacing w:after="0"/>
        <w:rPr>
          <w:rFonts w:cstheme="minorHAnsi"/>
        </w:rPr>
      </w:pPr>
    </w:p>
    <w:p w14:paraId="159A2401" w14:textId="77777777" w:rsidR="00FB00C7" w:rsidRPr="003F62A8" w:rsidRDefault="00FB00C7" w:rsidP="0038387F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225746">
        <w:rPr>
          <w:rFonts w:cstheme="minorHAnsi"/>
        </w:rPr>
        <w:t xml:space="preserve">Confirmed </w:t>
      </w:r>
      <w:r w:rsidR="00524CCC">
        <w:rPr>
          <w:rFonts w:cstheme="minorHAnsi"/>
        </w:rPr>
        <w:t>SARS-CoV-2-related</w:t>
      </w:r>
      <w:r w:rsidRPr="00225746">
        <w:rPr>
          <w:rFonts w:cstheme="minorHAnsi"/>
        </w:rPr>
        <w:t xml:space="preserve"> </w:t>
      </w:r>
      <w:r w:rsidRPr="003F62A8">
        <w:rPr>
          <w:rFonts w:cstheme="minorHAnsi"/>
        </w:rPr>
        <w:t>hospitalization</w:t>
      </w:r>
    </w:p>
    <w:p w14:paraId="55640391" w14:textId="77777777" w:rsidR="00526262" w:rsidRDefault="00526262" w:rsidP="0038387F">
      <w:pPr>
        <w:pStyle w:val="ListParagraph"/>
        <w:numPr>
          <w:ilvl w:val="0"/>
          <w:numId w:val="29"/>
        </w:numPr>
        <w:spacing w:after="0"/>
      </w:pPr>
      <w:r>
        <w:t xml:space="preserve">For </w:t>
      </w:r>
      <w:r w:rsidRPr="006A289A">
        <w:t xml:space="preserve">admissions </w:t>
      </w:r>
      <w:r>
        <w:t xml:space="preserve">in </w:t>
      </w:r>
      <w:r w:rsidRPr="006A289A">
        <w:t>Feb-April 2020</w:t>
      </w:r>
      <w:r>
        <w:t xml:space="preserve"> and</w:t>
      </w:r>
      <w:r w:rsidRPr="006A289A">
        <w:t xml:space="preserve"> discharges</w:t>
      </w:r>
      <w:r>
        <w:t xml:space="preserve"> in</w:t>
      </w:r>
      <w:r w:rsidRPr="006A289A">
        <w:t xml:space="preserve"> March-April 2020</w:t>
      </w:r>
      <w:r>
        <w:t xml:space="preserve">, </w:t>
      </w:r>
      <w:r w:rsidR="00524CCC">
        <w:rPr>
          <w:rFonts w:cstheme="minorHAnsi"/>
        </w:rPr>
        <w:t>SARS-CoV-2-related</w:t>
      </w:r>
      <w:r w:rsidR="00524CCC" w:rsidRPr="00225746">
        <w:rPr>
          <w:rFonts w:cstheme="minorHAnsi"/>
        </w:rPr>
        <w:t xml:space="preserve"> </w:t>
      </w:r>
      <w:r>
        <w:t xml:space="preserve">hospitalization was </w:t>
      </w:r>
      <w:r w:rsidR="00EF3ED0">
        <w:t xml:space="preserve">defined as a </w:t>
      </w:r>
      <w:r w:rsidRPr="006A289A">
        <w:t>primary or secondary ICD-10 code of B97.29</w:t>
      </w:r>
    </w:p>
    <w:p w14:paraId="78E9BD45" w14:textId="77777777" w:rsidR="00526262" w:rsidRDefault="00526262" w:rsidP="0038387F">
      <w:pPr>
        <w:pStyle w:val="ListParagraph"/>
        <w:numPr>
          <w:ilvl w:val="0"/>
          <w:numId w:val="29"/>
        </w:numPr>
        <w:spacing w:after="0"/>
      </w:pPr>
      <w:r>
        <w:t xml:space="preserve">For discharges from April 2020 on, </w:t>
      </w:r>
      <w:r w:rsidR="00524CCC">
        <w:rPr>
          <w:rFonts w:cstheme="minorHAnsi"/>
        </w:rPr>
        <w:t>SARS-CoV-2-related</w:t>
      </w:r>
      <w:r w:rsidR="00524CCC" w:rsidRPr="00225746">
        <w:rPr>
          <w:rFonts w:cstheme="minorHAnsi"/>
        </w:rPr>
        <w:t xml:space="preserve"> </w:t>
      </w:r>
      <w:r w:rsidR="00EF3ED0">
        <w:t xml:space="preserve">hospitalization was defined as a </w:t>
      </w:r>
      <w:r w:rsidRPr="006A289A">
        <w:t>primary or secondary ICD-10 code of U07.1</w:t>
      </w:r>
    </w:p>
    <w:p w14:paraId="3A0EF9FA" w14:textId="77777777" w:rsidR="00526262" w:rsidRPr="00A7131B" w:rsidRDefault="00EF3ED0" w:rsidP="0038387F">
      <w:pPr>
        <w:pStyle w:val="ListParagraph"/>
        <w:numPr>
          <w:ilvl w:val="0"/>
          <w:numId w:val="29"/>
        </w:numPr>
        <w:spacing w:after="0"/>
      </w:pPr>
      <w:r w:rsidRPr="00A7131B">
        <w:t xml:space="preserve">Note: </w:t>
      </w:r>
      <w:r w:rsidR="00526262" w:rsidRPr="00A7131B">
        <w:t xml:space="preserve">Hospitalizations </w:t>
      </w:r>
      <w:r w:rsidRPr="00A7131B">
        <w:t>in which these codes were present on admission (i.e. ICD_PRI_SEC = “A”) were not included.</w:t>
      </w:r>
    </w:p>
    <w:p w14:paraId="6B98B3AD" w14:textId="77777777" w:rsidR="00FB00C7" w:rsidRPr="00A7131B" w:rsidRDefault="00FB00C7" w:rsidP="0038387F">
      <w:pPr>
        <w:pStyle w:val="ListParagraph"/>
        <w:rPr>
          <w:rFonts w:cstheme="minorHAnsi"/>
        </w:rPr>
      </w:pPr>
    </w:p>
    <w:p w14:paraId="5C31D51A" w14:textId="77777777" w:rsidR="00FB00C7" w:rsidRPr="00A7131B" w:rsidRDefault="00FB00C7" w:rsidP="0038387F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A7131B">
        <w:rPr>
          <w:rFonts w:cstheme="minorHAnsi"/>
        </w:rPr>
        <w:t>Laboratory evidence of severe inflammation as evidenced by ≥2 elevated inflammatory markers within the first 3 days of hospitalization (Hospital day 0-3):</w:t>
      </w:r>
    </w:p>
    <w:p w14:paraId="7EC93DF4" w14:textId="77777777" w:rsidR="00FB00C7" w:rsidRPr="00537452" w:rsidRDefault="00FB00C7" w:rsidP="0038387F">
      <w:pPr>
        <w:pStyle w:val="ListParagraph"/>
        <w:numPr>
          <w:ilvl w:val="0"/>
          <w:numId w:val="25"/>
        </w:numPr>
        <w:rPr>
          <w:rFonts w:cstheme="minorHAnsi"/>
        </w:rPr>
      </w:pPr>
      <w:r w:rsidRPr="00537452">
        <w:rPr>
          <w:rFonts w:cstheme="minorHAnsi"/>
        </w:rPr>
        <w:t>IL-</w:t>
      </w:r>
      <w:proofErr w:type="gramStart"/>
      <w:r w:rsidRPr="00537452">
        <w:rPr>
          <w:rFonts w:cstheme="minorHAnsi"/>
        </w:rPr>
        <w:t>6</w:t>
      </w:r>
      <w:r w:rsidR="00537452" w:rsidRPr="00537452">
        <w:rPr>
          <w:rFonts w:cstheme="minorHAnsi"/>
        </w:rPr>
        <w:t xml:space="preserve"> </w:t>
      </w:r>
      <w:r w:rsidR="00214C54" w:rsidRPr="00537452">
        <w:rPr>
          <w:rFonts w:cstheme="minorHAnsi"/>
        </w:rPr>
        <w:t xml:space="preserve"> &gt;</w:t>
      </w:r>
      <w:proofErr w:type="gramEnd"/>
      <w:r w:rsidR="00214C54" w:rsidRPr="00537452">
        <w:rPr>
          <w:rFonts w:cstheme="minorHAnsi"/>
        </w:rPr>
        <w:t xml:space="preserve"> 2.0 </w:t>
      </w:r>
      <w:proofErr w:type="spellStart"/>
      <w:r w:rsidR="00214C54" w:rsidRPr="00537452">
        <w:rPr>
          <w:rFonts w:cstheme="minorHAnsi"/>
        </w:rPr>
        <w:t>pg</w:t>
      </w:r>
      <w:proofErr w:type="spellEnd"/>
      <w:r w:rsidR="00214C54" w:rsidRPr="00537452">
        <w:rPr>
          <w:rFonts w:cstheme="minorHAnsi"/>
        </w:rPr>
        <w:t>/mL</w:t>
      </w:r>
    </w:p>
    <w:p w14:paraId="095AAEFB" w14:textId="77777777" w:rsidR="00FB00C7" w:rsidRPr="00537452" w:rsidRDefault="00FB00C7" w:rsidP="0038387F">
      <w:pPr>
        <w:pStyle w:val="ListParagraph"/>
        <w:numPr>
          <w:ilvl w:val="0"/>
          <w:numId w:val="25"/>
        </w:numPr>
        <w:rPr>
          <w:rFonts w:cstheme="minorHAnsi"/>
        </w:rPr>
      </w:pPr>
      <w:r w:rsidRPr="00537452">
        <w:rPr>
          <w:rFonts w:cstheme="minorHAnsi"/>
        </w:rPr>
        <w:t>CRP</w:t>
      </w:r>
      <w:r w:rsidR="00052ACE" w:rsidRPr="00537452">
        <w:rPr>
          <w:rFonts w:cstheme="minorHAnsi"/>
        </w:rPr>
        <w:t xml:space="preserve"> &gt; 1 mg/dL</w:t>
      </w:r>
    </w:p>
    <w:p w14:paraId="76F7980A" w14:textId="77777777" w:rsidR="00FB00C7" w:rsidRPr="00537452" w:rsidRDefault="00FB00C7" w:rsidP="0038387F">
      <w:pPr>
        <w:pStyle w:val="ListParagraph"/>
        <w:numPr>
          <w:ilvl w:val="0"/>
          <w:numId w:val="25"/>
        </w:numPr>
        <w:rPr>
          <w:rFonts w:cstheme="minorHAnsi"/>
        </w:rPr>
      </w:pPr>
      <w:r w:rsidRPr="00537452">
        <w:rPr>
          <w:rFonts w:cstheme="minorHAnsi"/>
        </w:rPr>
        <w:t>Ferritin</w:t>
      </w:r>
      <w:r w:rsidR="00214C54" w:rsidRPr="00537452">
        <w:rPr>
          <w:rFonts w:cstheme="minorHAnsi"/>
        </w:rPr>
        <w:t xml:space="preserve"> &gt; 400 ng/mL</w:t>
      </w:r>
    </w:p>
    <w:p w14:paraId="1390B511" w14:textId="77777777" w:rsidR="00FB00C7" w:rsidRPr="00537452" w:rsidRDefault="00FB00C7" w:rsidP="003809A4">
      <w:pPr>
        <w:pStyle w:val="ListParagraph"/>
        <w:numPr>
          <w:ilvl w:val="0"/>
          <w:numId w:val="25"/>
        </w:numPr>
        <w:rPr>
          <w:rFonts w:cstheme="minorHAnsi"/>
        </w:rPr>
      </w:pPr>
      <w:r w:rsidRPr="00537452">
        <w:rPr>
          <w:rFonts w:cstheme="minorHAnsi"/>
        </w:rPr>
        <w:t>ESR</w:t>
      </w:r>
      <w:r w:rsidR="00214C54" w:rsidRPr="00537452">
        <w:rPr>
          <w:rFonts w:cstheme="minorHAnsi"/>
        </w:rPr>
        <w:t xml:space="preserve"> </w:t>
      </w:r>
      <w:r w:rsidR="00AC1F83" w:rsidRPr="00537452">
        <w:rPr>
          <w:rFonts w:cstheme="minorHAnsi"/>
        </w:rPr>
        <w:t>&gt; 20 mm/</w:t>
      </w:r>
      <w:proofErr w:type="spellStart"/>
      <w:r w:rsidR="00AC1F83" w:rsidRPr="00537452">
        <w:rPr>
          <w:rFonts w:cstheme="minorHAnsi"/>
        </w:rPr>
        <w:t>hr</w:t>
      </w:r>
      <w:proofErr w:type="spellEnd"/>
    </w:p>
    <w:p w14:paraId="317F035A" w14:textId="77777777" w:rsidR="003809A4" w:rsidRPr="00524CCC" w:rsidRDefault="00FB00C7" w:rsidP="00524CCC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A7131B">
        <w:rPr>
          <w:rFonts w:cstheme="minorHAnsi"/>
        </w:rPr>
        <w:t>Procalcitonin &gt; 0.1 n</w:t>
      </w:r>
      <w:r w:rsidRPr="00A7131B">
        <w:rPr>
          <w:rFonts w:cstheme="minorHAnsi"/>
          <w:lang w:val="en"/>
        </w:rPr>
        <w:t>g/mL</w:t>
      </w:r>
    </w:p>
    <w:p w14:paraId="70B053AE" w14:textId="77777777" w:rsidR="003809A4" w:rsidRPr="00A7131B" w:rsidRDefault="003809A4" w:rsidP="003809A4">
      <w:pPr>
        <w:spacing w:after="0"/>
        <w:rPr>
          <w:rFonts w:cstheme="minorHAnsi"/>
        </w:rPr>
      </w:pPr>
    </w:p>
    <w:p w14:paraId="37873F0F" w14:textId="77777777" w:rsidR="00B866E2" w:rsidRPr="0010144F" w:rsidRDefault="0010144F" w:rsidP="0010144F">
      <w:pPr>
        <w:pStyle w:val="ListParagraph"/>
        <w:numPr>
          <w:ilvl w:val="0"/>
          <w:numId w:val="23"/>
        </w:numPr>
        <w:spacing w:after="0"/>
        <w:rPr>
          <w:rFonts w:cstheme="minorHAnsi"/>
          <w:color w:val="000000"/>
          <w:shd w:val="clear" w:color="auto" w:fill="FFFFFF"/>
        </w:rPr>
      </w:pPr>
      <w:bookmarkStart w:id="0" w:name="_Hlk69286057"/>
      <w:r>
        <w:rPr>
          <w:rFonts w:cstheme="minorHAnsi"/>
        </w:rPr>
        <w:t>Severe cardiac illness AND ≥ 1 additional clinical criterion</w:t>
      </w:r>
      <w:r w:rsidR="00F22CF5" w:rsidRPr="00A7131B">
        <w:rPr>
          <w:rFonts w:cstheme="minorHAnsi"/>
        </w:rPr>
        <w:t>:</w:t>
      </w:r>
    </w:p>
    <w:p w14:paraId="5A8AFE3C" w14:textId="77777777" w:rsidR="008C1C06" w:rsidRPr="00A7131B" w:rsidRDefault="00FB00C7" w:rsidP="0010144F">
      <w:pPr>
        <w:pStyle w:val="ListParagraph"/>
        <w:numPr>
          <w:ilvl w:val="1"/>
          <w:numId w:val="31"/>
        </w:numPr>
        <w:spacing w:after="0"/>
        <w:ind w:left="1800"/>
        <w:rPr>
          <w:rFonts w:cstheme="minorHAnsi"/>
        </w:rPr>
      </w:pPr>
      <w:r w:rsidRPr="00A7131B">
        <w:rPr>
          <w:rFonts w:cstheme="minorHAnsi"/>
        </w:rPr>
        <w:t>S</w:t>
      </w:r>
      <w:r w:rsidR="008C1C06" w:rsidRPr="00A7131B">
        <w:rPr>
          <w:rFonts w:cstheme="minorHAnsi"/>
        </w:rPr>
        <w:t>evere cardiac illness</w:t>
      </w:r>
      <w:bookmarkEnd w:id="0"/>
    </w:p>
    <w:p w14:paraId="21483132" w14:textId="77777777" w:rsidR="008C1C06" w:rsidRPr="00A7131B" w:rsidRDefault="008C1C06" w:rsidP="0010144F">
      <w:pPr>
        <w:pStyle w:val="ListParagraph"/>
        <w:numPr>
          <w:ilvl w:val="0"/>
          <w:numId w:val="2"/>
        </w:numPr>
        <w:ind w:left="2520"/>
        <w:rPr>
          <w:rFonts w:cstheme="minorHAnsi"/>
        </w:rPr>
      </w:pPr>
      <w:r w:rsidRPr="00A7131B">
        <w:rPr>
          <w:rFonts w:cstheme="minorHAnsi"/>
        </w:rPr>
        <w:t>New-onset heart failure</w:t>
      </w:r>
    </w:p>
    <w:p w14:paraId="69940621" w14:textId="77777777" w:rsidR="008C1C06" w:rsidRPr="00A7131B" w:rsidRDefault="008C1C06" w:rsidP="0010144F">
      <w:pPr>
        <w:pStyle w:val="ListParagraph"/>
        <w:numPr>
          <w:ilvl w:val="1"/>
          <w:numId w:val="33"/>
        </w:numPr>
        <w:spacing w:after="0"/>
        <w:ind w:left="3240"/>
      </w:pPr>
      <w:r w:rsidRPr="00A7131B">
        <w:t>I50.1 Left ventricular failure, unspecified</w:t>
      </w:r>
    </w:p>
    <w:p w14:paraId="6EBC1E51" w14:textId="77777777" w:rsidR="008C1C06" w:rsidRPr="00A7131B" w:rsidRDefault="008C1C06" w:rsidP="0010144F">
      <w:pPr>
        <w:pStyle w:val="ListParagraph"/>
        <w:numPr>
          <w:ilvl w:val="1"/>
          <w:numId w:val="33"/>
        </w:numPr>
        <w:spacing w:after="0"/>
        <w:ind w:left="3240"/>
      </w:pPr>
      <w:r w:rsidRPr="00A7131B">
        <w:t>I50.20 Unspecified systolic (congestive) heart failure</w:t>
      </w:r>
    </w:p>
    <w:p w14:paraId="41E3ECB5" w14:textId="77777777" w:rsidR="008C1C06" w:rsidRPr="00A7131B" w:rsidRDefault="008C1C06" w:rsidP="0010144F">
      <w:pPr>
        <w:pStyle w:val="ListParagraph"/>
        <w:numPr>
          <w:ilvl w:val="1"/>
          <w:numId w:val="33"/>
        </w:numPr>
        <w:spacing w:after="0"/>
        <w:ind w:left="3240"/>
      </w:pPr>
      <w:r w:rsidRPr="00A7131B">
        <w:t>I50.21 Acute systolic (congestive) heart failure</w:t>
      </w:r>
    </w:p>
    <w:p w14:paraId="5FFCA927" w14:textId="77777777" w:rsidR="008C1C06" w:rsidRPr="00A7131B" w:rsidRDefault="008C1C06" w:rsidP="0010144F">
      <w:pPr>
        <w:pStyle w:val="ListParagraph"/>
        <w:numPr>
          <w:ilvl w:val="1"/>
          <w:numId w:val="33"/>
        </w:numPr>
        <w:spacing w:after="0"/>
        <w:ind w:left="3240"/>
      </w:pPr>
      <w:r w:rsidRPr="00A7131B">
        <w:t>I50.40 Unspecified combined systolic (congestive) and diastolic (congestive) heart failure</w:t>
      </w:r>
    </w:p>
    <w:p w14:paraId="7AF22F5B" w14:textId="77777777" w:rsidR="008C1C06" w:rsidRPr="00A7131B" w:rsidRDefault="008C1C06" w:rsidP="0010144F">
      <w:pPr>
        <w:pStyle w:val="ListParagraph"/>
        <w:numPr>
          <w:ilvl w:val="1"/>
          <w:numId w:val="33"/>
        </w:numPr>
        <w:spacing w:after="0"/>
        <w:ind w:left="3240"/>
      </w:pPr>
      <w:r w:rsidRPr="00A7131B">
        <w:t>I50.41 Acute combined systolic (congestive) and diastolic (congestive) heart failure</w:t>
      </w:r>
    </w:p>
    <w:p w14:paraId="380FAF5E" w14:textId="77777777" w:rsidR="008C1C06" w:rsidRPr="00A7131B" w:rsidRDefault="008C1C06" w:rsidP="0010144F">
      <w:pPr>
        <w:pStyle w:val="ListParagraph"/>
        <w:numPr>
          <w:ilvl w:val="1"/>
          <w:numId w:val="33"/>
        </w:numPr>
        <w:ind w:left="3240"/>
        <w:rPr>
          <w:rFonts w:cstheme="minorHAnsi"/>
        </w:rPr>
      </w:pPr>
      <w:r w:rsidRPr="00A7131B">
        <w:t>I50.82 Biventricular heart failure</w:t>
      </w:r>
    </w:p>
    <w:p w14:paraId="4CC785FC" w14:textId="77777777" w:rsidR="008C1C06" w:rsidRPr="00A7131B" w:rsidRDefault="008C1C06" w:rsidP="0010144F">
      <w:pPr>
        <w:pStyle w:val="ListParagraph"/>
        <w:numPr>
          <w:ilvl w:val="0"/>
          <w:numId w:val="2"/>
        </w:numPr>
        <w:ind w:left="2520"/>
        <w:rPr>
          <w:rFonts w:cstheme="minorHAnsi"/>
        </w:rPr>
      </w:pPr>
      <w:r w:rsidRPr="00A7131B">
        <w:rPr>
          <w:rFonts w:cstheme="minorHAnsi"/>
        </w:rPr>
        <w:t>Myocarditis</w:t>
      </w:r>
    </w:p>
    <w:p w14:paraId="1D6BF069" w14:textId="77777777" w:rsidR="008C1C06" w:rsidRPr="00A7131B" w:rsidRDefault="008C1C06" w:rsidP="0010144F">
      <w:pPr>
        <w:pStyle w:val="ListParagraph"/>
        <w:numPr>
          <w:ilvl w:val="1"/>
          <w:numId w:val="34"/>
        </w:numPr>
        <w:ind w:left="3240"/>
        <w:rPr>
          <w:rFonts w:cstheme="minorHAnsi"/>
        </w:rPr>
      </w:pPr>
      <w:r w:rsidRPr="00A7131B">
        <w:rPr>
          <w:rFonts w:cstheme="minorHAnsi"/>
        </w:rPr>
        <w:t>B33.22 – Viral myocarditis</w:t>
      </w:r>
    </w:p>
    <w:p w14:paraId="50F2BA25" w14:textId="77777777" w:rsidR="008C1C06" w:rsidRPr="00A7131B" w:rsidRDefault="008C1C06" w:rsidP="0010144F">
      <w:pPr>
        <w:pStyle w:val="ListParagraph"/>
        <w:numPr>
          <w:ilvl w:val="1"/>
          <w:numId w:val="34"/>
        </w:numPr>
        <w:ind w:left="3240"/>
        <w:rPr>
          <w:rFonts w:cstheme="minorHAnsi"/>
        </w:rPr>
      </w:pPr>
      <w:r w:rsidRPr="00A7131B">
        <w:rPr>
          <w:rFonts w:cstheme="minorHAnsi"/>
        </w:rPr>
        <w:t>I40.0 – Infective myocarditis</w:t>
      </w:r>
    </w:p>
    <w:p w14:paraId="0ADBFAA8" w14:textId="77777777" w:rsidR="008C1C06" w:rsidRPr="00A7131B" w:rsidRDefault="008C1C06" w:rsidP="0010144F">
      <w:pPr>
        <w:pStyle w:val="ListParagraph"/>
        <w:numPr>
          <w:ilvl w:val="1"/>
          <w:numId w:val="34"/>
        </w:numPr>
        <w:ind w:left="3240"/>
        <w:rPr>
          <w:rFonts w:cstheme="minorHAnsi"/>
        </w:rPr>
      </w:pPr>
      <w:r w:rsidRPr="00A7131B">
        <w:rPr>
          <w:rFonts w:cstheme="minorHAnsi"/>
        </w:rPr>
        <w:t>I40.8 – Other acute myocarditis</w:t>
      </w:r>
    </w:p>
    <w:p w14:paraId="342BB102" w14:textId="77777777" w:rsidR="008C1C06" w:rsidRPr="00A7131B" w:rsidRDefault="008C1C06" w:rsidP="0010144F">
      <w:pPr>
        <w:pStyle w:val="ListParagraph"/>
        <w:numPr>
          <w:ilvl w:val="1"/>
          <w:numId w:val="34"/>
        </w:numPr>
        <w:ind w:left="3240"/>
        <w:rPr>
          <w:rFonts w:cstheme="minorHAnsi"/>
        </w:rPr>
      </w:pPr>
      <w:r w:rsidRPr="00A7131B">
        <w:rPr>
          <w:rFonts w:cstheme="minorHAnsi"/>
        </w:rPr>
        <w:t>I40.9 – Acute myocarditis, unspecified</w:t>
      </w:r>
    </w:p>
    <w:p w14:paraId="0B32797D" w14:textId="77777777" w:rsidR="008C1C06" w:rsidRPr="00A7131B" w:rsidRDefault="008C1C06" w:rsidP="0010144F">
      <w:pPr>
        <w:pStyle w:val="ListParagraph"/>
        <w:numPr>
          <w:ilvl w:val="1"/>
          <w:numId w:val="34"/>
        </w:numPr>
        <w:ind w:left="3240"/>
        <w:rPr>
          <w:rFonts w:cstheme="minorHAnsi"/>
        </w:rPr>
      </w:pPr>
      <w:r w:rsidRPr="00A7131B">
        <w:rPr>
          <w:rFonts w:cstheme="minorHAnsi"/>
        </w:rPr>
        <w:t>I51.4 – Myocarditis, unspecified</w:t>
      </w:r>
    </w:p>
    <w:p w14:paraId="2A6B6922" w14:textId="77777777" w:rsidR="008C1C06" w:rsidRPr="00A7131B" w:rsidRDefault="008C1C06" w:rsidP="0010144F">
      <w:pPr>
        <w:pStyle w:val="ListParagraph"/>
        <w:numPr>
          <w:ilvl w:val="0"/>
          <w:numId w:val="2"/>
        </w:numPr>
        <w:ind w:left="2520"/>
        <w:rPr>
          <w:rFonts w:cstheme="minorHAnsi"/>
        </w:rPr>
      </w:pPr>
      <w:r w:rsidRPr="00A7131B">
        <w:rPr>
          <w:rFonts w:cstheme="minorHAnsi"/>
        </w:rPr>
        <w:t>Pericarditis</w:t>
      </w:r>
    </w:p>
    <w:p w14:paraId="75AD0415" w14:textId="77777777" w:rsidR="008C1C06" w:rsidRPr="00A7131B" w:rsidRDefault="008C1C06" w:rsidP="0010144F">
      <w:pPr>
        <w:pStyle w:val="ListParagraph"/>
        <w:numPr>
          <w:ilvl w:val="1"/>
          <w:numId w:val="35"/>
        </w:numPr>
        <w:ind w:left="3240"/>
        <w:rPr>
          <w:rFonts w:cstheme="minorHAnsi"/>
        </w:rPr>
      </w:pPr>
      <w:r w:rsidRPr="00A7131B">
        <w:rPr>
          <w:rFonts w:cstheme="minorHAnsi"/>
        </w:rPr>
        <w:t>I30.0 – Acute nonspecific idiopathic pericarditis</w:t>
      </w:r>
    </w:p>
    <w:p w14:paraId="09828574" w14:textId="77777777" w:rsidR="008C1C06" w:rsidRPr="00A7131B" w:rsidRDefault="008C1C06" w:rsidP="0010144F">
      <w:pPr>
        <w:pStyle w:val="ListParagraph"/>
        <w:numPr>
          <w:ilvl w:val="1"/>
          <w:numId w:val="35"/>
        </w:numPr>
        <w:ind w:left="3240"/>
        <w:rPr>
          <w:rFonts w:cstheme="minorHAnsi"/>
        </w:rPr>
      </w:pPr>
      <w:r w:rsidRPr="00A7131B">
        <w:rPr>
          <w:rFonts w:cstheme="minorHAnsi"/>
        </w:rPr>
        <w:t>I30.1 – Infective pericarditis</w:t>
      </w:r>
    </w:p>
    <w:p w14:paraId="6F46754D" w14:textId="77777777" w:rsidR="008C1C06" w:rsidRPr="00A7131B" w:rsidRDefault="008C1C06" w:rsidP="0010144F">
      <w:pPr>
        <w:pStyle w:val="ListParagraph"/>
        <w:numPr>
          <w:ilvl w:val="1"/>
          <w:numId w:val="35"/>
        </w:numPr>
        <w:ind w:left="3240"/>
        <w:rPr>
          <w:rFonts w:cstheme="minorHAnsi"/>
        </w:rPr>
      </w:pPr>
      <w:r w:rsidRPr="00A7131B">
        <w:rPr>
          <w:rFonts w:cstheme="minorHAnsi"/>
        </w:rPr>
        <w:t>I30.8 – Other forms of acute pericarditis</w:t>
      </w:r>
    </w:p>
    <w:p w14:paraId="7D0EF3B8" w14:textId="77777777" w:rsidR="008C1C06" w:rsidRPr="00A7131B" w:rsidRDefault="008C1C06" w:rsidP="0010144F">
      <w:pPr>
        <w:pStyle w:val="ListParagraph"/>
        <w:numPr>
          <w:ilvl w:val="1"/>
          <w:numId w:val="35"/>
        </w:numPr>
        <w:ind w:left="3240"/>
        <w:rPr>
          <w:rFonts w:cstheme="minorHAnsi"/>
        </w:rPr>
      </w:pPr>
      <w:r w:rsidRPr="00A7131B">
        <w:rPr>
          <w:rFonts w:cstheme="minorHAnsi"/>
        </w:rPr>
        <w:t>I30.9 – Acute pericarditis, unspecified</w:t>
      </w:r>
    </w:p>
    <w:p w14:paraId="41A8D7A6" w14:textId="77777777" w:rsidR="008C1C06" w:rsidRPr="00A7131B" w:rsidRDefault="008C1C06" w:rsidP="0010144F">
      <w:pPr>
        <w:pStyle w:val="ListParagraph"/>
        <w:numPr>
          <w:ilvl w:val="0"/>
          <w:numId w:val="2"/>
        </w:numPr>
        <w:ind w:left="2520"/>
        <w:rPr>
          <w:rFonts w:cstheme="minorHAnsi"/>
        </w:rPr>
      </w:pPr>
      <w:r w:rsidRPr="00A7131B">
        <w:rPr>
          <w:rFonts w:cstheme="minorHAnsi"/>
        </w:rPr>
        <w:lastRenderedPageBreak/>
        <w:t>Coronary artery aneurysm</w:t>
      </w:r>
    </w:p>
    <w:p w14:paraId="0565D440" w14:textId="77777777" w:rsidR="00902FD5" w:rsidRPr="0010144F" w:rsidRDefault="008C1C06" w:rsidP="0010144F">
      <w:pPr>
        <w:pStyle w:val="ListParagraph"/>
        <w:numPr>
          <w:ilvl w:val="1"/>
          <w:numId w:val="2"/>
        </w:numPr>
        <w:spacing w:after="0"/>
        <w:ind w:left="3240"/>
        <w:rPr>
          <w:rFonts w:cstheme="minorHAnsi"/>
        </w:rPr>
      </w:pPr>
      <w:r w:rsidRPr="00A7131B">
        <w:rPr>
          <w:rFonts w:cstheme="minorHAnsi"/>
        </w:rPr>
        <w:t>I25.41 – Coronary artery aneurysm</w:t>
      </w:r>
    </w:p>
    <w:p w14:paraId="2E8C3FAB" w14:textId="77777777" w:rsidR="00BB7878" w:rsidRPr="00A7131B" w:rsidRDefault="00724F2B" w:rsidP="0010144F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240" w:lineRule="auto"/>
      </w:pPr>
      <w:r w:rsidRPr="00A7131B">
        <w:t>Mucocutaneous</w:t>
      </w:r>
      <w:r w:rsidR="00BB7878" w:rsidRPr="00A7131B">
        <w:t xml:space="preserve"> manifestations</w:t>
      </w:r>
    </w:p>
    <w:p w14:paraId="5573413C" w14:textId="77777777" w:rsidR="00BB7878" w:rsidRPr="00A7131B" w:rsidRDefault="00BB7878" w:rsidP="0010144F">
      <w:pPr>
        <w:pStyle w:val="ListParagraph"/>
        <w:widowControl w:val="0"/>
        <w:numPr>
          <w:ilvl w:val="1"/>
          <w:numId w:val="28"/>
        </w:numPr>
        <w:autoSpaceDE w:val="0"/>
        <w:autoSpaceDN w:val="0"/>
        <w:spacing w:after="0" w:line="240" w:lineRule="auto"/>
      </w:pPr>
      <w:r w:rsidRPr="00A7131B">
        <w:t>Rash</w:t>
      </w:r>
    </w:p>
    <w:p w14:paraId="419A8AE4" w14:textId="77777777" w:rsidR="00BB7878" w:rsidRPr="00A7131B" w:rsidRDefault="00BB7878" w:rsidP="0010144F">
      <w:pPr>
        <w:pStyle w:val="ListParagraph"/>
        <w:widowControl w:val="0"/>
        <w:numPr>
          <w:ilvl w:val="2"/>
          <w:numId w:val="28"/>
        </w:numPr>
        <w:autoSpaceDE w:val="0"/>
        <w:autoSpaceDN w:val="0"/>
        <w:spacing w:after="0" w:line="240" w:lineRule="auto"/>
      </w:pPr>
      <w:r w:rsidRPr="00A7131B">
        <w:t>R21 – Rash</w:t>
      </w:r>
      <w:r w:rsidR="00D266F9" w:rsidRPr="00A7131B">
        <w:t xml:space="preserve"> and other non-specific skin eruption</w:t>
      </w:r>
    </w:p>
    <w:p w14:paraId="60CF1C7A" w14:textId="77777777" w:rsidR="00BB7878" w:rsidRPr="00A7131B" w:rsidRDefault="00BB7878" w:rsidP="0010144F">
      <w:pPr>
        <w:pStyle w:val="ListParagraph"/>
        <w:widowControl w:val="0"/>
        <w:numPr>
          <w:ilvl w:val="1"/>
          <w:numId w:val="28"/>
        </w:numPr>
        <w:autoSpaceDE w:val="0"/>
        <w:autoSpaceDN w:val="0"/>
        <w:spacing w:after="0" w:line="240" w:lineRule="auto"/>
      </w:pPr>
      <w:r w:rsidRPr="00A7131B">
        <w:t>Non-purulent conjunctivitis</w:t>
      </w:r>
    </w:p>
    <w:p w14:paraId="04845163" w14:textId="77777777" w:rsidR="00BB7878" w:rsidRPr="00A7131B" w:rsidRDefault="00BB7878" w:rsidP="0010144F">
      <w:pPr>
        <w:pStyle w:val="ListParagraph"/>
        <w:widowControl w:val="0"/>
        <w:numPr>
          <w:ilvl w:val="2"/>
          <w:numId w:val="28"/>
        </w:numPr>
        <w:autoSpaceDE w:val="0"/>
        <w:autoSpaceDN w:val="0"/>
        <w:spacing w:after="0" w:line="240" w:lineRule="auto"/>
      </w:pPr>
      <w:r w:rsidRPr="00A7131B">
        <w:t>B30.8 – Other viral conjunctivitis</w:t>
      </w:r>
    </w:p>
    <w:p w14:paraId="6332E701" w14:textId="77777777" w:rsidR="00BB7878" w:rsidRPr="00A7131B" w:rsidRDefault="00BB7878" w:rsidP="0010144F">
      <w:pPr>
        <w:pStyle w:val="ListParagraph"/>
        <w:widowControl w:val="0"/>
        <w:numPr>
          <w:ilvl w:val="2"/>
          <w:numId w:val="28"/>
        </w:numPr>
        <w:autoSpaceDE w:val="0"/>
        <w:autoSpaceDN w:val="0"/>
        <w:spacing w:after="0" w:line="240" w:lineRule="auto"/>
      </w:pPr>
      <w:r w:rsidRPr="00A7131B">
        <w:t>B30.9 – Viral conjunctivitis, unspecified</w:t>
      </w:r>
    </w:p>
    <w:p w14:paraId="32D4F95D" w14:textId="77777777" w:rsidR="00BB7878" w:rsidRPr="00A7131B" w:rsidRDefault="00BB7878" w:rsidP="0010144F">
      <w:pPr>
        <w:pStyle w:val="ListParagraph"/>
        <w:widowControl w:val="0"/>
        <w:numPr>
          <w:ilvl w:val="2"/>
          <w:numId w:val="28"/>
        </w:numPr>
        <w:autoSpaceDE w:val="0"/>
        <w:autoSpaceDN w:val="0"/>
        <w:spacing w:after="0" w:line="240" w:lineRule="auto"/>
      </w:pPr>
      <w:r w:rsidRPr="00A7131B">
        <w:t>H10.30 – Unspecified acute conjunctivitis, unspecified eye</w:t>
      </w:r>
    </w:p>
    <w:p w14:paraId="2F6F431F" w14:textId="77777777" w:rsidR="00BB7878" w:rsidRPr="00A7131B" w:rsidRDefault="00BB7878" w:rsidP="0010144F">
      <w:pPr>
        <w:pStyle w:val="ListParagraph"/>
        <w:widowControl w:val="0"/>
        <w:numPr>
          <w:ilvl w:val="2"/>
          <w:numId w:val="28"/>
        </w:numPr>
        <w:autoSpaceDE w:val="0"/>
        <w:autoSpaceDN w:val="0"/>
        <w:spacing w:after="0" w:line="240" w:lineRule="auto"/>
      </w:pPr>
      <w:r w:rsidRPr="00A7131B">
        <w:t>H10.33 – Unspecified acute conjunctivitis, bilateral</w:t>
      </w:r>
    </w:p>
    <w:p w14:paraId="5A6ECA09" w14:textId="77777777" w:rsidR="00BB7878" w:rsidRPr="00A7131B" w:rsidRDefault="00BB7878" w:rsidP="0010144F">
      <w:pPr>
        <w:pStyle w:val="ListParagraph"/>
        <w:widowControl w:val="0"/>
        <w:numPr>
          <w:ilvl w:val="2"/>
          <w:numId w:val="28"/>
        </w:numPr>
        <w:autoSpaceDE w:val="0"/>
        <w:autoSpaceDN w:val="0"/>
        <w:spacing w:after="0" w:line="240" w:lineRule="auto"/>
      </w:pPr>
      <w:r w:rsidRPr="00A7131B">
        <w:t>H10.89 – Other conjunctivitis</w:t>
      </w:r>
    </w:p>
    <w:p w14:paraId="6749A9F0" w14:textId="77777777" w:rsidR="00902FD5" w:rsidRPr="00A7131B" w:rsidRDefault="00BB7878" w:rsidP="0010144F">
      <w:pPr>
        <w:pStyle w:val="ListParagraph"/>
        <w:widowControl w:val="0"/>
        <w:numPr>
          <w:ilvl w:val="2"/>
          <w:numId w:val="28"/>
        </w:numPr>
        <w:autoSpaceDE w:val="0"/>
        <w:autoSpaceDN w:val="0"/>
        <w:spacing w:after="0" w:line="240" w:lineRule="auto"/>
      </w:pPr>
      <w:r w:rsidRPr="00A7131B">
        <w:t>H10.9 – Unspecified conjunctivitis</w:t>
      </w:r>
    </w:p>
    <w:p w14:paraId="100940E5" w14:textId="77777777" w:rsidR="00902FD5" w:rsidRPr="00A7131B" w:rsidRDefault="00902FD5" w:rsidP="0010144F">
      <w:pPr>
        <w:pStyle w:val="ListParagraph"/>
        <w:numPr>
          <w:ilvl w:val="0"/>
          <w:numId w:val="3"/>
        </w:numPr>
        <w:ind w:left="1800"/>
        <w:rPr>
          <w:rFonts w:cstheme="minorHAnsi"/>
        </w:rPr>
      </w:pPr>
      <w:r w:rsidRPr="00A7131B">
        <w:rPr>
          <w:rFonts w:cstheme="minorHAnsi"/>
        </w:rPr>
        <w:t>Shock or hypotension</w:t>
      </w:r>
    </w:p>
    <w:p w14:paraId="4E0B4976" w14:textId="77777777" w:rsidR="00902FD5" w:rsidRPr="00A7131B" w:rsidRDefault="00902FD5" w:rsidP="0010144F">
      <w:pPr>
        <w:pStyle w:val="ListParagraph"/>
        <w:numPr>
          <w:ilvl w:val="1"/>
          <w:numId w:val="3"/>
        </w:numPr>
        <w:ind w:left="2520"/>
        <w:rPr>
          <w:rFonts w:cstheme="minorHAnsi"/>
        </w:rPr>
      </w:pPr>
      <w:r w:rsidRPr="00A7131B">
        <w:rPr>
          <w:rFonts w:cstheme="minorHAnsi"/>
        </w:rPr>
        <w:t>Treated with vasoactive agent on ≥2 different days at any time during hospitalization</w:t>
      </w:r>
    </w:p>
    <w:p w14:paraId="220E1D85" w14:textId="77777777" w:rsidR="00902FD5" w:rsidRPr="00A7131B" w:rsidRDefault="00902FD5" w:rsidP="0010144F">
      <w:pPr>
        <w:pStyle w:val="ListParagraph"/>
        <w:numPr>
          <w:ilvl w:val="2"/>
          <w:numId w:val="3"/>
        </w:numPr>
        <w:spacing w:after="0"/>
        <w:ind w:left="3240"/>
      </w:pPr>
      <w:r w:rsidRPr="00A7131B">
        <w:t>Dobutamine</w:t>
      </w:r>
    </w:p>
    <w:p w14:paraId="128F2F24" w14:textId="77777777" w:rsidR="00902FD5" w:rsidRPr="00A7131B" w:rsidRDefault="00902FD5" w:rsidP="0010144F">
      <w:pPr>
        <w:pStyle w:val="ListParagraph"/>
        <w:numPr>
          <w:ilvl w:val="2"/>
          <w:numId w:val="3"/>
        </w:numPr>
        <w:spacing w:after="0"/>
        <w:ind w:left="3240"/>
      </w:pPr>
      <w:r w:rsidRPr="00A7131B">
        <w:t>Dopamine</w:t>
      </w:r>
    </w:p>
    <w:p w14:paraId="1A1037EB" w14:textId="77777777" w:rsidR="00902FD5" w:rsidRPr="00A7131B" w:rsidRDefault="00902FD5" w:rsidP="0010144F">
      <w:pPr>
        <w:pStyle w:val="ListParagraph"/>
        <w:numPr>
          <w:ilvl w:val="2"/>
          <w:numId w:val="3"/>
        </w:numPr>
        <w:spacing w:after="0"/>
        <w:ind w:left="3240"/>
      </w:pPr>
      <w:r w:rsidRPr="00A7131B">
        <w:t xml:space="preserve">Ephedrine </w:t>
      </w:r>
    </w:p>
    <w:p w14:paraId="7B3E02EA" w14:textId="77777777" w:rsidR="00902FD5" w:rsidRPr="00A7131B" w:rsidRDefault="00902FD5" w:rsidP="0010144F">
      <w:pPr>
        <w:pStyle w:val="ListParagraph"/>
        <w:numPr>
          <w:ilvl w:val="2"/>
          <w:numId w:val="3"/>
        </w:numPr>
        <w:spacing w:after="0"/>
        <w:ind w:left="3240"/>
      </w:pPr>
      <w:r w:rsidRPr="00A7131B">
        <w:t>Epinephrine</w:t>
      </w:r>
    </w:p>
    <w:p w14:paraId="1502D554" w14:textId="77777777" w:rsidR="00902FD5" w:rsidRPr="00A7131B" w:rsidRDefault="00902FD5" w:rsidP="0010144F">
      <w:pPr>
        <w:pStyle w:val="ListParagraph"/>
        <w:numPr>
          <w:ilvl w:val="2"/>
          <w:numId w:val="3"/>
        </w:numPr>
        <w:spacing w:after="0"/>
        <w:ind w:left="3240"/>
      </w:pPr>
      <w:r w:rsidRPr="00A7131B">
        <w:t>Isoproterenol</w:t>
      </w:r>
    </w:p>
    <w:p w14:paraId="28BEB6FB" w14:textId="77777777" w:rsidR="00902FD5" w:rsidRPr="00A7131B" w:rsidRDefault="00902FD5" w:rsidP="0010144F">
      <w:pPr>
        <w:pStyle w:val="ListParagraph"/>
        <w:numPr>
          <w:ilvl w:val="2"/>
          <w:numId w:val="3"/>
        </w:numPr>
        <w:spacing w:after="0"/>
        <w:ind w:left="3240"/>
      </w:pPr>
      <w:r w:rsidRPr="00A7131B">
        <w:t>Milrinone</w:t>
      </w:r>
    </w:p>
    <w:p w14:paraId="377E8F41" w14:textId="77777777" w:rsidR="00902FD5" w:rsidRPr="00A7131B" w:rsidRDefault="00902FD5" w:rsidP="0010144F">
      <w:pPr>
        <w:pStyle w:val="ListParagraph"/>
        <w:numPr>
          <w:ilvl w:val="2"/>
          <w:numId w:val="3"/>
        </w:numPr>
        <w:spacing w:after="0"/>
        <w:ind w:left="3240"/>
      </w:pPr>
      <w:r w:rsidRPr="00A7131B">
        <w:t>Nitroprusside</w:t>
      </w:r>
    </w:p>
    <w:p w14:paraId="0D4A82D0" w14:textId="77777777" w:rsidR="00902FD5" w:rsidRPr="00A7131B" w:rsidRDefault="00902FD5" w:rsidP="0010144F">
      <w:pPr>
        <w:pStyle w:val="ListParagraph"/>
        <w:numPr>
          <w:ilvl w:val="2"/>
          <w:numId w:val="3"/>
        </w:numPr>
        <w:spacing w:after="0"/>
        <w:ind w:left="3240"/>
      </w:pPr>
      <w:r w:rsidRPr="00A7131B">
        <w:t>Norepinephrine</w:t>
      </w:r>
    </w:p>
    <w:p w14:paraId="7E892300" w14:textId="77777777" w:rsidR="00902FD5" w:rsidRPr="00A7131B" w:rsidRDefault="00902FD5" w:rsidP="0010144F">
      <w:pPr>
        <w:pStyle w:val="ListParagraph"/>
        <w:numPr>
          <w:ilvl w:val="2"/>
          <w:numId w:val="3"/>
        </w:numPr>
        <w:spacing w:after="0"/>
        <w:ind w:left="3240"/>
      </w:pPr>
      <w:r w:rsidRPr="00A7131B">
        <w:t>Phenylephrine</w:t>
      </w:r>
    </w:p>
    <w:p w14:paraId="6E10B51A" w14:textId="77777777" w:rsidR="00902FD5" w:rsidRPr="00A7131B" w:rsidRDefault="00902FD5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t>Vasopressin</w:t>
      </w:r>
    </w:p>
    <w:p w14:paraId="12009B43" w14:textId="77777777" w:rsidR="00902FD5" w:rsidRPr="00A7131B" w:rsidRDefault="00902FD5" w:rsidP="0010144F">
      <w:pPr>
        <w:pStyle w:val="ListParagraph"/>
        <w:numPr>
          <w:ilvl w:val="1"/>
          <w:numId w:val="3"/>
        </w:numPr>
        <w:ind w:left="2520"/>
        <w:rPr>
          <w:rFonts w:cstheme="minorHAnsi"/>
        </w:rPr>
      </w:pPr>
      <w:r w:rsidRPr="00A7131B">
        <w:rPr>
          <w:rFonts w:cstheme="minorHAnsi"/>
        </w:rPr>
        <w:t>Shock</w:t>
      </w:r>
    </w:p>
    <w:p w14:paraId="3C5113B6" w14:textId="77777777" w:rsidR="00902FD5" w:rsidRPr="00A7131B" w:rsidRDefault="00902FD5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R57.0 – Cardiogenic shock</w:t>
      </w:r>
    </w:p>
    <w:p w14:paraId="0D6DF3B4" w14:textId="77777777" w:rsidR="00902FD5" w:rsidRPr="00A7131B" w:rsidRDefault="00902FD5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R57.8 – Other shock</w:t>
      </w:r>
    </w:p>
    <w:p w14:paraId="4E2AF7E9" w14:textId="77777777" w:rsidR="00902FD5" w:rsidRPr="00A7131B" w:rsidRDefault="00902FD5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R57.9 – Shock, unspecified</w:t>
      </w:r>
    </w:p>
    <w:p w14:paraId="61759656" w14:textId="77777777" w:rsidR="00902FD5" w:rsidRPr="00A7131B" w:rsidRDefault="00902FD5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R65.21 – Severe sepsis with septic shock</w:t>
      </w:r>
    </w:p>
    <w:p w14:paraId="77154245" w14:textId="77777777" w:rsidR="00902FD5" w:rsidRPr="00A7131B" w:rsidRDefault="00902FD5" w:rsidP="0010144F">
      <w:pPr>
        <w:pStyle w:val="ListParagraph"/>
        <w:numPr>
          <w:ilvl w:val="1"/>
          <w:numId w:val="3"/>
        </w:numPr>
        <w:ind w:left="2520"/>
        <w:rPr>
          <w:rFonts w:cstheme="minorHAnsi"/>
        </w:rPr>
      </w:pPr>
      <w:r w:rsidRPr="00A7131B">
        <w:rPr>
          <w:rFonts w:cstheme="minorHAnsi"/>
        </w:rPr>
        <w:t>Hypotension</w:t>
      </w:r>
    </w:p>
    <w:p w14:paraId="059C59E4" w14:textId="77777777" w:rsidR="00902FD5" w:rsidRPr="00A7131B" w:rsidRDefault="00902FD5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I95.0 – Idiopathic hypotension</w:t>
      </w:r>
    </w:p>
    <w:p w14:paraId="5A312704" w14:textId="77777777" w:rsidR="00902FD5" w:rsidRPr="00A7131B" w:rsidRDefault="00902FD5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I95.89 – Other hypotension</w:t>
      </w:r>
    </w:p>
    <w:p w14:paraId="2AB29E38" w14:textId="77777777" w:rsidR="00902FD5" w:rsidRPr="00A7131B" w:rsidRDefault="00902FD5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I95.9 – Hypotension, unspecified</w:t>
      </w:r>
    </w:p>
    <w:p w14:paraId="216C950D" w14:textId="77777777" w:rsidR="00902FD5" w:rsidRPr="00A7131B" w:rsidRDefault="008C1C06" w:rsidP="0010144F">
      <w:pPr>
        <w:pStyle w:val="ListParagraph"/>
        <w:numPr>
          <w:ilvl w:val="1"/>
          <w:numId w:val="2"/>
        </w:numPr>
        <w:ind w:left="3240"/>
        <w:rPr>
          <w:rFonts w:cstheme="minorHAnsi"/>
        </w:rPr>
      </w:pPr>
      <w:r w:rsidRPr="00A7131B">
        <w:t>R65.20 – Severe sepsis without septic shock</w:t>
      </w:r>
    </w:p>
    <w:p w14:paraId="5D9ECADE" w14:textId="77777777" w:rsidR="00BB7878" w:rsidRPr="00A7131B" w:rsidRDefault="00BB7878" w:rsidP="0010144F">
      <w:pPr>
        <w:pStyle w:val="ListParagraph"/>
        <w:numPr>
          <w:ilvl w:val="0"/>
          <w:numId w:val="3"/>
        </w:numPr>
        <w:ind w:left="1800"/>
        <w:rPr>
          <w:rFonts w:cstheme="minorHAnsi"/>
        </w:rPr>
      </w:pPr>
      <w:r w:rsidRPr="00A7131B">
        <w:rPr>
          <w:rFonts w:cstheme="minorHAnsi"/>
        </w:rPr>
        <w:t>Abdominal pain, vomiting, or diarrhea</w:t>
      </w:r>
    </w:p>
    <w:p w14:paraId="2FD99ADD" w14:textId="77777777" w:rsidR="00BB7878" w:rsidRPr="00A7131B" w:rsidRDefault="00BB7878" w:rsidP="0010144F">
      <w:pPr>
        <w:pStyle w:val="ListParagraph"/>
        <w:numPr>
          <w:ilvl w:val="1"/>
          <w:numId w:val="3"/>
        </w:numPr>
        <w:ind w:left="2520"/>
        <w:rPr>
          <w:rFonts w:cstheme="minorHAnsi"/>
        </w:rPr>
      </w:pPr>
      <w:r w:rsidRPr="00A7131B">
        <w:rPr>
          <w:rFonts w:cstheme="minorHAnsi"/>
        </w:rPr>
        <w:t>Abdominal pain</w:t>
      </w:r>
    </w:p>
    <w:p w14:paraId="4A16DF8F" w14:textId="77777777" w:rsidR="00BB7878" w:rsidRPr="00A7131B" w:rsidRDefault="00BB7878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R10.10 - Upper abdominal pain, unspecified</w:t>
      </w:r>
    </w:p>
    <w:p w14:paraId="6A8B5188" w14:textId="77777777" w:rsidR="00BB7878" w:rsidRPr="00A7131B" w:rsidRDefault="00BB7878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R10.30 - Lower abdominal pain, unspecified</w:t>
      </w:r>
    </w:p>
    <w:p w14:paraId="7DC3AD69" w14:textId="77777777" w:rsidR="00BB7878" w:rsidRPr="00A7131B" w:rsidRDefault="00BB7878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R10.84 - Generalized abdominal pain</w:t>
      </w:r>
    </w:p>
    <w:p w14:paraId="56E0A1A2" w14:textId="77777777" w:rsidR="00BB7878" w:rsidRPr="00A7131B" w:rsidRDefault="00BB7878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R10.9 - Unspecified abdominal pain</w:t>
      </w:r>
    </w:p>
    <w:p w14:paraId="02A5B3E0" w14:textId="77777777" w:rsidR="00BB7878" w:rsidRPr="00A7131B" w:rsidRDefault="00BB7878" w:rsidP="0010144F">
      <w:pPr>
        <w:pStyle w:val="ListParagraph"/>
        <w:numPr>
          <w:ilvl w:val="1"/>
          <w:numId w:val="3"/>
        </w:numPr>
        <w:ind w:left="2520"/>
        <w:rPr>
          <w:rFonts w:cstheme="minorHAnsi"/>
        </w:rPr>
      </w:pPr>
      <w:r w:rsidRPr="00A7131B">
        <w:rPr>
          <w:rFonts w:cstheme="minorHAnsi"/>
        </w:rPr>
        <w:t>Vomiting</w:t>
      </w:r>
    </w:p>
    <w:p w14:paraId="29F23AB2" w14:textId="77777777" w:rsidR="00BB7878" w:rsidRPr="00A7131B" w:rsidRDefault="00BB7878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R11.11 - Vomiting without nausea</w:t>
      </w:r>
    </w:p>
    <w:p w14:paraId="4CC2797C" w14:textId="77777777" w:rsidR="00BB7878" w:rsidRPr="00A7131B" w:rsidRDefault="00BB7878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R11.2 – Nausea with vomiting, unspecified</w:t>
      </w:r>
    </w:p>
    <w:p w14:paraId="5BBB6B14" w14:textId="77777777" w:rsidR="00BB7878" w:rsidRPr="00A7131B" w:rsidRDefault="00BB7878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R11.10 – Vomiting unspecified</w:t>
      </w:r>
    </w:p>
    <w:p w14:paraId="4007C0B9" w14:textId="77777777" w:rsidR="00BB7878" w:rsidRPr="00A7131B" w:rsidRDefault="00BB7878" w:rsidP="0010144F">
      <w:pPr>
        <w:pStyle w:val="ListParagraph"/>
        <w:numPr>
          <w:ilvl w:val="1"/>
          <w:numId w:val="3"/>
        </w:numPr>
        <w:ind w:left="2520"/>
        <w:rPr>
          <w:rFonts w:cstheme="minorHAnsi"/>
        </w:rPr>
      </w:pPr>
      <w:r w:rsidRPr="00A7131B">
        <w:rPr>
          <w:rFonts w:cstheme="minorHAnsi"/>
        </w:rPr>
        <w:t>Diarrhea</w:t>
      </w:r>
    </w:p>
    <w:p w14:paraId="0479469D" w14:textId="77777777" w:rsidR="00BB7878" w:rsidRPr="00A7131B" w:rsidRDefault="00BB7878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R19.7 – Diarrhea, unspecified</w:t>
      </w:r>
    </w:p>
    <w:p w14:paraId="3B969A80" w14:textId="77777777" w:rsidR="00BB7878" w:rsidRPr="00A7131B" w:rsidRDefault="00BB7878" w:rsidP="0010144F">
      <w:pPr>
        <w:pStyle w:val="ListParagraph"/>
        <w:numPr>
          <w:ilvl w:val="1"/>
          <w:numId w:val="3"/>
        </w:numPr>
        <w:ind w:left="2520"/>
        <w:rPr>
          <w:rFonts w:cstheme="minorHAnsi"/>
        </w:rPr>
      </w:pPr>
      <w:r w:rsidRPr="00A7131B">
        <w:rPr>
          <w:rFonts w:cstheme="minorHAnsi"/>
        </w:rPr>
        <w:t>Gastroenteritis</w:t>
      </w:r>
    </w:p>
    <w:p w14:paraId="1BB1F373" w14:textId="77777777" w:rsidR="00BB7878" w:rsidRPr="00A7131B" w:rsidRDefault="00BB7878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 xml:space="preserve">A09 - </w:t>
      </w:r>
      <w:r w:rsidRPr="00A7131B">
        <w:rPr>
          <w:rFonts w:cstheme="minorHAnsi"/>
          <w:shd w:val="clear" w:color="auto" w:fill="FFFFFF"/>
        </w:rPr>
        <w:t>Infectious gastroenteritis and colitis, unspecified</w:t>
      </w:r>
    </w:p>
    <w:p w14:paraId="14D5392E" w14:textId="77777777" w:rsidR="00BB7878" w:rsidRPr="00A7131B" w:rsidRDefault="00BB7878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A08.39 – Other viral enteritis</w:t>
      </w:r>
    </w:p>
    <w:p w14:paraId="52FF483E" w14:textId="77777777" w:rsidR="00BB7878" w:rsidRPr="00A7131B" w:rsidRDefault="00BB7878" w:rsidP="0010144F">
      <w:pPr>
        <w:pStyle w:val="ListParagraph"/>
        <w:numPr>
          <w:ilvl w:val="2"/>
          <w:numId w:val="3"/>
        </w:numPr>
        <w:ind w:left="3240"/>
        <w:rPr>
          <w:rFonts w:cstheme="minorHAnsi"/>
        </w:rPr>
      </w:pPr>
      <w:r w:rsidRPr="00A7131B">
        <w:rPr>
          <w:rFonts w:cstheme="minorHAnsi"/>
        </w:rPr>
        <w:t>A08.4 – Viral intestinal infection, unspecified</w:t>
      </w:r>
    </w:p>
    <w:p w14:paraId="268344A6" w14:textId="77777777" w:rsidR="00902FD5" w:rsidRPr="00A7131B" w:rsidRDefault="00902FD5" w:rsidP="0010144F">
      <w:pPr>
        <w:pStyle w:val="ListParagraph"/>
        <w:numPr>
          <w:ilvl w:val="0"/>
          <w:numId w:val="3"/>
        </w:numPr>
        <w:ind w:left="1800"/>
        <w:rPr>
          <w:rFonts w:cstheme="minorHAnsi"/>
        </w:rPr>
      </w:pPr>
      <w:r w:rsidRPr="00A7131B">
        <w:rPr>
          <w:rFonts w:cstheme="minorHAnsi"/>
        </w:rPr>
        <w:lastRenderedPageBreak/>
        <w:t>Thrombocytopenia</w:t>
      </w:r>
    </w:p>
    <w:p w14:paraId="14ED4AC8" w14:textId="77777777" w:rsidR="00902FD5" w:rsidRPr="00A7131B" w:rsidRDefault="00902FD5" w:rsidP="0010144F">
      <w:pPr>
        <w:pStyle w:val="ListParagraph"/>
        <w:numPr>
          <w:ilvl w:val="0"/>
          <w:numId w:val="2"/>
        </w:numPr>
        <w:ind w:left="2520"/>
        <w:rPr>
          <w:rFonts w:cstheme="minorHAnsi"/>
        </w:rPr>
      </w:pPr>
      <w:r w:rsidRPr="00A7131B">
        <w:rPr>
          <w:rFonts w:cstheme="minorHAnsi"/>
        </w:rPr>
        <w:t>D69.6 – Thrombocytopenia, unspecified</w:t>
      </w:r>
    </w:p>
    <w:p w14:paraId="6E5A9027" w14:textId="77777777" w:rsidR="00902FD5" w:rsidRPr="00A7131B" w:rsidRDefault="00902FD5" w:rsidP="0010144F">
      <w:pPr>
        <w:pStyle w:val="ListParagraph"/>
        <w:numPr>
          <w:ilvl w:val="0"/>
          <w:numId w:val="2"/>
        </w:numPr>
        <w:ind w:left="2520"/>
        <w:rPr>
          <w:rFonts w:cstheme="minorHAnsi"/>
        </w:rPr>
      </w:pPr>
      <w:r w:rsidRPr="00A7131B">
        <w:rPr>
          <w:rFonts w:cstheme="minorHAnsi"/>
        </w:rPr>
        <w:t>D69.59 – other secondary thrombocytopenia</w:t>
      </w:r>
    </w:p>
    <w:p w14:paraId="23591C89" w14:textId="77777777" w:rsidR="00902FD5" w:rsidRPr="00A7131B" w:rsidRDefault="00902FD5" w:rsidP="0010144F">
      <w:pPr>
        <w:pStyle w:val="ListParagraph"/>
        <w:numPr>
          <w:ilvl w:val="0"/>
          <w:numId w:val="2"/>
        </w:numPr>
        <w:spacing w:after="0"/>
        <w:ind w:left="2520"/>
        <w:rPr>
          <w:rFonts w:cstheme="minorHAnsi"/>
        </w:rPr>
      </w:pPr>
      <w:r w:rsidRPr="00A7131B">
        <w:rPr>
          <w:rFonts w:cstheme="minorHAnsi"/>
        </w:rPr>
        <w:t>Platelet count &lt;150 K/</w:t>
      </w:r>
      <w:proofErr w:type="spellStart"/>
      <w:r w:rsidR="00B866E2" w:rsidRPr="00A7131B">
        <w:rPr>
          <w:rFonts w:cstheme="minorHAnsi"/>
        </w:rPr>
        <w:t>uL</w:t>
      </w:r>
      <w:proofErr w:type="spellEnd"/>
    </w:p>
    <w:p w14:paraId="2CA86AB2" w14:textId="77777777" w:rsidR="00FF4E07" w:rsidRPr="00A7131B" w:rsidRDefault="00FF4E07" w:rsidP="00FF4E07">
      <w:pPr>
        <w:spacing w:after="0"/>
        <w:rPr>
          <w:rFonts w:cstheme="minorHAnsi"/>
        </w:rPr>
      </w:pPr>
    </w:p>
    <w:p w14:paraId="5411E79C" w14:textId="77777777" w:rsidR="00FF4E07" w:rsidRPr="00A7131B" w:rsidRDefault="00FF4E07" w:rsidP="00FF4E07">
      <w:pPr>
        <w:spacing w:after="0"/>
        <w:rPr>
          <w:rFonts w:cstheme="minorHAnsi"/>
        </w:rPr>
      </w:pPr>
    </w:p>
    <w:p w14:paraId="4DEF274F" w14:textId="77777777" w:rsidR="00FF4E07" w:rsidRPr="00A7131B" w:rsidRDefault="00FF4E07" w:rsidP="00FF4E07">
      <w:pPr>
        <w:spacing w:after="0"/>
        <w:rPr>
          <w:rFonts w:cstheme="minorHAnsi"/>
          <w:u w:val="single"/>
        </w:rPr>
      </w:pPr>
      <w:r w:rsidRPr="00A7131B">
        <w:rPr>
          <w:rFonts w:cstheme="minorHAnsi"/>
          <w:u w:val="single"/>
        </w:rPr>
        <w:t>EXCLUSION CRITERIA</w:t>
      </w:r>
    </w:p>
    <w:p w14:paraId="6AC3E128" w14:textId="77777777" w:rsidR="000268E6" w:rsidRPr="00A7131B" w:rsidRDefault="007C1367" w:rsidP="000268E6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A7131B">
        <w:rPr>
          <w:rFonts w:cstheme="minorHAnsi"/>
        </w:rPr>
        <w:t>History of chronic heart failure at baseline</w:t>
      </w:r>
      <w:r w:rsidR="000268E6" w:rsidRPr="00A7131B">
        <w:rPr>
          <w:rFonts w:cstheme="minorHAnsi"/>
        </w:rPr>
        <w:t xml:space="preserve"> </w:t>
      </w:r>
    </w:p>
    <w:p w14:paraId="77A1A51A" w14:textId="77777777" w:rsidR="000268E6" w:rsidRPr="00A7131B" w:rsidRDefault="000268E6" w:rsidP="000268E6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A7131B">
        <w:rPr>
          <w:rFonts w:cstheme="minorHAnsi"/>
        </w:rPr>
        <w:t>Patients were considered to have heart failure at baseline if they had ≥1 of the following:</w:t>
      </w:r>
    </w:p>
    <w:p w14:paraId="0F47D407" w14:textId="77777777" w:rsidR="000268E6" w:rsidRPr="00A7131B" w:rsidRDefault="000268E6" w:rsidP="000268E6">
      <w:pPr>
        <w:pStyle w:val="ListParagraph"/>
        <w:numPr>
          <w:ilvl w:val="2"/>
          <w:numId w:val="20"/>
        </w:numPr>
        <w:spacing w:after="0"/>
        <w:rPr>
          <w:rFonts w:cstheme="minorHAnsi"/>
        </w:rPr>
      </w:pPr>
      <w:r w:rsidRPr="00A7131B">
        <w:rPr>
          <w:rFonts w:cstheme="minorHAnsi"/>
        </w:rPr>
        <w:t xml:space="preserve">A history of congestive heart failure (CHF) according to the </w:t>
      </w:r>
      <w:proofErr w:type="spellStart"/>
      <w:r w:rsidRPr="00A7131B">
        <w:rPr>
          <w:rFonts w:cstheme="minorHAnsi"/>
        </w:rPr>
        <w:t>Elixhauser</w:t>
      </w:r>
      <w:proofErr w:type="spellEnd"/>
      <w:r w:rsidRPr="00A7131B">
        <w:rPr>
          <w:rFonts w:cstheme="minorHAnsi"/>
        </w:rPr>
        <w:t xml:space="preserve"> algorithm.</w:t>
      </w:r>
    </w:p>
    <w:p w14:paraId="519DD481" w14:textId="77777777" w:rsidR="000268E6" w:rsidRDefault="000268E6" w:rsidP="000268E6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A7131B">
        <w:rPr>
          <w:rFonts w:cstheme="minorHAnsi"/>
        </w:rPr>
        <w:t xml:space="preserve">For the purposes of identifying patients with CHF, the </w:t>
      </w:r>
      <w:proofErr w:type="spellStart"/>
      <w:r w:rsidRPr="00A7131B">
        <w:rPr>
          <w:rFonts w:cstheme="minorHAnsi"/>
        </w:rPr>
        <w:t>Elixhauser</w:t>
      </w:r>
      <w:proofErr w:type="spellEnd"/>
      <w:r w:rsidRPr="00A7131B">
        <w:rPr>
          <w:rFonts w:cstheme="minorHAnsi"/>
        </w:rPr>
        <w:t xml:space="preserve"> algorithm was applied to hospital encounter dat</w:t>
      </w:r>
      <w:r>
        <w:rPr>
          <w:rFonts w:cstheme="minorHAnsi"/>
        </w:rPr>
        <w:t xml:space="preserve">a from the Premier Healthcare Database dating from January 1, 2019 up to (but not including) the first COVID hospitalization.  Patients with a heart failure ICD code on a previous hospital encounter </w:t>
      </w:r>
      <w:r w:rsidR="00203B4A">
        <w:rPr>
          <w:rFonts w:cstheme="minorHAnsi"/>
        </w:rPr>
        <w:t xml:space="preserve">as defined by the </w:t>
      </w:r>
      <w:proofErr w:type="spellStart"/>
      <w:r w:rsidR="00203B4A">
        <w:rPr>
          <w:rFonts w:cstheme="minorHAnsi"/>
        </w:rPr>
        <w:t>Elixhauser</w:t>
      </w:r>
      <w:proofErr w:type="spellEnd"/>
      <w:r w:rsidR="00203B4A">
        <w:rPr>
          <w:rFonts w:cstheme="minorHAnsi"/>
        </w:rPr>
        <w:t xml:space="preserve"> algorithm </w:t>
      </w:r>
      <w:r>
        <w:rPr>
          <w:rFonts w:cstheme="minorHAnsi"/>
        </w:rPr>
        <w:t>were classified as having heart failure at baseline.</w:t>
      </w:r>
    </w:p>
    <w:p w14:paraId="2EEE290A" w14:textId="77777777" w:rsidR="000268E6" w:rsidRDefault="00FB1FE2" w:rsidP="00FB1FE2">
      <w:pPr>
        <w:pStyle w:val="ListParagraph"/>
        <w:numPr>
          <w:ilvl w:val="2"/>
          <w:numId w:val="20"/>
        </w:numPr>
        <w:spacing w:after="0"/>
        <w:rPr>
          <w:rFonts w:cstheme="minorHAnsi"/>
        </w:rPr>
      </w:pPr>
      <w:r w:rsidRPr="00FB1FE2">
        <w:rPr>
          <w:rFonts w:cstheme="minorHAnsi"/>
        </w:rPr>
        <w:t xml:space="preserve">An </w:t>
      </w:r>
      <w:r w:rsidR="000268E6" w:rsidRPr="00FB1FE2">
        <w:rPr>
          <w:rFonts w:cstheme="minorHAnsi"/>
        </w:rPr>
        <w:t>ICD</w:t>
      </w:r>
      <w:r w:rsidR="000268E6">
        <w:rPr>
          <w:rFonts w:cstheme="minorHAnsi"/>
        </w:rPr>
        <w:t xml:space="preserve"> code from the COVID hospitalization indicative of heart failure at baseline</w:t>
      </w:r>
    </w:p>
    <w:p w14:paraId="01A925C0" w14:textId="77777777" w:rsidR="00FB1FE2" w:rsidRPr="00160AFF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I11.0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Hypertensive heart disease with heart failure</w:t>
      </w:r>
    </w:p>
    <w:p w14:paraId="5119E44E" w14:textId="77777777" w:rsidR="00160AFF" w:rsidRPr="00160AFF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I13.0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Hypertensive heart and chronic kidney disease with heart failure and stage 1 through stage 4 chronic kidney disease, or unspecified chronic kidney disease</w:t>
      </w:r>
    </w:p>
    <w:p w14:paraId="69586EF5" w14:textId="77777777" w:rsidR="00160AFF" w:rsidRPr="00160AFF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I13.2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Hypertensive heart and chronic kidney disease with heart failure and with stage 5 chronic kidney disease, or end stage renal disease</w:t>
      </w:r>
    </w:p>
    <w:p w14:paraId="00A5A485" w14:textId="77777777" w:rsidR="00160AFF" w:rsidRPr="00160AFF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I27.81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Cor pulmonale (chronic)</w:t>
      </w:r>
    </w:p>
    <w:p w14:paraId="6DA52AED" w14:textId="77777777" w:rsidR="00160AFF" w:rsidRPr="00160AFF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I50.22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Chronic systolic (congestive) heart failure</w:t>
      </w:r>
    </w:p>
    <w:p w14:paraId="746CB12B" w14:textId="77777777" w:rsidR="00160AFF" w:rsidRPr="00160AFF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I50.23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Acute on chronic systolic (congestive) heart failure</w:t>
      </w:r>
    </w:p>
    <w:p w14:paraId="08D5B9BB" w14:textId="77777777" w:rsidR="00160AFF" w:rsidRPr="00160AFF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I50.32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Chronic diastolic (congestive) heart failure</w:t>
      </w:r>
    </w:p>
    <w:p w14:paraId="0A42FF32" w14:textId="77777777" w:rsidR="00160AFF" w:rsidRPr="00160AFF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I50.33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Acute on chronic diastolic (congestive) heart failure</w:t>
      </w:r>
    </w:p>
    <w:p w14:paraId="4744E6D9" w14:textId="77777777" w:rsidR="00160AFF" w:rsidRPr="00160AFF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I50.42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Chronic combined systolic (congestive) and diastolic (congestive) heart failure</w:t>
      </w:r>
    </w:p>
    <w:p w14:paraId="3958E9D3" w14:textId="77777777" w:rsidR="00160AFF" w:rsidRPr="00160AFF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I50.43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Acute on chronic combined systolic (congestive) and diastolic (congestive) heart failure</w:t>
      </w:r>
    </w:p>
    <w:p w14:paraId="230F1913" w14:textId="77777777" w:rsidR="00160AFF" w:rsidRPr="00160AFF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I50.</w:t>
      </w:r>
      <w:r>
        <w:rPr>
          <w:rFonts w:ascii="Calibri" w:eastAsia="Times New Roman" w:hAnsi="Calibri" w:cs="Calibri"/>
          <w:color w:val="000000"/>
        </w:rPr>
        <w:t>811 – Chronic right heart failure</w:t>
      </w:r>
    </w:p>
    <w:p w14:paraId="1541A414" w14:textId="77777777" w:rsidR="00160AFF" w:rsidRPr="00FB1FE2" w:rsidRDefault="00160AFF" w:rsidP="00FB1FE2">
      <w:pPr>
        <w:pStyle w:val="ListParagraph"/>
        <w:numPr>
          <w:ilvl w:val="3"/>
          <w:numId w:val="20"/>
        </w:numPr>
        <w:spacing w:after="0"/>
        <w:rPr>
          <w:rFonts w:cstheme="minorHAnsi"/>
        </w:rPr>
      </w:pPr>
      <w:r>
        <w:rPr>
          <w:rFonts w:ascii="Calibri" w:eastAsia="Times New Roman" w:hAnsi="Calibri" w:cs="Calibri"/>
          <w:color w:val="000000"/>
        </w:rPr>
        <w:t>I50.812 – Acute on chronic right heart failure</w:t>
      </w:r>
    </w:p>
    <w:p w14:paraId="12405342" w14:textId="77777777" w:rsidR="000268E6" w:rsidRDefault="000268E6" w:rsidP="000268E6">
      <w:pPr>
        <w:spacing w:after="0"/>
      </w:pPr>
    </w:p>
    <w:p w14:paraId="48C6C319" w14:textId="77777777" w:rsidR="000268E6" w:rsidRDefault="000268E6" w:rsidP="00160AFF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160AFF">
        <w:rPr>
          <w:rFonts w:cstheme="minorHAnsi"/>
        </w:rPr>
        <w:t>Alternative diagnosis for new-onset heart failure</w:t>
      </w:r>
    </w:p>
    <w:p w14:paraId="0C3771CC" w14:textId="77777777" w:rsidR="00CF0A34" w:rsidRPr="00CF0A34" w:rsidRDefault="00CF0A34" w:rsidP="00CF0A34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I21.0</w:t>
      </w:r>
      <w:r>
        <w:rPr>
          <w:rFonts w:ascii="Calibri" w:eastAsia="Times New Roman" w:hAnsi="Calibri" w:cs="Calibri"/>
          <w:color w:val="000000"/>
        </w:rPr>
        <w:t xml:space="preserve">1 – </w:t>
      </w:r>
      <w:r w:rsidR="00160AFF" w:rsidRPr="00E75260">
        <w:rPr>
          <w:rFonts w:ascii="Calibri" w:eastAsia="Times New Roman" w:hAnsi="Calibri" w:cs="Calibri"/>
          <w:color w:val="000000"/>
        </w:rPr>
        <w:t xml:space="preserve">ST elevation (STEMI) myocardial infarction involving left </w:t>
      </w:r>
      <w:r w:rsidR="00160AFF">
        <w:rPr>
          <w:rFonts w:ascii="Calibri" w:eastAsia="Times New Roman" w:hAnsi="Calibri" w:cs="Calibri"/>
          <w:color w:val="000000"/>
        </w:rPr>
        <w:t>main</w:t>
      </w:r>
      <w:r w:rsidR="00160AFF" w:rsidRPr="00E75260">
        <w:rPr>
          <w:rFonts w:ascii="Calibri" w:eastAsia="Times New Roman" w:hAnsi="Calibri" w:cs="Calibri"/>
          <w:color w:val="000000"/>
        </w:rPr>
        <w:t xml:space="preserve"> coronary artery</w:t>
      </w:r>
    </w:p>
    <w:p w14:paraId="46155F2C" w14:textId="77777777" w:rsidR="00CF0A34" w:rsidRPr="00CF0A34" w:rsidRDefault="00CF0A34" w:rsidP="00CF0A34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I21.02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CF0A34">
        <w:rPr>
          <w:rFonts w:ascii="Calibri" w:eastAsia="Times New Roman" w:hAnsi="Calibri" w:cs="Calibri"/>
          <w:color w:val="000000"/>
        </w:rPr>
        <w:t>ST elevation (STEMI) myocardial infarction involving left anterior descending coronary artery</w:t>
      </w:r>
    </w:p>
    <w:p w14:paraId="3CF10070" w14:textId="77777777" w:rsidR="00CF0A34" w:rsidRPr="00CF0A34" w:rsidRDefault="00CF0A34" w:rsidP="00CF0A34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I21.09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CF0A34">
        <w:rPr>
          <w:rFonts w:ascii="Calibri" w:eastAsia="Times New Roman" w:hAnsi="Calibri" w:cs="Calibri"/>
          <w:color w:val="000000"/>
        </w:rPr>
        <w:t xml:space="preserve">ST elevation (STEMI) myocardial infarction involving </w:t>
      </w:r>
      <w:proofErr w:type="gramStart"/>
      <w:r w:rsidRPr="00CF0A34">
        <w:rPr>
          <w:rFonts w:ascii="Calibri" w:eastAsia="Times New Roman" w:hAnsi="Calibri" w:cs="Calibri"/>
          <w:color w:val="000000"/>
        </w:rPr>
        <w:t>other</w:t>
      </w:r>
      <w:proofErr w:type="gramEnd"/>
      <w:r w:rsidRPr="00CF0A34">
        <w:rPr>
          <w:rFonts w:ascii="Calibri" w:eastAsia="Times New Roman" w:hAnsi="Calibri" w:cs="Calibri"/>
          <w:color w:val="000000"/>
        </w:rPr>
        <w:t xml:space="preserve"> coronary artery of anterior wall</w:t>
      </w:r>
    </w:p>
    <w:p w14:paraId="04AAA048" w14:textId="77777777" w:rsidR="00160AFF" w:rsidRPr="00CF0A34" w:rsidRDefault="00CF0A34" w:rsidP="00160AFF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I21.</w:t>
      </w:r>
      <w:r>
        <w:rPr>
          <w:rFonts w:ascii="Calibri" w:eastAsia="Times New Roman" w:hAnsi="Calibri" w:cs="Calibri"/>
          <w:color w:val="000000"/>
        </w:rPr>
        <w:t xml:space="preserve">11 – </w:t>
      </w:r>
      <w:r w:rsidRPr="00E75260">
        <w:rPr>
          <w:rFonts w:ascii="Calibri" w:eastAsia="Times New Roman" w:hAnsi="Calibri" w:cs="Calibri"/>
          <w:color w:val="000000"/>
        </w:rPr>
        <w:t xml:space="preserve">ST elevation (STEMI) myocardial infarction involving </w:t>
      </w:r>
      <w:r>
        <w:rPr>
          <w:rFonts w:ascii="Calibri" w:eastAsia="Times New Roman" w:hAnsi="Calibri" w:cs="Calibri"/>
          <w:color w:val="000000"/>
        </w:rPr>
        <w:t>right</w:t>
      </w:r>
      <w:r w:rsidRPr="00E75260">
        <w:rPr>
          <w:rFonts w:ascii="Calibri" w:eastAsia="Times New Roman" w:hAnsi="Calibri" w:cs="Calibri"/>
          <w:color w:val="000000"/>
        </w:rPr>
        <w:t xml:space="preserve"> coronary artery</w:t>
      </w:r>
    </w:p>
    <w:p w14:paraId="20D3AA99" w14:textId="77777777" w:rsidR="00CF0A34" w:rsidRPr="00CF0A34" w:rsidRDefault="00CF0A34" w:rsidP="00CF0A34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I21.19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 xml:space="preserve">ST elevation (STEMI) myocardial infarction involving </w:t>
      </w:r>
      <w:proofErr w:type="gramStart"/>
      <w:r w:rsidRPr="00E75260">
        <w:rPr>
          <w:rFonts w:ascii="Calibri" w:eastAsia="Times New Roman" w:hAnsi="Calibri" w:cs="Calibri"/>
          <w:color w:val="000000"/>
        </w:rPr>
        <w:t>other</w:t>
      </w:r>
      <w:proofErr w:type="gramEnd"/>
      <w:r w:rsidRPr="00E75260">
        <w:rPr>
          <w:rFonts w:ascii="Calibri" w:eastAsia="Times New Roman" w:hAnsi="Calibri" w:cs="Calibri"/>
          <w:color w:val="000000"/>
        </w:rPr>
        <w:t xml:space="preserve"> coronary artery of inferior wall</w:t>
      </w:r>
    </w:p>
    <w:p w14:paraId="73446B26" w14:textId="77777777" w:rsidR="00CF0A34" w:rsidRPr="00CF0A34" w:rsidRDefault="00CF0A34" w:rsidP="00CF0A34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I21.</w:t>
      </w:r>
      <w:r>
        <w:rPr>
          <w:rFonts w:ascii="Calibri" w:eastAsia="Times New Roman" w:hAnsi="Calibri" w:cs="Calibri"/>
          <w:color w:val="000000"/>
        </w:rPr>
        <w:t xml:space="preserve">21 – </w:t>
      </w:r>
      <w:r w:rsidRPr="00CF0A34">
        <w:rPr>
          <w:rFonts w:ascii="Calibri" w:eastAsia="Times New Roman" w:hAnsi="Calibri" w:cs="Calibri"/>
          <w:color w:val="000000"/>
        </w:rPr>
        <w:t>ST elevation (STEMI) myocardial infarction involving left circumflex coronary artery</w:t>
      </w:r>
    </w:p>
    <w:p w14:paraId="22CF7A28" w14:textId="77777777" w:rsidR="00CF0A34" w:rsidRPr="00CF0A34" w:rsidRDefault="00CF0A34" w:rsidP="00160AFF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I21.29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ST elevation (STEMI) myocardial infarction involving other sites</w:t>
      </w:r>
    </w:p>
    <w:p w14:paraId="0C8E12FF" w14:textId="77777777" w:rsidR="00CF0A34" w:rsidRPr="00CF0A34" w:rsidRDefault="00CF0A34" w:rsidP="00160AFF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I21.3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ST elevation (STEMI) myocardial infarction of unspecified site</w:t>
      </w:r>
    </w:p>
    <w:p w14:paraId="417B7889" w14:textId="77777777" w:rsidR="00CF0A34" w:rsidRPr="00CF0A34" w:rsidRDefault="00CF0A34" w:rsidP="00160AFF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I25.5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Ischemic cardiomyopathy</w:t>
      </w:r>
    </w:p>
    <w:p w14:paraId="38CBE694" w14:textId="77777777" w:rsidR="00CF0A34" w:rsidRPr="00CF0A34" w:rsidRDefault="00CF0A34" w:rsidP="00160AFF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I42.1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5260">
        <w:rPr>
          <w:rFonts w:ascii="Calibri" w:eastAsia="Times New Roman" w:hAnsi="Calibri" w:cs="Calibri"/>
          <w:color w:val="000000"/>
        </w:rPr>
        <w:t>Obstructive hypertrophic cardiomyopathy</w:t>
      </w:r>
    </w:p>
    <w:p w14:paraId="01598832" w14:textId="77777777" w:rsidR="00CF0A34" w:rsidRPr="00CF0A34" w:rsidRDefault="00CF0A34" w:rsidP="00160AFF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E75260">
        <w:rPr>
          <w:rFonts w:ascii="Calibri" w:eastAsia="Times New Roman" w:hAnsi="Calibri" w:cs="Calibri"/>
          <w:color w:val="000000"/>
        </w:rPr>
        <w:t>I42.2</w:t>
      </w:r>
      <w:r>
        <w:rPr>
          <w:rFonts w:ascii="Calibri" w:eastAsia="Times New Roman" w:hAnsi="Calibri" w:cs="Calibri"/>
          <w:color w:val="000000"/>
        </w:rPr>
        <w:t xml:space="preserve"> – </w:t>
      </w:r>
      <w:proofErr w:type="gramStart"/>
      <w:r w:rsidRPr="00E75260">
        <w:rPr>
          <w:rFonts w:ascii="Calibri" w:eastAsia="Times New Roman" w:hAnsi="Calibri" w:cs="Calibri"/>
          <w:color w:val="000000"/>
        </w:rPr>
        <w:t>Other</w:t>
      </w:r>
      <w:proofErr w:type="gramEnd"/>
      <w:r w:rsidRPr="00E75260">
        <w:rPr>
          <w:rFonts w:ascii="Calibri" w:eastAsia="Times New Roman" w:hAnsi="Calibri" w:cs="Calibri"/>
          <w:color w:val="000000"/>
        </w:rPr>
        <w:t xml:space="preserve"> hypertrophic cardiomyopathy</w:t>
      </w:r>
    </w:p>
    <w:p w14:paraId="62CAA421" w14:textId="77777777" w:rsidR="007C1367" w:rsidRPr="000268E6" w:rsidRDefault="007C1367" w:rsidP="00374CF0">
      <w:pPr>
        <w:spacing w:after="0"/>
        <w:jc w:val="right"/>
        <w:rPr>
          <w:rFonts w:cstheme="minorHAnsi"/>
        </w:rPr>
      </w:pPr>
    </w:p>
    <w:p w14:paraId="13076826" w14:textId="77777777" w:rsidR="007C1367" w:rsidRDefault="007C1367" w:rsidP="007C1367">
      <w:pPr>
        <w:pStyle w:val="ListParagraph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>Sepsis due to an alternative pathogen</w:t>
      </w:r>
    </w:p>
    <w:p w14:paraId="1E3336CC" w14:textId="77777777" w:rsidR="00203B4A" w:rsidRPr="00203B4A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A40.0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="00203B4A" w:rsidRPr="008966B6">
        <w:rPr>
          <w:rFonts w:ascii="Calibri" w:eastAsia="Times New Roman" w:hAnsi="Calibri" w:cs="Calibri"/>
          <w:color w:val="000000"/>
        </w:rPr>
        <w:t>Sepsis due to streptococcus, group A</w:t>
      </w:r>
    </w:p>
    <w:p w14:paraId="2DCA0468" w14:textId="77777777" w:rsidR="00203B4A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A40.1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="00203B4A" w:rsidRPr="008966B6">
        <w:rPr>
          <w:rFonts w:ascii="Calibri" w:eastAsia="Times New Roman" w:hAnsi="Calibri" w:cs="Calibri"/>
          <w:color w:val="000000"/>
        </w:rPr>
        <w:t>Sepsis due to streptococcus, group B</w:t>
      </w:r>
    </w:p>
    <w:p w14:paraId="3A17CA85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A40.3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966B6">
        <w:rPr>
          <w:rFonts w:ascii="Calibri" w:eastAsia="Times New Roman" w:hAnsi="Calibri" w:cs="Calibri"/>
          <w:color w:val="000000"/>
        </w:rPr>
        <w:t>Sepsis due to Streptococcus pneumoniae</w:t>
      </w:r>
    </w:p>
    <w:p w14:paraId="3DC127C2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lastRenderedPageBreak/>
        <w:t>A40.8</w:t>
      </w:r>
      <w:r w:rsidRPr="005F2A9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8966B6">
        <w:rPr>
          <w:rFonts w:ascii="Calibri" w:eastAsia="Times New Roman" w:hAnsi="Calibri" w:cs="Calibri"/>
          <w:color w:val="000000"/>
        </w:rPr>
        <w:t>Other streptococcal sepsis</w:t>
      </w:r>
    </w:p>
    <w:p w14:paraId="361F1658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A40.9</w:t>
      </w:r>
      <w:r w:rsidRPr="005F2A9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8966B6">
        <w:rPr>
          <w:rFonts w:ascii="Calibri" w:eastAsia="Times New Roman" w:hAnsi="Calibri" w:cs="Calibri"/>
          <w:color w:val="000000"/>
        </w:rPr>
        <w:t>Streptococcal sepsis, unspecified</w:t>
      </w:r>
    </w:p>
    <w:p w14:paraId="61A8F1C7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A41.01</w:t>
      </w:r>
      <w:r w:rsidRPr="005F2A9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8966B6">
        <w:rPr>
          <w:rFonts w:ascii="Calibri" w:eastAsia="Times New Roman" w:hAnsi="Calibri" w:cs="Calibri"/>
          <w:color w:val="000000"/>
        </w:rPr>
        <w:t>Sepsis due to Methicillin susceptible Staphylococcus aureus</w:t>
      </w:r>
    </w:p>
    <w:p w14:paraId="295047E5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A41.02</w:t>
      </w:r>
      <w:r w:rsidRPr="005F2A9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8966B6">
        <w:rPr>
          <w:rFonts w:ascii="Calibri" w:eastAsia="Times New Roman" w:hAnsi="Calibri" w:cs="Calibri"/>
          <w:color w:val="000000"/>
        </w:rPr>
        <w:t>Sepsis due to Methicillin resistant Staphylococcus aureus</w:t>
      </w:r>
    </w:p>
    <w:p w14:paraId="07E2E58D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A41.1</w:t>
      </w:r>
      <w:r w:rsidRPr="005F2A9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8966B6">
        <w:rPr>
          <w:rFonts w:ascii="Calibri" w:eastAsia="Times New Roman" w:hAnsi="Calibri" w:cs="Calibri"/>
          <w:color w:val="000000"/>
        </w:rPr>
        <w:t xml:space="preserve">Sepsis due to </w:t>
      </w:r>
      <w:proofErr w:type="gramStart"/>
      <w:r w:rsidRPr="008966B6">
        <w:rPr>
          <w:rFonts w:ascii="Calibri" w:eastAsia="Times New Roman" w:hAnsi="Calibri" w:cs="Calibri"/>
          <w:color w:val="000000"/>
        </w:rPr>
        <w:t>other</w:t>
      </w:r>
      <w:proofErr w:type="gramEnd"/>
      <w:r w:rsidRPr="008966B6">
        <w:rPr>
          <w:rFonts w:ascii="Calibri" w:eastAsia="Times New Roman" w:hAnsi="Calibri" w:cs="Calibri"/>
          <w:color w:val="000000"/>
        </w:rPr>
        <w:t xml:space="preserve"> specified staphylococcus</w:t>
      </w:r>
    </w:p>
    <w:p w14:paraId="268CFF08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A41.2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966B6">
        <w:rPr>
          <w:rFonts w:ascii="Calibri" w:eastAsia="Times New Roman" w:hAnsi="Calibri" w:cs="Calibri"/>
          <w:color w:val="000000"/>
        </w:rPr>
        <w:t>Sepsis due to unspecified staphylococcus</w:t>
      </w:r>
    </w:p>
    <w:p w14:paraId="0A20A136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</w:t>
      </w:r>
      <w:r>
        <w:rPr>
          <w:rFonts w:ascii="Calibri" w:eastAsia="Times New Roman" w:hAnsi="Calibri" w:cs="Calibri"/>
          <w:color w:val="000000"/>
        </w:rPr>
        <w:t>3 – Sepsis due to Hemophilus influenzae</w:t>
      </w:r>
    </w:p>
    <w:p w14:paraId="20D55D26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A41.4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966B6">
        <w:rPr>
          <w:rFonts w:ascii="Calibri" w:eastAsia="Times New Roman" w:hAnsi="Calibri" w:cs="Calibri"/>
          <w:color w:val="000000"/>
        </w:rPr>
        <w:t>Sepsis due to anaerobes</w:t>
      </w:r>
    </w:p>
    <w:p w14:paraId="34634E0D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A41.50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966B6">
        <w:rPr>
          <w:rFonts w:ascii="Calibri" w:eastAsia="Times New Roman" w:hAnsi="Calibri" w:cs="Calibri"/>
          <w:color w:val="000000"/>
        </w:rPr>
        <w:t>Gram-negative sepsis, unspecified</w:t>
      </w:r>
    </w:p>
    <w:p w14:paraId="60B61AFE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A41.51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966B6">
        <w:rPr>
          <w:rFonts w:ascii="Calibri" w:eastAsia="Times New Roman" w:hAnsi="Calibri" w:cs="Calibri"/>
          <w:color w:val="000000"/>
        </w:rPr>
        <w:t>Sepsis due to Escherichia coli [E. coli]</w:t>
      </w:r>
    </w:p>
    <w:p w14:paraId="45366D0C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A41.52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966B6">
        <w:rPr>
          <w:rFonts w:ascii="Calibri" w:eastAsia="Times New Roman" w:hAnsi="Calibri" w:cs="Calibri"/>
          <w:color w:val="000000"/>
        </w:rPr>
        <w:t>Sepsis due to Pseudomonas</w:t>
      </w:r>
    </w:p>
    <w:p w14:paraId="540238FA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A41.53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966B6">
        <w:rPr>
          <w:rFonts w:ascii="Calibri" w:eastAsia="Times New Roman" w:hAnsi="Calibri" w:cs="Calibri"/>
          <w:color w:val="000000"/>
        </w:rPr>
        <w:t>Sepsis due to Serratia</w:t>
      </w:r>
    </w:p>
    <w:p w14:paraId="7450C3EE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A41.59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966B6">
        <w:rPr>
          <w:rFonts w:ascii="Calibri" w:eastAsia="Times New Roman" w:hAnsi="Calibri" w:cs="Calibri"/>
          <w:color w:val="000000"/>
        </w:rPr>
        <w:t>Other Gram-negative sepsis</w:t>
      </w:r>
    </w:p>
    <w:p w14:paraId="59797DFE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A41.81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966B6">
        <w:rPr>
          <w:rFonts w:ascii="Calibri" w:eastAsia="Times New Roman" w:hAnsi="Calibri" w:cs="Calibri"/>
          <w:color w:val="000000"/>
        </w:rPr>
        <w:t>Sepsis due to Enterococcus</w:t>
      </w:r>
    </w:p>
    <w:p w14:paraId="24E34EEB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B37.7</w:t>
      </w:r>
      <w:r>
        <w:rPr>
          <w:rFonts w:ascii="Calibri" w:eastAsia="Times New Roman" w:hAnsi="Calibri" w:cs="Calibri"/>
          <w:color w:val="000000"/>
        </w:rPr>
        <w:t xml:space="preserve"> – </w:t>
      </w:r>
      <w:proofErr w:type="spellStart"/>
      <w:r w:rsidRPr="008966B6">
        <w:rPr>
          <w:rFonts w:ascii="Calibri" w:eastAsia="Times New Roman" w:hAnsi="Calibri" w:cs="Calibri"/>
          <w:color w:val="000000"/>
        </w:rPr>
        <w:t>Candidal</w:t>
      </w:r>
      <w:proofErr w:type="spellEnd"/>
      <w:r w:rsidRPr="008966B6">
        <w:rPr>
          <w:rFonts w:ascii="Calibri" w:eastAsia="Times New Roman" w:hAnsi="Calibri" w:cs="Calibri"/>
          <w:color w:val="000000"/>
        </w:rPr>
        <w:t xml:space="preserve"> sepsis</w:t>
      </w:r>
    </w:p>
    <w:p w14:paraId="3F575873" w14:textId="77777777" w:rsidR="005F2A9E" w:rsidRPr="005F2A9E" w:rsidRDefault="005F2A9E" w:rsidP="00203B4A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ascii="Calibri" w:eastAsia="Times New Roman" w:hAnsi="Calibri" w:cs="Calibri"/>
          <w:color w:val="000000"/>
        </w:rPr>
        <w:t>R78.81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966B6">
        <w:rPr>
          <w:rFonts w:ascii="Calibri" w:eastAsia="Times New Roman" w:hAnsi="Calibri" w:cs="Calibri"/>
          <w:color w:val="000000"/>
        </w:rPr>
        <w:t>Bacteremia</w:t>
      </w:r>
    </w:p>
    <w:p w14:paraId="14E90DC5" w14:textId="77777777" w:rsidR="00F5617C" w:rsidRPr="005F2A9E" w:rsidRDefault="005F2A9E" w:rsidP="000268E6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8966B6">
        <w:rPr>
          <w:rFonts w:eastAsia="Times New Roman" w:cstheme="minorHAnsi"/>
          <w:color w:val="000000"/>
        </w:rPr>
        <w:t>T80.211</w:t>
      </w:r>
      <w:r>
        <w:rPr>
          <w:rFonts w:eastAsia="Times New Roman" w:cstheme="minorHAnsi"/>
          <w:color w:val="000000"/>
        </w:rPr>
        <w:t>A</w:t>
      </w:r>
      <w:r w:rsidRPr="008966B6">
        <w:rPr>
          <w:rFonts w:eastAsia="Times New Roman" w:cstheme="minorHAns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8966B6">
        <w:rPr>
          <w:rFonts w:eastAsia="Times New Roman" w:cstheme="minorHAnsi"/>
          <w:color w:val="000000"/>
        </w:rPr>
        <w:t>Bloodstream infection due to central venous catheter</w:t>
      </w:r>
      <w:r w:rsidR="00BB7C9F" w:rsidRPr="005F2A9E">
        <w:rPr>
          <w:rFonts w:cstheme="minorHAnsi"/>
        </w:rPr>
        <w:br w:type="page"/>
      </w:r>
    </w:p>
    <w:p w14:paraId="4BC1F7D0" w14:textId="77777777" w:rsidR="00C92180" w:rsidRPr="00CF0A34" w:rsidRDefault="00CF0A34" w:rsidP="00C92180">
      <w:pPr>
        <w:spacing w:after="0"/>
        <w:rPr>
          <w:rFonts w:cstheme="minorHAnsi"/>
          <w:b/>
          <w:bCs/>
        </w:rPr>
      </w:pPr>
      <w:r w:rsidRPr="00CF0A34">
        <w:rPr>
          <w:rFonts w:cstheme="minorHAnsi"/>
          <w:b/>
          <w:bCs/>
        </w:rPr>
        <w:lastRenderedPageBreak/>
        <w:t>OTHER VARIABLE DEFINITIONS</w:t>
      </w:r>
    </w:p>
    <w:p w14:paraId="6B4CB7B5" w14:textId="77777777" w:rsidR="00D86176" w:rsidRDefault="00D86176" w:rsidP="00C92180">
      <w:pPr>
        <w:spacing w:after="0"/>
        <w:rPr>
          <w:rFonts w:cstheme="minorHAnsi"/>
        </w:rPr>
      </w:pPr>
    </w:p>
    <w:p w14:paraId="79309017" w14:textId="77777777" w:rsidR="00C92180" w:rsidRDefault="004D08D0" w:rsidP="00D86176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Definition of </w:t>
      </w:r>
      <w:r w:rsidR="00D86176" w:rsidRPr="00D86176">
        <w:rPr>
          <w:rFonts w:cstheme="minorHAnsi"/>
          <w:b/>
          <w:bCs/>
          <w:u w:val="single"/>
        </w:rPr>
        <w:t>Respiratory Involvement</w:t>
      </w:r>
    </w:p>
    <w:p w14:paraId="5714AD94" w14:textId="77777777" w:rsidR="00D86176" w:rsidRPr="00D86176" w:rsidRDefault="00D86176" w:rsidP="00D86176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Hospitalizations with ≥ 1 of the ICD codes below were classified as having respiratory involvement of their SARS-CoV-2 infection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540"/>
      </w:tblGrid>
      <w:tr w:rsidR="00D86176" w:rsidRPr="00222658" w14:paraId="24407183" w14:textId="77777777" w:rsidTr="00C07083">
        <w:trPr>
          <w:trHeight w:val="296"/>
        </w:trPr>
        <w:tc>
          <w:tcPr>
            <w:tcW w:w="1345" w:type="dxa"/>
            <w:shd w:val="clear" w:color="auto" w:fill="auto"/>
            <w:vAlign w:val="bottom"/>
            <w:hideMark/>
          </w:tcPr>
          <w:p w14:paraId="4F53DDE8" w14:textId="77777777" w:rsidR="00D86176" w:rsidRPr="00222658" w:rsidRDefault="00D86176" w:rsidP="00095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658">
              <w:rPr>
                <w:rFonts w:ascii="Calibri" w:eastAsia="Times New Roman" w:hAnsi="Calibri" w:cs="Calibri"/>
                <w:b/>
                <w:bCs/>
                <w:color w:val="000000"/>
              </w:rPr>
              <w:t>ICD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10-CM</w:t>
            </w:r>
            <w:r w:rsidRPr="0022265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Code</w:t>
            </w:r>
          </w:p>
        </w:tc>
        <w:tc>
          <w:tcPr>
            <w:tcW w:w="9540" w:type="dxa"/>
            <w:shd w:val="clear" w:color="auto" w:fill="auto"/>
            <w:vAlign w:val="bottom"/>
            <w:hideMark/>
          </w:tcPr>
          <w:p w14:paraId="5F74F0A2" w14:textId="77777777" w:rsidR="00D86176" w:rsidRPr="00222658" w:rsidRDefault="00D86176" w:rsidP="00095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658">
              <w:rPr>
                <w:rFonts w:ascii="Calibri" w:eastAsia="Times New Roman" w:hAnsi="Calibri" w:cs="Calibri"/>
                <w:b/>
                <w:bCs/>
                <w:color w:val="000000"/>
              </w:rPr>
              <w:t>ICD Code Description</w:t>
            </w:r>
          </w:p>
        </w:tc>
      </w:tr>
      <w:tr w:rsidR="00D86176" w:rsidRPr="00222658" w14:paraId="3CED4FDF" w14:textId="77777777" w:rsidTr="00C07083">
        <w:trPr>
          <w:trHeight w:val="233"/>
        </w:trPr>
        <w:tc>
          <w:tcPr>
            <w:tcW w:w="1345" w:type="dxa"/>
            <w:shd w:val="clear" w:color="auto" w:fill="auto"/>
            <w:vAlign w:val="bottom"/>
            <w:hideMark/>
          </w:tcPr>
          <w:p w14:paraId="574F6F54" w14:textId="77777777" w:rsidR="00D86176" w:rsidRPr="00222658" w:rsidRDefault="00D86176" w:rsidP="00002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J12.81</w:t>
            </w:r>
          </w:p>
        </w:tc>
        <w:tc>
          <w:tcPr>
            <w:tcW w:w="9540" w:type="dxa"/>
            <w:shd w:val="clear" w:color="auto" w:fill="auto"/>
            <w:hideMark/>
          </w:tcPr>
          <w:p w14:paraId="1D6EC0F6" w14:textId="77777777" w:rsidR="00D86176" w:rsidRPr="00222658" w:rsidRDefault="00D86176" w:rsidP="00095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Pneumonia due to SARS-associated coronavirus</w:t>
            </w:r>
          </w:p>
        </w:tc>
      </w:tr>
      <w:tr w:rsidR="00D86176" w:rsidRPr="00222658" w14:paraId="05207D30" w14:textId="77777777" w:rsidTr="00C07083">
        <w:trPr>
          <w:trHeight w:val="233"/>
        </w:trPr>
        <w:tc>
          <w:tcPr>
            <w:tcW w:w="1345" w:type="dxa"/>
            <w:shd w:val="clear" w:color="auto" w:fill="auto"/>
            <w:vAlign w:val="bottom"/>
          </w:tcPr>
          <w:p w14:paraId="771DE1D2" w14:textId="77777777" w:rsidR="00D86176" w:rsidRPr="00222658" w:rsidRDefault="00D86176" w:rsidP="00002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J12.8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40" w:type="dxa"/>
            <w:shd w:val="clear" w:color="auto" w:fill="auto"/>
          </w:tcPr>
          <w:p w14:paraId="506D1DE3" w14:textId="77777777" w:rsidR="00D86176" w:rsidRPr="00222658" w:rsidRDefault="00D86176" w:rsidP="00095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Pneumonia due to coronavirus disease 2019</w:t>
            </w:r>
          </w:p>
        </w:tc>
      </w:tr>
      <w:tr w:rsidR="00D86176" w:rsidRPr="00222658" w14:paraId="50D9AB55" w14:textId="77777777" w:rsidTr="00C07083">
        <w:trPr>
          <w:trHeight w:val="224"/>
        </w:trPr>
        <w:tc>
          <w:tcPr>
            <w:tcW w:w="1345" w:type="dxa"/>
            <w:shd w:val="clear" w:color="auto" w:fill="auto"/>
            <w:vAlign w:val="bottom"/>
          </w:tcPr>
          <w:p w14:paraId="4A6F473F" w14:textId="77777777" w:rsidR="00D86176" w:rsidRPr="00222658" w:rsidRDefault="00D86176" w:rsidP="00002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J12.89</w:t>
            </w:r>
          </w:p>
        </w:tc>
        <w:tc>
          <w:tcPr>
            <w:tcW w:w="9540" w:type="dxa"/>
            <w:shd w:val="clear" w:color="auto" w:fill="auto"/>
          </w:tcPr>
          <w:p w14:paraId="2A0D0731" w14:textId="77777777" w:rsidR="00D86176" w:rsidRPr="00222658" w:rsidRDefault="00D86176" w:rsidP="00095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Other viral pneumonia</w:t>
            </w:r>
          </w:p>
        </w:tc>
      </w:tr>
      <w:tr w:rsidR="00D86176" w:rsidRPr="00222658" w14:paraId="371DABF7" w14:textId="77777777" w:rsidTr="00C07083">
        <w:trPr>
          <w:trHeight w:val="224"/>
        </w:trPr>
        <w:tc>
          <w:tcPr>
            <w:tcW w:w="1345" w:type="dxa"/>
            <w:shd w:val="clear" w:color="auto" w:fill="auto"/>
            <w:vAlign w:val="bottom"/>
          </w:tcPr>
          <w:p w14:paraId="498EAF20" w14:textId="77777777" w:rsidR="00D86176" w:rsidRPr="00222658" w:rsidRDefault="00D86176" w:rsidP="00002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J12.9</w:t>
            </w:r>
          </w:p>
        </w:tc>
        <w:tc>
          <w:tcPr>
            <w:tcW w:w="9540" w:type="dxa"/>
            <w:shd w:val="clear" w:color="auto" w:fill="auto"/>
          </w:tcPr>
          <w:p w14:paraId="01E130E6" w14:textId="77777777" w:rsidR="00D86176" w:rsidRPr="00222658" w:rsidRDefault="00D86176" w:rsidP="00095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Viral pneumonia, unspecified</w:t>
            </w:r>
          </w:p>
        </w:tc>
      </w:tr>
      <w:tr w:rsidR="00D86176" w:rsidRPr="00222658" w14:paraId="1F48C8E2" w14:textId="77777777" w:rsidTr="00C07083">
        <w:trPr>
          <w:trHeight w:val="224"/>
        </w:trPr>
        <w:tc>
          <w:tcPr>
            <w:tcW w:w="1345" w:type="dxa"/>
            <w:shd w:val="clear" w:color="auto" w:fill="auto"/>
            <w:vAlign w:val="bottom"/>
          </w:tcPr>
          <w:p w14:paraId="085AF65B" w14:textId="77777777" w:rsidR="00D86176" w:rsidRPr="00222658" w:rsidRDefault="00D86176" w:rsidP="00002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J18.8</w:t>
            </w:r>
          </w:p>
        </w:tc>
        <w:tc>
          <w:tcPr>
            <w:tcW w:w="9540" w:type="dxa"/>
            <w:shd w:val="clear" w:color="auto" w:fill="auto"/>
          </w:tcPr>
          <w:p w14:paraId="24A9C073" w14:textId="77777777" w:rsidR="00D86176" w:rsidRPr="00222658" w:rsidRDefault="00D86176" w:rsidP="00095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Other pneumonia, unspecified organism</w:t>
            </w:r>
          </w:p>
        </w:tc>
      </w:tr>
      <w:tr w:rsidR="00D86176" w:rsidRPr="00222658" w14:paraId="22099538" w14:textId="77777777" w:rsidTr="00C07083">
        <w:trPr>
          <w:trHeight w:val="224"/>
        </w:trPr>
        <w:tc>
          <w:tcPr>
            <w:tcW w:w="1345" w:type="dxa"/>
            <w:shd w:val="clear" w:color="auto" w:fill="auto"/>
            <w:vAlign w:val="bottom"/>
          </w:tcPr>
          <w:p w14:paraId="464F360E" w14:textId="77777777" w:rsidR="00D86176" w:rsidRPr="00222658" w:rsidRDefault="00D86176" w:rsidP="00002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J18.9</w:t>
            </w:r>
          </w:p>
        </w:tc>
        <w:tc>
          <w:tcPr>
            <w:tcW w:w="9540" w:type="dxa"/>
            <w:shd w:val="clear" w:color="auto" w:fill="auto"/>
          </w:tcPr>
          <w:p w14:paraId="67D99A84" w14:textId="77777777" w:rsidR="00D86176" w:rsidRPr="00222658" w:rsidRDefault="00D86176" w:rsidP="00095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Pneumonia, unspecified organism</w:t>
            </w:r>
          </w:p>
        </w:tc>
      </w:tr>
      <w:tr w:rsidR="00D86176" w:rsidRPr="00222658" w14:paraId="0ECEAA6C" w14:textId="77777777" w:rsidTr="00C07083">
        <w:trPr>
          <w:trHeight w:val="224"/>
        </w:trPr>
        <w:tc>
          <w:tcPr>
            <w:tcW w:w="1345" w:type="dxa"/>
            <w:shd w:val="clear" w:color="auto" w:fill="auto"/>
            <w:vAlign w:val="bottom"/>
          </w:tcPr>
          <w:p w14:paraId="64AE41F5" w14:textId="77777777" w:rsidR="00D86176" w:rsidRPr="00222658" w:rsidRDefault="00D86176" w:rsidP="00002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J80</w:t>
            </w:r>
          </w:p>
        </w:tc>
        <w:tc>
          <w:tcPr>
            <w:tcW w:w="9540" w:type="dxa"/>
            <w:shd w:val="clear" w:color="auto" w:fill="auto"/>
          </w:tcPr>
          <w:p w14:paraId="0C255230" w14:textId="77777777" w:rsidR="00D86176" w:rsidRPr="00222658" w:rsidRDefault="00D86176" w:rsidP="00095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658">
              <w:rPr>
                <w:rFonts w:ascii="Calibri" w:eastAsia="Times New Roman" w:hAnsi="Calibri" w:cs="Calibri"/>
                <w:color w:val="000000"/>
              </w:rPr>
              <w:t>Acute respiratory distress syndrome</w:t>
            </w:r>
          </w:p>
        </w:tc>
      </w:tr>
    </w:tbl>
    <w:p w14:paraId="296CA071" w14:textId="77777777" w:rsidR="009A50EF" w:rsidRDefault="009A50EF" w:rsidP="009A50EF">
      <w:pPr>
        <w:rPr>
          <w:rFonts w:cstheme="minorHAnsi"/>
        </w:rPr>
      </w:pPr>
    </w:p>
    <w:p w14:paraId="4753D329" w14:textId="77777777" w:rsidR="00C07083" w:rsidRDefault="00C07083" w:rsidP="00C07083">
      <w:pPr>
        <w:spacing w:after="0"/>
        <w:rPr>
          <w:rFonts w:cstheme="minorHAnsi"/>
        </w:rPr>
      </w:pPr>
    </w:p>
    <w:p w14:paraId="75D8AA00" w14:textId="77777777" w:rsidR="00C07083" w:rsidRDefault="00C07083" w:rsidP="00C07083">
      <w:pPr>
        <w:spacing w:after="0"/>
        <w:rPr>
          <w:rFonts w:cstheme="minorHAnsi"/>
        </w:rPr>
      </w:pPr>
    </w:p>
    <w:p w14:paraId="13FEC79A" w14:textId="77777777" w:rsidR="00C07083" w:rsidRDefault="004D08D0" w:rsidP="00C0708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Definitions of </w:t>
      </w:r>
      <w:r w:rsidR="00C07083" w:rsidRPr="00C07083">
        <w:rPr>
          <w:b/>
          <w:bCs/>
          <w:u w:val="single"/>
        </w:rPr>
        <w:t>Mechanical Circulatory Support Variable</w:t>
      </w:r>
      <w:r w:rsidR="00C07083">
        <w:rPr>
          <w:b/>
          <w:bCs/>
          <w:u w:val="single"/>
        </w:rPr>
        <w:t>s</w:t>
      </w:r>
    </w:p>
    <w:p w14:paraId="303C0D54" w14:textId="77777777" w:rsidR="00D50B52" w:rsidRDefault="00D50B52" w:rsidP="00C07083">
      <w:pPr>
        <w:spacing w:after="0"/>
        <w:rPr>
          <w:b/>
          <w:bCs/>
        </w:rPr>
      </w:pPr>
    </w:p>
    <w:p w14:paraId="0AD813B4" w14:textId="77777777" w:rsidR="00C07083" w:rsidRDefault="00C07083" w:rsidP="00C07083">
      <w:pPr>
        <w:spacing w:after="0"/>
        <w:rPr>
          <w:b/>
          <w:bCs/>
        </w:rPr>
      </w:pPr>
      <w:r w:rsidRPr="00383A86">
        <w:rPr>
          <w:b/>
          <w:bCs/>
        </w:rPr>
        <w:t>Intra-aortic balloon pump</w:t>
      </w:r>
    </w:p>
    <w:p w14:paraId="1E789F1C" w14:textId="77777777" w:rsidR="00C07083" w:rsidRPr="00C07083" w:rsidRDefault="00C07083" w:rsidP="00C07083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Hospitalizations with ≥ 1 of the ICD codes below were classified as receiving an intra-aortic balloon pump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1345"/>
        <w:gridCol w:w="9450"/>
      </w:tblGrid>
      <w:tr w:rsidR="00C07083" w:rsidRPr="002373FF" w14:paraId="58BE8D5A" w14:textId="77777777" w:rsidTr="00095B26">
        <w:trPr>
          <w:trHeight w:val="30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A9ED" w14:textId="77777777" w:rsidR="00C07083" w:rsidRPr="00383A86" w:rsidRDefault="00C07083" w:rsidP="00C0708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3A86">
              <w:rPr>
                <w:rFonts w:eastAsia="Times New Roman"/>
                <w:b/>
                <w:bCs/>
                <w:color w:val="000000"/>
              </w:rPr>
              <w:t>ICD-10</w:t>
            </w:r>
            <w:r>
              <w:rPr>
                <w:rFonts w:eastAsia="Times New Roman"/>
                <w:b/>
                <w:bCs/>
                <w:color w:val="000000"/>
              </w:rPr>
              <w:t>-</w:t>
            </w:r>
            <w:r w:rsidRPr="00383A86">
              <w:rPr>
                <w:rFonts w:eastAsia="Times New Roman"/>
                <w:b/>
                <w:bCs/>
                <w:color w:val="000000"/>
              </w:rPr>
              <w:t>PC</w:t>
            </w:r>
            <w:r>
              <w:rPr>
                <w:rFonts w:eastAsia="Times New Roman"/>
                <w:b/>
                <w:bCs/>
                <w:color w:val="000000"/>
              </w:rPr>
              <w:t>S</w:t>
            </w:r>
            <w:r w:rsidRPr="00383A86">
              <w:rPr>
                <w:rFonts w:eastAsia="Times New Roman"/>
                <w:b/>
                <w:bCs/>
                <w:color w:val="000000"/>
              </w:rPr>
              <w:t xml:space="preserve"> Code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97C8" w14:textId="77777777" w:rsidR="00C07083" w:rsidRPr="00383A86" w:rsidRDefault="00C07083" w:rsidP="00C0708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83A86">
              <w:rPr>
                <w:rFonts w:eastAsia="Times New Roman"/>
                <w:b/>
                <w:bCs/>
                <w:color w:val="000000"/>
              </w:rPr>
              <w:t>ICD Code Description</w:t>
            </w:r>
          </w:p>
        </w:tc>
      </w:tr>
      <w:tr w:rsidR="00C07083" w:rsidRPr="002373FF" w14:paraId="763C7017" w14:textId="77777777" w:rsidTr="00095B26">
        <w:trPr>
          <w:trHeight w:val="30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8A4B" w14:textId="77777777" w:rsidR="00C07083" w:rsidRPr="002373FF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5A02110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57E" w14:textId="77777777" w:rsidR="00C07083" w:rsidRPr="002373FF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Assistance with Cardiac Output using Balloon Pump, Intermittent</w:t>
            </w:r>
          </w:p>
        </w:tc>
      </w:tr>
      <w:tr w:rsidR="00C07083" w:rsidRPr="002373FF" w14:paraId="58A3E720" w14:textId="77777777" w:rsidTr="00095B26">
        <w:trPr>
          <w:trHeight w:val="30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2316" w14:textId="77777777" w:rsidR="00C07083" w:rsidRPr="002373FF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5A02210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B8DD" w14:textId="77777777" w:rsidR="00C07083" w:rsidRPr="002373FF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Assistance with Cardiac Output using Balloon Pump, Continuous</w:t>
            </w:r>
          </w:p>
        </w:tc>
      </w:tr>
    </w:tbl>
    <w:p w14:paraId="22E6A599" w14:textId="77777777" w:rsidR="00C07083" w:rsidRDefault="00C07083" w:rsidP="00C07083"/>
    <w:p w14:paraId="056B9270" w14:textId="77777777" w:rsidR="00C07083" w:rsidRDefault="00C07083" w:rsidP="00C07083"/>
    <w:p w14:paraId="0ADD7A7A" w14:textId="77777777" w:rsidR="00C07083" w:rsidRDefault="00C07083" w:rsidP="00C07083">
      <w:pPr>
        <w:spacing w:after="0"/>
        <w:rPr>
          <w:b/>
          <w:bCs/>
        </w:rPr>
      </w:pPr>
      <w:r>
        <w:rPr>
          <w:b/>
          <w:bCs/>
        </w:rPr>
        <w:t>Ventricular assist device</w:t>
      </w:r>
    </w:p>
    <w:p w14:paraId="6DB05F1A" w14:textId="77777777" w:rsidR="00C07083" w:rsidRDefault="00C07083" w:rsidP="00C07083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</w:pPr>
      <w:r w:rsidRPr="00DF7835">
        <w:t xml:space="preserve">Includes </w:t>
      </w:r>
      <w:r>
        <w:t xml:space="preserve">both </w:t>
      </w:r>
      <w:r w:rsidRPr="00DF7835">
        <w:t>implanted ventricular assist device</w:t>
      </w:r>
      <w:r>
        <w:t>s</w:t>
      </w:r>
      <w:r w:rsidRPr="00DF7835">
        <w:t xml:space="preserve"> and percutaneous ventricular assist devices (e.g. </w:t>
      </w:r>
      <w:proofErr w:type="spellStart"/>
      <w:r w:rsidRPr="00DF7835">
        <w:t>TandemHeart</w:t>
      </w:r>
      <w:proofErr w:type="spellEnd"/>
      <w:r w:rsidRPr="00DF7835">
        <w:t xml:space="preserve">, </w:t>
      </w:r>
      <w:proofErr w:type="spellStart"/>
      <w:r w:rsidRPr="00DF7835">
        <w:t>Impella</w:t>
      </w:r>
      <w:proofErr w:type="spellEnd"/>
      <w:r w:rsidRPr="00DF7835">
        <w:t>)</w:t>
      </w:r>
    </w:p>
    <w:p w14:paraId="223D5EE9" w14:textId="77777777" w:rsidR="00C07083" w:rsidRPr="00C07083" w:rsidRDefault="00C07083" w:rsidP="00C07083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>
        <w:rPr>
          <w:rFonts w:cstheme="minorHAnsi"/>
        </w:rPr>
        <w:t>Hospitalizations with ≥ 1 of the ICD codes below were classified as receiving a ventricular assist device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50"/>
      </w:tblGrid>
      <w:tr w:rsidR="00C07083" w14:paraId="4579A660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center"/>
          </w:tcPr>
          <w:p w14:paraId="276ECADE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383A86">
              <w:rPr>
                <w:rFonts w:eastAsia="Times New Roman"/>
                <w:b/>
                <w:bCs/>
                <w:color w:val="000000"/>
              </w:rPr>
              <w:t>ICD-10</w:t>
            </w:r>
            <w:r>
              <w:rPr>
                <w:rFonts w:eastAsia="Times New Roman"/>
                <w:b/>
                <w:bCs/>
                <w:color w:val="000000"/>
              </w:rPr>
              <w:t>-</w:t>
            </w:r>
            <w:r w:rsidRPr="00383A86">
              <w:rPr>
                <w:rFonts w:eastAsia="Times New Roman"/>
                <w:b/>
                <w:bCs/>
                <w:color w:val="000000"/>
              </w:rPr>
              <w:t>PC</w:t>
            </w:r>
            <w:r>
              <w:rPr>
                <w:rFonts w:eastAsia="Times New Roman"/>
                <w:b/>
                <w:bCs/>
                <w:color w:val="000000"/>
              </w:rPr>
              <w:t>S</w:t>
            </w:r>
            <w:r w:rsidRPr="00383A86">
              <w:rPr>
                <w:rFonts w:eastAsia="Times New Roman"/>
                <w:b/>
                <w:bCs/>
                <w:color w:val="000000"/>
              </w:rPr>
              <w:t xml:space="preserve"> Code</w:t>
            </w:r>
          </w:p>
        </w:tc>
        <w:tc>
          <w:tcPr>
            <w:tcW w:w="9450" w:type="dxa"/>
            <w:shd w:val="clear" w:color="auto" w:fill="auto"/>
            <w:noWrap/>
            <w:vAlign w:val="center"/>
          </w:tcPr>
          <w:p w14:paraId="60695F4B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383A86">
              <w:rPr>
                <w:rFonts w:eastAsia="Times New Roman"/>
                <w:b/>
                <w:bCs/>
                <w:color w:val="000000"/>
              </w:rPr>
              <w:t>ICD Code Description</w:t>
            </w:r>
          </w:p>
        </w:tc>
      </w:tr>
      <w:tr w:rsidR="00C07083" w:rsidRPr="00E33CB2" w14:paraId="56F3CF48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6F07A74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02HA0QZ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32969C38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Insertion of Implantable Heart Assist System into Heart, Open Approach</w:t>
            </w:r>
          </w:p>
        </w:tc>
      </w:tr>
      <w:tr w:rsidR="00C07083" w:rsidRPr="00E33CB2" w14:paraId="309E0DBA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263ED2C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02HA0RS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2E8EA008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Insertion of Biventricular Short-term External Heart Assist System into Heart, Open Approach</w:t>
            </w:r>
          </w:p>
        </w:tc>
      </w:tr>
      <w:tr w:rsidR="00C07083" w:rsidRPr="00E33CB2" w14:paraId="5C3C9F62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3A81629A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02HA0RZ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10B0731B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Insertion of Short-term External Heart Assist System into Heart, Open Approach</w:t>
            </w:r>
          </w:p>
        </w:tc>
      </w:tr>
      <w:tr w:rsidR="00C07083" w:rsidRPr="00E33CB2" w14:paraId="574CD6F4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CBB64DF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02HA3QZ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5C197290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Insertion of Implantable Heart Assist System into Heart, Percutaneous Approach</w:t>
            </w:r>
          </w:p>
        </w:tc>
      </w:tr>
      <w:tr w:rsidR="00C07083" w:rsidRPr="00E33CB2" w14:paraId="5AEBE91E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39DF23E9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02HA3RS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4071703F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Insertion of Biventricular Short-term External Heart Assist System into Heart, Percutaneous Approach</w:t>
            </w:r>
          </w:p>
        </w:tc>
      </w:tr>
      <w:tr w:rsidR="00C07083" w:rsidRPr="00E33CB2" w14:paraId="50EAD195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75B01A3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02HA3RZ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695A869B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Insertion of Short-term External Heart Assist System into Heart, Percutaneous Approach</w:t>
            </w:r>
          </w:p>
        </w:tc>
      </w:tr>
      <w:tr w:rsidR="00C07083" w:rsidRPr="00E33CB2" w14:paraId="472B401D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5B7722D6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02HA4QZ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4804031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Insertion of Implantable Heart Assist System into Heart, Percutaneous Endoscopic Approach</w:t>
            </w:r>
          </w:p>
        </w:tc>
      </w:tr>
      <w:tr w:rsidR="00C07083" w:rsidRPr="00E33CB2" w14:paraId="00EF7DC7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14767BC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02HA4RS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0B6370EA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Insertion of Biventricular Short-term External Heart Assist System into Heart, Percutaneous Endoscopic Approach</w:t>
            </w:r>
          </w:p>
        </w:tc>
      </w:tr>
      <w:tr w:rsidR="00C07083" w:rsidRPr="00E33CB2" w14:paraId="590646C7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EB8FAAE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02HA4RZ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14:paraId="1975D8AE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E33CB2">
              <w:rPr>
                <w:rFonts w:eastAsia="Times New Roman"/>
                <w:color w:val="000000"/>
              </w:rPr>
              <w:t>Insertion of Short-term External Heart Assist System into Heart, Percutaneous Endoscopic Approach</w:t>
            </w:r>
          </w:p>
        </w:tc>
      </w:tr>
      <w:tr w:rsidR="00C07083" w:rsidRPr="00E33CB2" w14:paraId="4387CAF0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</w:tcPr>
          <w:p w14:paraId="60D629A4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5A02116</w:t>
            </w:r>
          </w:p>
        </w:tc>
        <w:tc>
          <w:tcPr>
            <w:tcW w:w="9450" w:type="dxa"/>
            <w:shd w:val="clear" w:color="auto" w:fill="auto"/>
            <w:noWrap/>
            <w:vAlign w:val="bottom"/>
          </w:tcPr>
          <w:p w14:paraId="13086142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Assistance with Cardiac Output using Other Pump, Intermittent</w:t>
            </w:r>
          </w:p>
        </w:tc>
      </w:tr>
      <w:tr w:rsidR="00C07083" w:rsidRPr="00E33CB2" w14:paraId="2E8F381E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</w:tcPr>
          <w:p w14:paraId="4B81283D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5A02216</w:t>
            </w:r>
          </w:p>
        </w:tc>
        <w:tc>
          <w:tcPr>
            <w:tcW w:w="9450" w:type="dxa"/>
            <w:shd w:val="clear" w:color="auto" w:fill="auto"/>
            <w:noWrap/>
            <w:vAlign w:val="bottom"/>
          </w:tcPr>
          <w:p w14:paraId="34F177D7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Assistance with Cardiac Output using Other Pump, Continuous</w:t>
            </w:r>
          </w:p>
        </w:tc>
      </w:tr>
      <w:tr w:rsidR="00C07083" w:rsidRPr="00E33CB2" w14:paraId="61ADB3F5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</w:tcPr>
          <w:p w14:paraId="4768958A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5A0211D</w:t>
            </w:r>
          </w:p>
        </w:tc>
        <w:tc>
          <w:tcPr>
            <w:tcW w:w="9450" w:type="dxa"/>
            <w:shd w:val="clear" w:color="auto" w:fill="auto"/>
            <w:noWrap/>
            <w:vAlign w:val="bottom"/>
          </w:tcPr>
          <w:p w14:paraId="123DA348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Assistance with Cardiac Output using Impeller Pump, Intermittent</w:t>
            </w:r>
          </w:p>
        </w:tc>
      </w:tr>
      <w:tr w:rsidR="00C07083" w:rsidRPr="00E33CB2" w14:paraId="4F8780F0" w14:textId="77777777" w:rsidTr="00095B26">
        <w:trPr>
          <w:trHeight w:val="318"/>
        </w:trPr>
        <w:tc>
          <w:tcPr>
            <w:tcW w:w="1345" w:type="dxa"/>
            <w:shd w:val="clear" w:color="auto" w:fill="auto"/>
            <w:noWrap/>
            <w:vAlign w:val="bottom"/>
          </w:tcPr>
          <w:p w14:paraId="5FDD9DB0" w14:textId="77777777" w:rsidR="00C07083" w:rsidRPr="00E33CB2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lastRenderedPageBreak/>
              <w:t>5A0221D</w:t>
            </w:r>
          </w:p>
        </w:tc>
        <w:tc>
          <w:tcPr>
            <w:tcW w:w="9450" w:type="dxa"/>
            <w:shd w:val="clear" w:color="auto" w:fill="auto"/>
            <w:noWrap/>
            <w:vAlign w:val="bottom"/>
          </w:tcPr>
          <w:p w14:paraId="53F7410D" w14:textId="77777777" w:rsidR="00C07083" w:rsidRPr="00E33CB2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Assistance with Cardiac Output using Impeller Pump, Continuous</w:t>
            </w:r>
          </w:p>
        </w:tc>
      </w:tr>
    </w:tbl>
    <w:p w14:paraId="1C6A62A3" w14:textId="77777777" w:rsidR="00C07083" w:rsidRDefault="00C07083" w:rsidP="00C07083">
      <w:pPr>
        <w:spacing w:after="0"/>
      </w:pPr>
    </w:p>
    <w:p w14:paraId="3856CCD3" w14:textId="77777777" w:rsidR="00C07083" w:rsidRDefault="00C07083" w:rsidP="00C07083">
      <w:pPr>
        <w:spacing w:after="0"/>
      </w:pPr>
    </w:p>
    <w:p w14:paraId="74FC8AAC" w14:textId="77777777" w:rsidR="00C07083" w:rsidRDefault="00C07083" w:rsidP="00C07083">
      <w:pPr>
        <w:spacing w:after="0"/>
        <w:rPr>
          <w:b/>
          <w:bCs/>
        </w:rPr>
      </w:pPr>
      <w:r w:rsidRPr="00491291">
        <w:rPr>
          <w:b/>
          <w:bCs/>
        </w:rPr>
        <w:t>VA-ECMO</w:t>
      </w:r>
    </w:p>
    <w:p w14:paraId="1760E864" w14:textId="77777777" w:rsidR="00C07083" w:rsidRPr="00C07083" w:rsidRDefault="00C07083" w:rsidP="00C07083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>
        <w:rPr>
          <w:rFonts w:cstheme="minorHAnsi"/>
        </w:rPr>
        <w:t>Hospitalizations with ≥ 1 of the ICD codes below were classified as receiving VA-ECMO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1344"/>
        <w:gridCol w:w="9451"/>
      </w:tblGrid>
      <w:tr w:rsidR="00C07083" w:rsidRPr="002373FF" w14:paraId="6B007044" w14:textId="77777777" w:rsidTr="00095B26">
        <w:trPr>
          <w:trHeight w:val="31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FA33" w14:textId="77777777" w:rsidR="00C07083" w:rsidRPr="002373FF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383A86">
              <w:rPr>
                <w:rFonts w:eastAsia="Times New Roman"/>
                <w:b/>
                <w:bCs/>
                <w:color w:val="000000"/>
              </w:rPr>
              <w:t>ICD-10</w:t>
            </w:r>
            <w:r>
              <w:rPr>
                <w:rFonts w:eastAsia="Times New Roman"/>
                <w:b/>
                <w:bCs/>
                <w:color w:val="000000"/>
              </w:rPr>
              <w:t>-</w:t>
            </w:r>
            <w:r w:rsidRPr="00383A86">
              <w:rPr>
                <w:rFonts w:eastAsia="Times New Roman"/>
                <w:b/>
                <w:bCs/>
                <w:color w:val="000000"/>
              </w:rPr>
              <w:t>PC</w:t>
            </w:r>
            <w:r>
              <w:rPr>
                <w:rFonts w:eastAsia="Times New Roman"/>
                <w:b/>
                <w:bCs/>
                <w:color w:val="000000"/>
              </w:rPr>
              <w:t>S</w:t>
            </w:r>
            <w:r w:rsidRPr="00383A86">
              <w:rPr>
                <w:rFonts w:eastAsia="Times New Roman"/>
                <w:b/>
                <w:bCs/>
                <w:color w:val="000000"/>
              </w:rPr>
              <w:t xml:space="preserve"> Code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675F" w14:textId="77777777" w:rsidR="00C07083" w:rsidRPr="002373FF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383A86">
              <w:rPr>
                <w:rFonts w:eastAsia="Times New Roman"/>
                <w:b/>
                <w:bCs/>
                <w:color w:val="000000"/>
              </w:rPr>
              <w:t>ICD Code Description</w:t>
            </w:r>
          </w:p>
        </w:tc>
      </w:tr>
      <w:tr w:rsidR="00C07083" w:rsidRPr="002373FF" w14:paraId="377A63DF" w14:textId="77777777" w:rsidTr="00095B26">
        <w:trPr>
          <w:trHeight w:val="31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C8DB" w14:textId="77777777" w:rsidR="00C07083" w:rsidRPr="002373FF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5A1522F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3F9E" w14:textId="77777777" w:rsidR="00C07083" w:rsidRPr="002373FF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Extracorporeal Oxygenation, Membrane, Central</w:t>
            </w:r>
          </w:p>
        </w:tc>
      </w:tr>
      <w:tr w:rsidR="00C07083" w:rsidRPr="002373FF" w14:paraId="6281558E" w14:textId="77777777" w:rsidTr="00095B26">
        <w:trPr>
          <w:trHeight w:val="31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2D2" w14:textId="77777777" w:rsidR="00C07083" w:rsidRPr="002373FF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5A1522G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D711" w14:textId="77777777" w:rsidR="00C07083" w:rsidRPr="002373FF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 xml:space="preserve">Extracorporeal Oxygenation, Membrane, Peripheral </w:t>
            </w:r>
            <w:proofErr w:type="spellStart"/>
            <w:r w:rsidRPr="002373FF">
              <w:rPr>
                <w:rFonts w:eastAsia="Times New Roman"/>
                <w:color w:val="000000"/>
              </w:rPr>
              <w:t>Veno</w:t>
            </w:r>
            <w:proofErr w:type="spellEnd"/>
            <w:r w:rsidRPr="002373FF">
              <w:rPr>
                <w:rFonts w:eastAsia="Times New Roman"/>
                <w:color w:val="000000"/>
              </w:rPr>
              <w:t>-arterial</w:t>
            </w:r>
          </w:p>
        </w:tc>
      </w:tr>
    </w:tbl>
    <w:p w14:paraId="16BC1323" w14:textId="77777777" w:rsidR="00C07083" w:rsidRDefault="00C07083" w:rsidP="00C07083">
      <w:pPr>
        <w:spacing w:after="0"/>
        <w:rPr>
          <w:b/>
          <w:bCs/>
        </w:rPr>
      </w:pPr>
    </w:p>
    <w:p w14:paraId="4836E46E" w14:textId="77777777" w:rsidR="00C07083" w:rsidRDefault="00C07083" w:rsidP="00C07083">
      <w:pPr>
        <w:spacing w:after="0"/>
        <w:rPr>
          <w:b/>
          <w:bCs/>
        </w:rPr>
      </w:pPr>
    </w:p>
    <w:p w14:paraId="7CE62B12" w14:textId="77777777" w:rsidR="00C07083" w:rsidRDefault="00C07083" w:rsidP="00C07083">
      <w:pPr>
        <w:spacing w:after="0"/>
        <w:rPr>
          <w:b/>
          <w:bCs/>
        </w:rPr>
      </w:pPr>
      <w:r>
        <w:rPr>
          <w:b/>
          <w:bCs/>
        </w:rPr>
        <w:t>VV-ECMO</w:t>
      </w:r>
    </w:p>
    <w:p w14:paraId="250F4CF3" w14:textId="77777777" w:rsidR="00C07083" w:rsidRPr="00C07083" w:rsidRDefault="00C07083" w:rsidP="00C07083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>
        <w:rPr>
          <w:rFonts w:cstheme="minorHAnsi"/>
        </w:rPr>
        <w:t>Hospitalizations with ≥ 1 of the ICD codes below were classified as receiving a VV-ECMO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1344"/>
        <w:gridCol w:w="9451"/>
      </w:tblGrid>
      <w:tr w:rsidR="00C07083" w:rsidRPr="002373FF" w14:paraId="6A22A139" w14:textId="77777777" w:rsidTr="00095B26">
        <w:trPr>
          <w:trHeight w:val="31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C00C" w14:textId="77777777" w:rsidR="00C07083" w:rsidRPr="002373FF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383A86">
              <w:rPr>
                <w:rFonts w:eastAsia="Times New Roman"/>
                <w:b/>
                <w:bCs/>
                <w:color w:val="000000"/>
              </w:rPr>
              <w:t>ICD-10</w:t>
            </w:r>
            <w:r>
              <w:rPr>
                <w:rFonts w:eastAsia="Times New Roman"/>
                <w:b/>
                <w:bCs/>
                <w:color w:val="000000"/>
              </w:rPr>
              <w:t>-</w:t>
            </w:r>
            <w:r w:rsidRPr="00383A86">
              <w:rPr>
                <w:rFonts w:eastAsia="Times New Roman"/>
                <w:b/>
                <w:bCs/>
                <w:color w:val="000000"/>
              </w:rPr>
              <w:t>PC</w:t>
            </w:r>
            <w:r>
              <w:rPr>
                <w:rFonts w:eastAsia="Times New Roman"/>
                <w:b/>
                <w:bCs/>
                <w:color w:val="000000"/>
              </w:rPr>
              <w:t>S</w:t>
            </w:r>
            <w:r w:rsidRPr="00383A86">
              <w:rPr>
                <w:rFonts w:eastAsia="Times New Roman"/>
                <w:b/>
                <w:bCs/>
                <w:color w:val="000000"/>
              </w:rPr>
              <w:t xml:space="preserve"> Code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67EC" w14:textId="77777777" w:rsidR="00C07083" w:rsidRPr="002373FF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383A86">
              <w:rPr>
                <w:rFonts w:eastAsia="Times New Roman"/>
                <w:b/>
                <w:bCs/>
                <w:color w:val="000000"/>
              </w:rPr>
              <w:t>ICD Code Description</w:t>
            </w:r>
          </w:p>
        </w:tc>
      </w:tr>
      <w:tr w:rsidR="00C07083" w:rsidRPr="002373FF" w14:paraId="1FA89CD3" w14:textId="77777777" w:rsidTr="00095B26">
        <w:trPr>
          <w:trHeight w:val="31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F567" w14:textId="77777777" w:rsidR="00C07083" w:rsidRPr="002373FF" w:rsidRDefault="00C07083" w:rsidP="00C0708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>5A1522H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743" w14:textId="77777777" w:rsidR="00C07083" w:rsidRPr="002373FF" w:rsidRDefault="00C07083" w:rsidP="00C07083">
            <w:pPr>
              <w:spacing w:after="0"/>
              <w:rPr>
                <w:rFonts w:eastAsia="Times New Roman"/>
                <w:color w:val="000000"/>
              </w:rPr>
            </w:pPr>
            <w:r w:rsidRPr="002373FF">
              <w:rPr>
                <w:rFonts w:eastAsia="Times New Roman"/>
                <w:color w:val="000000"/>
              </w:rPr>
              <w:t xml:space="preserve">Extracorporeal Oxygenation, Membrane, Peripheral </w:t>
            </w:r>
            <w:proofErr w:type="spellStart"/>
            <w:r w:rsidRPr="002373FF">
              <w:rPr>
                <w:rFonts w:eastAsia="Times New Roman"/>
                <w:color w:val="000000"/>
              </w:rPr>
              <w:t>Veno</w:t>
            </w:r>
            <w:proofErr w:type="spellEnd"/>
            <w:r w:rsidRPr="002373FF">
              <w:rPr>
                <w:rFonts w:eastAsia="Times New Roman"/>
                <w:color w:val="000000"/>
              </w:rPr>
              <w:t>-venous</w:t>
            </w:r>
          </w:p>
        </w:tc>
      </w:tr>
    </w:tbl>
    <w:p w14:paraId="3F625674" w14:textId="77777777" w:rsidR="00E7739C" w:rsidRPr="00C92180" w:rsidRDefault="00E7739C" w:rsidP="00E7739C">
      <w:pPr>
        <w:spacing w:after="0"/>
        <w:rPr>
          <w:rFonts w:cstheme="minorHAnsi"/>
        </w:rPr>
      </w:pPr>
    </w:p>
    <w:sectPr w:rsidR="00E7739C" w:rsidRPr="00C92180" w:rsidSect="00C92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4054" w14:textId="77777777" w:rsidR="00AB0B95" w:rsidRDefault="00AB0B95" w:rsidP="003327AB">
      <w:pPr>
        <w:spacing w:after="0" w:line="240" w:lineRule="auto"/>
      </w:pPr>
      <w:r>
        <w:separator/>
      </w:r>
    </w:p>
  </w:endnote>
  <w:endnote w:type="continuationSeparator" w:id="0">
    <w:p w14:paraId="22BD9BBC" w14:textId="77777777" w:rsidR="00AB0B95" w:rsidRDefault="00AB0B95" w:rsidP="0033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2716B" w14:textId="77777777" w:rsidR="00AB0B95" w:rsidRDefault="00AB0B95" w:rsidP="003327AB">
      <w:pPr>
        <w:spacing w:after="0" w:line="240" w:lineRule="auto"/>
      </w:pPr>
      <w:r>
        <w:separator/>
      </w:r>
    </w:p>
  </w:footnote>
  <w:footnote w:type="continuationSeparator" w:id="0">
    <w:p w14:paraId="23EF93D4" w14:textId="77777777" w:rsidR="00AB0B95" w:rsidRDefault="00AB0B95" w:rsidP="0033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BF0"/>
    <w:multiLevelType w:val="hybridMultilevel"/>
    <w:tmpl w:val="AF387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D7F29"/>
    <w:multiLevelType w:val="hybridMultilevel"/>
    <w:tmpl w:val="4CD0447A"/>
    <w:lvl w:ilvl="0" w:tplc="0812D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4D7F"/>
    <w:multiLevelType w:val="hybridMultilevel"/>
    <w:tmpl w:val="B1C430E8"/>
    <w:lvl w:ilvl="0" w:tplc="E788CC18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012"/>
    <w:multiLevelType w:val="hybridMultilevel"/>
    <w:tmpl w:val="5328AF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1B7C56"/>
    <w:multiLevelType w:val="hybridMultilevel"/>
    <w:tmpl w:val="7A766A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0C0905"/>
    <w:multiLevelType w:val="hybridMultilevel"/>
    <w:tmpl w:val="0B541136"/>
    <w:lvl w:ilvl="0" w:tplc="E788CC18">
      <w:start w:val="5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3BA2"/>
    <w:multiLevelType w:val="hybridMultilevel"/>
    <w:tmpl w:val="3CBEB6CC"/>
    <w:lvl w:ilvl="0" w:tplc="0FEA076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421EA"/>
    <w:multiLevelType w:val="multilevel"/>
    <w:tmpl w:val="86FA8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839E1"/>
    <w:multiLevelType w:val="hybridMultilevel"/>
    <w:tmpl w:val="338865B4"/>
    <w:lvl w:ilvl="0" w:tplc="5A76F9F8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43A1"/>
    <w:multiLevelType w:val="hybridMultilevel"/>
    <w:tmpl w:val="7E9CCD8E"/>
    <w:lvl w:ilvl="0" w:tplc="E788CC18">
      <w:start w:val="5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60AA7"/>
    <w:multiLevelType w:val="hybridMultilevel"/>
    <w:tmpl w:val="10EA4F4C"/>
    <w:lvl w:ilvl="0" w:tplc="2ABCC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B3E85"/>
    <w:multiLevelType w:val="hybridMultilevel"/>
    <w:tmpl w:val="6A88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623E"/>
    <w:multiLevelType w:val="hybridMultilevel"/>
    <w:tmpl w:val="6520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0B033C"/>
    <w:multiLevelType w:val="hybridMultilevel"/>
    <w:tmpl w:val="A8F0AEA6"/>
    <w:lvl w:ilvl="0" w:tplc="4E163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132BF"/>
    <w:multiLevelType w:val="hybridMultilevel"/>
    <w:tmpl w:val="D9A42084"/>
    <w:lvl w:ilvl="0" w:tplc="E32E14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924AC"/>
    <w:multiLevelType w:val="hybridMultilevel"/>
    <w:tmpl w:val="02E2E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B1D9F"/>
    <w:multiLevelType w:val="hybridMultilevel"/>
    <w:tmpl w:val="36E8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67398">
      <w:start w:val="48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14A97"/>
    <w:multiLevelType w:val="hybridMultilevel"/>
    <w:tmpl w:val="A0F6A64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24D7334"/>
    <w:multiLevelType w:val="hybridMultilevel"/>
    <w:tmpl w:val="8F309D34"/>
    <w:lvl w:ilvl="0" w:tplc="E788CC18">
      <w:start w:val="5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378F1"/>
    <w:multiLevelType w:val="hybridMultilevel"/>
    <w:tmpl w:val="BE36A042"/>
    <w:lvl w:ilvl="0" w:tplc="E788CC18">
      <w:start w:val="5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27E5"/>
    <w:multiLevelType w:val="hybridMultilevel"/>
    <w:tmpl w:val="A900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D7D1C"/>
    <w:multiLevelType w:val="hybridMultilevel"/>
    <w:tmpl w:val="5A3644E4"/>
    <w:lvl w:ilvl="0" w:tplc="B19EAD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C3975"/>
    <w:multiLevelType w:val="hybridMultilevel"/>
    <w:tmpl w:val="EC8C45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EA7E90"/>
    <w:multiLevelType w:val="hybridMultilevel"/>
    <w:tmpl w:val="79BE0390"/>
    <w:lvl w:ilvl="0" w:tplc="8D1E1EBC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62023"/>
    <w:multiLevelType w:val="hybridMultilevel"/>
    <w:tmpl w:val="62CE175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EDC223F"/>
    <w:multiLevelType w:val="hybridMultilevel"/>
    <w:tmpl w:val="5172D78E"/>
    <w:lvl w:ilvl="0" w:tplc="E788CC18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42049"/>
    <w:multiLevelType w:val="hybridMultilevel"/>
    <w:tmpl w:val="99EA537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2F95E6F"/>
    <w:multiLevelType w:val="hybridMultilevel"/>
    <w:tmpl w:val="6E24EF38"/>
    <w:lvl w:ilvl="0" w:tplc="0FEA0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0F21"/>
    <w:multiLevelType w:val="hybridMultilevel"/>
    <w:tmpl w:val="3D88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269B9"/>
    <w:multiLevelType w:val="hybridMultilevel"/>
    <w:tmpl w:val="5532F814"/>
    <w:lvl w:ilvl="0" w:tplc="57446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9463F"/>
    <w:multiLevelType w:val="hybridMultilevel"/>
    <w:tmpl w:val="E8EADAE8"/>
    <w:lvl w:ilvl="0" w:tplc="5B3803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47231"/>
    <w:multiLevelType w:val="hybridMultilevel"/>
    <w:tmpl w:val="AA0E86EA"/>
    <w:lvl w:ilvl="0" w:tplc="B156A10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F8C48FE"/>
    <w:multiLevelType w:val="hybridMultilevel"/>
    <w:tmpl w:val="F37C8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0466B0"/>
    <w:multiLevelType w:val="hybridMultilevel"/>
    <w:tmpl w:val="D874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33A45"/>
    <w:multiLevelType w:val="hybridMultilevel"/>
    <w:tmpl w:val="8D7C7A3C"/>
    <w:lvl w:ilvl="0" w:tplc="AEE8A54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C40B8"/>
    <w:multiLevelType w:val="hybridMultilevel"/>
    <w:tmpl w:val="02E45F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E357C59"/>
    <w:multiLevelType w:val="hybridMultilevel"/>
    <w:tmpl w:val="7C0676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A26DFE"/>
    <w:multiLevelType w:val="hybridMultilevel"/>
    <w:tmpl w:val="FBA8E7D6"/>
    <w:lvl w:ilvl="0" w:tplc="4E163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34"/>
  </w:num>
  <w:num w:numId="5">
    <w:abstractNumId w:val="10"/>
  </w:num>
  <w:num w:numId="6">
    <w:abstractNumId w:val="14"/>
  </w:num>
  <w:num w:numId="7">
    <w:abstractNumId w:val="6"/>
  </w:num>
  <w:num w:numId="8">
    <w:abstractNumId w:val="27"/>
  </w:num>
  <w:num w:numId="9">
    <w:abstractNumId w:val="16"/>
  </w:num>
  <w:num w:numId="10">
    <w:abstractNumId w:val="0"/>
  </w:num>
  <w:num w:numId="11">
    <w:abstractNumId w:val="25"/>
  </w:num>
  <w:num w:numId="12">
    <w:abstractNumId w:val="2"/>
  </w:num>
  <w:num w:numId="13">
    <w:abstractNumId w:val="15"/>
  </w:num>
  <w:num w:numId="14">
    <w:abstractNumId w:val="33"/>
  </w:num>
  <w:num w:numId="15">
    <w:abstractNumId w:val="9"/>
  </w:num>
  <w:num w:numId="16">
    <w:abstractNumId w:val="37"/>
  </w:num>
  <w:num w:numId="17">
    <w:abstractNumId w:val="13"/>
  </w:num>
  <w:num w:numId="18">
    <w:abstractNumId w:val="5"/>
  </w:num>
  <w:num w:numId="19">
    <w:abstractNumId w:val="19"/>
  </w:num>
  <w:num w:numId="20">
    <w:abstractNumId w:val="18"/>
  </w:num>
  <w:num w:numId="21">
    <w:abstractNumId w:val="23"/>
  </w:num>
  <w:num w:numId="22">
    <w:abstractNumId w:val="1"/>
  </w:num>
  <w:num w:numId="23">
    <w:abstractNumId w:val="29"/>
  </w:num>
  <w:num w:numId="24">
    <w:abstractNumId w:val="12"/>
  </w:num>
  <w:num w:numId="25">
    <w:abstractNumId w:val="22"/>
  </w:num>
  <w:num w:numId="26">
    <w:abstractNumId w:val="28"/>
  </w:num>
  <w:num w:numId="27">
    <w:abstractNumId w:val="8"/>
  </w:num>
  <w:num w:numId="28">
    <w:abstractNumId w:val="3"/>
  </w:num>
  <w:num w:numId="29">
    <w:abstractNumId w:val="32"/>
  </w:num>
  <w:num w:numId="30">
    <w:abstractNumId w:val="20"/>
  </w:num>
  <w:num w:numId="31">
    <w:abstractNumId w:val="36"/>
  </w:num>
  <w:num w:numId="32">
    <w:abstractNumId w:val="4"/>
  </w:num>
  <w:num w:numId="33">
    <w:abstractNumId w:val="17"/>
  </w:num>
  <w:num w:numId="34">
    <w:abstractNumId w:val="26"/>
  </w:num>
  <w:num w:numId="35">
    <w:abstractNumId w:val="35"/>
  </w:num>
  <w:num w:numId="36">
    <w:abstractNumId w:val="30"/>
  </w:num>
  <w:num w:numId="37">
    <w:abstractNumId w:val="2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D5"/>
    <w:rsid w:val="0000228D"/>
    <w:rsid w:val="000268E6"/>
    <w:rsid w:val="00052ACE"/>
    <w:rsid w:val="00095B26"/>
    <w:rsid w:val="0010144F"/>
    <w:rsid w:val="00101C20"/>
    <w:rsid w:val="00160144"/>
    <w:rsid w:val="00160AFF"/>
    <w:rsid w:val="0018253C"/>
    <w:rsid w:val="00184725"/>
    <w:rsid w:val="0019302A"/>
    <w:rsid w:val="001A05C0"/>
    <w:rsid w:val="001C3364"/>
    <w:rsid w:val="00203B4A"/>
    <w:rsid w:val="00214C54"/>
    <w:rsid w:val="00284458"/>
    <w:rsid w:val="002B199C"/>
    <w:rsid w:val="002C497D"/>
    <w:rsid w:val="002F1A31"/>
    <w:rsid w:val="002F4E84"/>
    <w:rsid w:val="003045D8"/>
    <w:rsid w:val="00316D1D"/>
    <w:rsid w:val="003274C5"/>
    <w:rsid w:val="003327AB"/>
    <w:rsid w:val="00332F42"/>
    <w:rsid w:val="00374CF0"/>
    <w:rsid w:val="003809A4"/>
    <w:rsid w:val="0038387F"/>
    <w:rsid w:val="003A7C74"/>
    <w:rsid w:val="003E03BA"/>
    <w:rsid w:val="003F62A8"/>
    <w:rsid w:val="00401FA6"/>
    <w:rsid w:val="00406374"/>
    <w:rsid w:val="004104EC"/>
    <w:rsid w:val="004A7D0F"/>
    <w:rsid w:val="004B0A2F"/>
    <w:rsid w:val="004D08D0"/>
    <w:rsid w:val="004E00AC"/>
    <w:rsid w:val="004F6ECA"/>
    <w:rsid w:val="00522471"/>
    <w:rsid w:val="00524CCC"/>
    <w:rsid w:val="00526262"/>
    <w:rsid w:val="00537452"/>
    <w:rsid w:val="005853C7"/>
    <w:rsid w:val="005A1E5C"/>
    <w:rsid w:val="005E276B"/>
    <w:rsid w:val="005F2A9E"/>
    <w:rsid w:val="00606787"/>
    <w:rsid w:val="0062230C"/>
    <w:rsid w:val="00674DFB"/>
    <w:rsid w:val="006B1637"/>
    <w:rsid w:val="006D47D0"/>
    <w:rsid w:val="00724F2B"/>
    <w:rsid w:val="007266FF"/>
    <w:rsid w:val="00750742"/>
    <w:rsid w:val="0076130E"/>
    <w:rsid w:val="007A46D6"/>
    <w:rsid w:val="007B26B5"/>
    <w:rsid w:val="007C1367"/>
    <w:rsid w:val="007F72F1"/>
    <w:rsid w:val="008534A5"/>
    <w:rsid w:val="008966B6"/>
    <w:rsid w:val="008C1C06"/>
    <w:rsid w:val="00902FD5"/>
    <w:rsid w:val="009434ED"/>
    <w:rsid w:val="00981412"/>
    <w:rsid w:val="00993A91"/>
    <w:rsid w:val="009A4608"/>
    <w:rsid w:val="009A50EF"/>
    <w:rsid w:val="009E69D0"/>
    <w:rsid w:val="00A0524E"/>
    <w:rsid w:val="00A7131B"/>
    <w:rsid w:val="00A81E6D"/>
    <w:rsid w:val="00A9230E"/>
    <w:rsid w:val="00A9539C"/>
    <w:rsid w:val="00AB0B95"/>
    <w:rsid w:val="00AC1F83"/>
    <w:rsid w:val="00AD1C97"/>
    <w:rsid w:val="00AE29FB"/>
    <w:rsid w:val="00AE62F0"/>
    <w:rsid w:val="00B466D2"/>
    <w:rsid w:val="00B56A07"/>
    <w:rsid w:val="00B607CB"/>
    <w:rsid w:val="00B77210"/>
    <w:rsid w:val="00B831DB"/>
    <w:rsid w:val="00B866E2"/>
    <w:rsid w:val="00B93587"/>
    <w:rsid w:val="00BB0298"/>
    <w:rsid w:val="00BB7878"/>
    <w:rsid w:val="00BB7C9F"/>
    <w:rsid w:val="00BD45A0"/>
    <w:rsid w:val="00BE21F5"/>
    <w:rsid w:val="00BE6B14"/>
    <w:rsid w:val="00BF4F66"/>
    <w:rsid w:val="00C07083"/>
    <w:rsid w:val="00C4166D"/>
    <w:rsid w:val="00C92180"/>
    <w:rsid w:val="00CB3D16"/>
    <w:rsid w:val="00CD018E"/>
    <w:rsid w:val="00CD0A14"/>
    <w:rsid w:val="00CF0A34"/>
    <w:rsid w:val="00D266F9"/>
    <w:rsid w:val="00D50B52"/>
    <w:rsid w:val="00D64EA4"/>
    <w:rsid w:val="00D8576F"/>
    <w:rsid w:val="00D86176"/>
    <w:rsid w:val="00DB208A"/>
    <w:rsid w:val="00DB6A5F"/>
    <w:rsid w:val="00DD38EC"/>
    <w:rsid w:val="00DE3600"/>
    <w:rsid w:val="00E158AB"/>
    <w:rsid w:val="00E75260"/>
    <w:rsid w:val="00E7739C"/>
    <w:rsid w:val="00EF3ED0"/>
    <w:rsid w:val="00F22CF5"/>
    <w:rsid w:val="00F5617C"/>
    <w:rsid w:val="00F75A9F"/>
    <w:rsid w:val="00F8196A"/>
    <w:rsid w:val="00FB00C7"/>
    <w:rsid w:val="00FB1FE2"/>
    <w:rsid w:val="00FC0E3F"/>
    <w:rsid w:val="00FD42F3"/>
    <w:rsid w:val="00FE2D6D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F2DE"/>
  <w15:chartTrackingRefBased/>
  <w15:docId w15:val="{A5CEA205-6075-4440-B3DD-4A973A4E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2F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D5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BF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CF0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CF0"/>
    <w:rPr>
      <w:rFonts w:ascii="Calibri" w:eastAsia="Calibri" w:hAnsi="Calibri" w:cs="Calibr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8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DeCuir, Jennifer (CDC/DDPHSS/CSELS/DSEPD)</dc:creator>
  <cp:keywords/>
  <dc:description/>
  <cp:lastModifiedBy>DeCuir, Jennifer (CDC/DDPHSIS/CGH/DGHT)</cp:lastModifiedBy>
  <cp:revision>3</cp:revision>
  <dcterms:created xsi:type="dcterms:W3CDTF">2021-07-13T14:31:00Z</dcterms:created>
  <dcterms:modified xsi:type="dcterms:W3CDTF">2021-10-18T14:31:00Z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2021-02-01T14:42:12Z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6078adb4-52ea-48b6-9d1a-b3c9694d50d1</vt:lpwstr>
  </property>
  <property fmtid="{D5CDD505-2E9C-101B-9397-08002B2CF9AE}" pid="8" name="MSIP_Label_7b94a7b8-f06c-4dfe-bdcc-9b548fd58c31_ContentBits">
    <vt:lpwstr>0</vt:lpwstr>
  </property>
</Properties>
</file>