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5E58" w14:textId="14F2E877" w:rsidR="000159D9" w:rsidRPr="004C5310" w:rsidRDefault="000159D9">
      <w:pPr>
        <w:rPr>
          <w:b/>
          <w:sz w:val="24"/>
          <w:lang w:val="en-US"/>
        </w:rPr>
      </w:pPr>
      <w:r w:rsidRPr="00484589">
        <w:rPr>
          <w:b/>
          <w:sz w:val="24"/>
          <w:lang w:val="en-US"/>
        </w:rPr>
        <w:t>Epidemiology and Infection</w:t>
      </w:r>
    </w:p>
    <w:p w14:paraId="66DA3E0B" w14:textId="77777777" w:rsidR="000159D9" w:rsidRDefault="000159D9" w:rsidP="000159D9">
      <w:pPr>
        <w:pStyle w:val="Rubrik1"/>
        <w:rPr>
          <w:lang w:val="en-US"/>
        </w:rPr>
      </w:pPr>
      <w:r w:rsidRPr="00467BC0">
        <w:rPr>
          <w:i/>
          <w:iCs/>
          <w:lang w:val="en-US"/>
        </w:rPr>
        <w:t>Streptococcus bovis</w:t>
      </w:r>
      <w:r>
        <w:rPr>
          <w:iCs/>
          <w:lang w:val="en-US"/>
        </w:rPr>
        <w:t>-bacteremia</w:t>
      </w:r>
      <w:r>
        <w:rPr>
          <w:lang w:val="en-US"/>
        </w:rPr>
        <w:t>: subspecies distribution and association with colorectal cancer – a retrospective cohort study</w:t>
      </w:r>
    </w:p>
    <w:p w14:paraId="3B2380A1" w14:textId="45CCD4E7" w:rsidR="000159D9" w:rsidRDefault="000159D9">
      <w:r w:rsidRPr="00467BC0">
        <w:t>Jonas Öberg</w:t>
      </w:r>
      <w:r>
        <w:t>*</w:t>
      </w:r>
      <w:r w:rsidRPr="00467BC0">
        <w:t>, MD</w:t>
      </w:r>
      <w:r>
        <w:t>;</w:t>
      </w:r>
      <w:r w:rsidRPr="000F4FA3">
        <w:t xml:space="preserve"> </w:t>
      </w:r>
      <w:r w:rsidRPr="00467BC0">
        <w:t>Magnus R</w:t>
      </w:r>
      <w:r>
        <w:t>asmussen, MD, Prof; Pamela Buchwald, MD, PhD; Bo Nilson, PhD; Malin Inghammar, MD, PhD.</w:t>
      </w:r>
    </w:p>
    <w:p w14:paraId="5E107A2F" w14:textId="77777777" w:rsidR="004C5310" w:rsidRDefault="004C5310"/>
    <w:p w14:paraId="5C0A692B" w14:textId="77777777" w:rsidR="000159D9" w:rsidRDefault="000159D9" w:rsidP="000159D9">
      <w:pPr>
        <w:rPr>
          <w:color w:val="5B9BD5" w:themeColor="accent1"/>
          <w:sz w:val="26"/>
          <w:szCs w:val="26"/>
          <w:lang w:val="en-US"/>
        </w:rPr>
      </w:pPr>
      <w:r w:rsidRPr="00F41662">
        <w:rPr>
          <w:color w:val="5B9BD5" w:themeColor="accent1"/>
          <w:sz w:val="26"/>
          <w:szCs w:val="26"/>
          <w:lang w:val="en-US"/>
        </w:rPr>
        <w:t>S</w:t>
      </w:r>
      <w:r>
        <w:rPr>
          <w:color w:val="5B9BD5" w:themeColor="accent1"/>
          <w:sz w:val="26"/>
          <w:szCs w:val="26"/>
          <w:lang w:val="en-US"/>
        </w:rPr>
        <w:t>upplementary material</w:t>
      </w:r>
    </w:p>
    <w:p w14:paraId="19E5107C" w14:textId="0A4B26FF" w:rsidR="00484589" w:rsidRPr="00D10BA2" w:rsidRDefault="00484589" w:rsidP="00484589">
      <w:pPr>
        <w:rPr>
          <w:b/>
          <w:szCs w:val="24"/>
          <w:lang w:val="en-US"/>
        </w:rPr>
      </w:pPr>
      <w:r>
        <w:rPr>
          <w:b/>
          <w:noProof/>
          <w:szCs w:val="24"/>
          <w:lang w:eastAsia="sv-SE"/>
        </w:rPr>
        <w:drawing>
          <wp:inline distT="0" distB="0" distL="0" distR="0" wp14:anchorId="08C25B4C" wp14:editId="23351E85">
            <wp:extent cx="5760720" cy="581723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GS cluster blurred with speci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298">
        <w:rPr>
          <w:b/>
          <w:szCs w:val="24"/>
          <w:lang w:val="en-US"/>
        </w:rPr>
        <w:t xml:space="preserve">Figure S1. Clustering of subspecies in neighbor-joining phylogenetic tree. </w:t>
      </w:r>
      <w:r>
        <w:rPr>
          <w:szCs w:val="24"/>
          <w:lang w:val="en-US"/>
        </w:rPr>
        <w:t xml:space="preserve">Reference type- and library strains are included for validation purposes. </w:t>
      </w:r>
      <w:r w:rsidRPr="0039609B">
        <w:rPr>
          <w:szCs w:val="24"/>
          <w:lang w:val="en-US"/>
        </w:rPr>
        <w:t>Laboratory numbers are blurred due to patient confidentiality.</w:t>
      </w:r>
    </w:p>
    <w:p w14:paraId="03B632C0" w14:textId="77777777" w:rsidR="00484589" w:rsidRPr="00912CA5" w:rsidRDefault="00484589" w:rsidP="00484589">
      <w:pPr>
        <w:rPr>
          <w:b/>
          <w:szCs w:val="24"/>
          <w:lang w:val="en-US"/>
        </w:rPr>
      </w:pPr>
      <w:r w:rsidRPr="00912CA5">
        <w:rPr>
          <w:b/>
          <w:szCs w:val="24"/>
          <w:lang w:val="en-US"/>
        </w:rPr>
        <w:lastRenderedPageBreak/>
        <w:t>Table S1. Reference type strains used.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99"/>
        <w:gridCol w:w="5763"/>
      </w:tblGrid>
      <w:tr w:rsidR="00484589" w:rsidRPr="00EA47F9" w14:paraId="2CAC0D43" w14:textId="77777777" w:rsidTr="0013063C">
        <w:tc>
          <w:tcPr>
            <w:tcW w:w="3299" w:type="dxa"/>
          </w:tcPr>
          <w:p w14:paraId="7FC5B115" w14:textId="77777777" w:rsidR="00484589" w:rsidRPr="00F41662" w:rsidRDefault="00484589" w:rsidP="00130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v-SE"/>
              </w:rPr>
            </w:pPr>
            <w:r w:rsidRPr="00F416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v-SE"/>
              </w:rPr>
              <w:t xml:space="preserve">Name of type strain </w:t>
            </w:r>
          </w:p>
        </w:tc>
        <w:tc>
          <w:tcPr>
            <w:tcW w:w="5763" w:type="dxa"/>
          </w:tcPr>
          <w:p w14:paraId="5E2781D1" w14:textId="77777777" w:rsidR="00484589" w:rsidRPr="00F41662" w:rsidRDefault="00484589" w:rsidP="00130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v-SE"/>
              </w:rPr>
            </w:pPr>
            <w:r w:rsidRPr="00F416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v-SE"/>
              </w:rPr>
              <w:t>Specie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v-SE"/>
              </w:rPr>
              <w:t>s</w:t>
            </w:r>
          </w:p>
        </w:tc>
      </w:tr>
      <w:tr w:rsidR="00484589" w:rsidRPr="00EA47F9" w14:paraId="4BD15398" w14:textId="77777777" w:rsidTr="0013063C">
        <w:tc>
          <w:tcPr>
            <w:tcW w:w="3299" w:type="dxa"/>
          </w:tcPr>
          <w:p w14:paraId="5F85911D" w14:textId="77777777" w:rsidR="00484589" w:rsidRPr="00F41662" w:rsidRDefault="00484589" w:rsidP="0013063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</w:pPr>
            <w:r w:rsidRPr="00F41662"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  <w:t>CCUG 27297T</w:t>
            </w:r>
          </w:p>
        </w:tc>
        <w:tc>
          <w:tcPr>
            <w:tcW w:w="5763" w:type="dxa"/>
          </w:tcPr>
          <w:p w14:paraId="221CF435" w14:textId="77777777" w:rsidR="00484589" w:rsidRPr="007B7CAB" w:rsidRDefault="00484589" w:rsidP="001306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  <w:t>Streptococcus alactolyticus</w:t>
            </w:r>
          </w:p>
        </w:tc>
      </w:tr>
      <w:tr w:rsidR="00484589" w:rsidRPr="00216CE5" w14:paraId="66702CA7" w14:textId="77777777" w:rsidTr="0013063C">
        <w:tc>
          <w:tcPr>
            <w:tcW w:w="3299" w:type="dxa"/>
          </w:tcPr>
          <w:p w14:paraId="3880CCDB" w14:textId="77777777" w:rsidR="00484589" w:rsidRPr="00F41662" w:rsidRDefault="00484589" w:rsidP="0013063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</w:pPr>
            <w:r w:rsidRPr="00F41662"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  <w:t>CCUG 27302T</w:t>
            </w:r>
          </w:p>
        </w:tc>
        <w:tc>
          <w:tcPr>
            <w:tcW w:w="5763" w:type="dxa"/>
          </w:tcPr>
          <w:p w14:paraId="403FB0D8" w14:textId="77777777" w:rsidR="00484589" w:rsidRPr="007B7CAB" w:rsidRDefault="00484589" w:rsidP="001306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  <w:t>Streptococcus equinus</w:t>
            </w:r>
          </w:p>
        </w:tc>
      </w:tr>
      <w:tr w:rsidR="00484589" w:rsidRPr="00216CE5" w14:paraId="2242E8FB" w14:textId="77777777" w:rsidTr="0013063C">
        <w:tc>
          <w:tcPr>
            <w:tcW w:w="3299" w:type="dxa"/>
          </w:tcPr>
          <w:p w14:paraId="786DE8DE" w14:textId="77777777" w:rsidR="00484589" w:rsidRPr="00F41662" w:rsidRDefault="00484589" w:rsidP="0013063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</w:pPr>
            <w:r w:rsidRPr="00F41662"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  <w:t>CCUG 35224T</w:t>
            </w:r>
          </w:p>
        </w:tc>
        <w:tc>
          <w:tcPr>
            <w:tcW w:w="5763" w:type="dxa"/>
          </w:tcPr>
          <w:p w14:paraId="2B8B8390" w14:textId="77777777" w:rsidR="00484589" w:rsidRPr="007B7CAB" w:rsidRDefault="00484589" w:rsidP="001306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</w:pP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  <w:t>Streptococ</w:t>
            </w: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  <w:t xml:space="preserve">cus gallolyticus </w:t>
            </w:r>
            <w:r w:rsidRPr="00A0724F"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  <w:t>subsp</w:t>
            </w: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  <w:t>. gallolyticus</w:t>
            </w:r>
          </w:p>
        </w:tc>
      </w:tr>
      <w:tr w:rsidR="00484589" w:rsidRPr="00216CE5" w14:paraId="18920133" w14:textId="77777777" w:rsidTr="0013063C">
        <w:tc>
          <w:tcPr>
            <w:tcW w:w="3299" w:type="dxa"/>
          </w:tcPr>
          <w:p w14:paraId="7BF0AB77" w14:textId="77777777" w:rsidR="00484589" w:rsidRPr="00216CE5" w:rsidRDefault="00484589" w:rsidP="0013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</w:pPr>
            <w:r w:rsidRPr="00216CE5"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  <w:t>CCUG 39970T</w:t>
            </w:r>
          </w:p>
        </w:tc>
        <w:tc>
          <w:tcPr>
            <w:tcW w:w="5763" w:type="dxa"/>
          </w:tcPr>
          <w:p w14:paraId="5AEEDC9B" w14:textId="77777777" w:rsidR="00484589" w:rsidRPr="007B7CAB" w:rsidRDefault="00484589" w:rsidP="001306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</w:pP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  <w:t xml:space="preserve">Streptococcus gallolyticus </w:t>
            </w:r>
            <w:r w:rsidRPr="00A0724F"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  <w:t>subsp</w:t>
            </w: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  <w:t>. macedonicus</w:t>
            </w:r>
          </w:p>
        </w:tc>
      </w:tr>
      <w:tr w:rsidR="00484589" w:rsidRPr="00216CE5" w14:paraId="76A34F2E" w14:textId="77777777" w:rsidTr="0013063C">
        <w:tc>
          <w:tcPr>
            <w:tcW w:w="3299" w:type="dxa"/>
          </w:tcPr>
          <w:p w14:paraId="3444C1AB" w14:textId="77777777" w:rsidR="00484589" w:rsidRPr="00216CE5" w:rsidRDefault="00484589" w:rsidP="0013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</w:pPr>
            <w:r w:rsidRPr="00216CE5"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  <w:t>CCUG 46150T</w:t>
            </w:r>
          </w:p>
        </w:tc>
        <w:tc>
          <w:tcPr>
            <w:tcW w:w="5763" w:type="dxa"/>
          </w:tcPr>
          <w:p w14:paraId="4CC6832E" w14:textId="77777777" w:rsidR="00484589" w:rsidRPr="007B7CAB" w:rsidRDefault="00484589" w:rsidP="001306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</w:pP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  <w:t xml:space="preserve">Streptococcus gallolyticus </w:t>
            </w:r>
            <w:r w:rsidRPr="00A0724F"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  <w:t>subsp</w:t>
            </w:r>
            <w:r w:rsidRPr="007B7C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v-SE"/>
              </w:rPr>
              <w:t>. pasteurianus</w:t>
            </w:r>
          </w:p>
        </w:tc>
      </w:tr>
      <w:tr w:rsidR="00484589" w:rsidRPr="0011299D" w14:paraId="49174E10" w14:textId="77777777" w:rsidTr="0013063C">
        <w:tc>
          <w:tcPr>
            <w:tcW w:w="3299" w:type="dxa"/>
          </w:tcPr>
          <w:p w14:paraId="72217EE2" w14:textId="77777777" w:rsidR="00484589" w:rsidRPr="00216CE5" w:rsidRDefault="00484589" w:rsidP="0013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</w:pPr>
            <w:r w:rsidRPr="00216CE5">
              <w:rPr>
                <w:rFonts w:ascii="Times New Roman" w:eastAsia="Calibri" w:hAnsi="Times New Roman" w:cs="Times New Roman"/>
                <w:sz w:val="24"/>
                <w:szCs w:val="24"/>
                <w:lang w:eastAsia="sv-SE"/>
              </w:rPr>
              <w:t>CCUG 43820T</w:t>
            </w:r>
          </w:p>
        </w:tc>
        <w:tc>
          <w:tcPr>
            <w:tcW w:w="5763" w:type="dxa"/>
          </w:tcPr>
          <w:p w14:paraId="0A0DA8F4" w14:textId="77777777" w:rsidR="00484589" w:rsidRPr="00444298" w:rsidRDefault="00484589" w:rsidP="001306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44429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  <w:t xml:space="preserve">Streptococcus infantarius </w:t>
            </w:r>
            <w:r w:rsidRPr="00444298"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  <w:t xml:space="preserve">subsp.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  <w:t>infantarius</w:t>
            </w:r>
          </w:p>
        </w:tc>
      </w:tr>
      <w:tr w:rsidR="00484589" w:rsidRPr="0011299D" w14:paraId="71934D75" w14:textId="77777777" w:rsidTr="0013063C">
        <w:tc>
          <w:tcPr>
            <w:tcW w:w="3299" w:type="dxa"/>
          </w:tcPr>
          <w:p w14:paraId="1E1AA936" w14:textId="77777777" w:rsidR="00484589" w:rsidRPr="00444298" w:rsidRDefault="00484589" w:rsidP="0013063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</w:pPr>
            <w:r w:rsidRPr="00444298">
              <w:rPr>
                <w:rFonts w:ascii="Times New Roman" w:eastAsia="Calibri" w:hAnsi="Times New Roman" w:cs="Times New Roman"/>
                <w:sz w:val="24"/>
                <w:szCs w:val="24"/>
                <w:lang w:val="en-US" w:eastAsia="sv-SE"/>
              </w:rPr>
              <w:t>CCUG 46149T</w:t>
            </w:r>
          </w:p>
        </w:tc>
        <w:tc>
          <w:tcPr>
            <w:tcW w:w="5763" w:type="dxa"/>
          </w:tcPr>
          <w:p w14:paraId="7FDA3795" w14:textId="77777777" w:rsidR="00484589" w:rsidRPr="00444298" w:rsidRDefault="00484589" w:rsidP="001306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</w:pPr>
            <w:r w:rsidRPr="0044429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sv-SE"/>
              </w:rPr>
              <w:t>Streptococcus lutetiensis</w:t>
            </w:r>
          </w:p>
        </w:tc>
      </w:tr>
    </w:tbl>
    <w:p w14:paraId="29897F4E" w14:textId="1AE591FB" w:rsidR="004908C9" w:rsidRDefault="004908C9" w:rsidP="00484589">
      <w:pPr>
        <w:rPr>
          <w:b/>
          <w:sz w:val="24"/>
          <w:szCs w:val="24"/>
          <w:lang w:val="en-US"/>
        </w:rPr>
      </w:pPr>
    </w:p>
    <w:p w14:paraId="0D330ED9" w14:textId="171C08C7" w:rsidR="00484589" w:rsidRPr="004908C9" w:rsidRDefault="00484589" w:rsidP="00484589">
      <w:pPr>
        <w:rPr>
          <w:b/>
          <w:sz w:val="24"/>
          <w:szCs w:val="24"/>
          <w:lang w:val="en-US"/>
        </w:rPr>
      </w:pPr>
      <w:r w:rsidRPr="00912CA5">
        <w:rPr>
          <w:b/>
          <w:szCs w:val="24"/>
          <w:lang w:val="en-US"/>
        </w:rPr>
        <w:t>Table S2. Incidence of SBSEC-bacteremia in the Skåne Region since introduction of MALDI-TOF MS.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24"/>
        <w:gridCol w:w="2082"/>
        <w:gridCol w:w="2126"/>
        <w:gridCol w:w="2830"/>
      </w:tblGrid>
      <w:tr w:rsidR="00484589" w:rsidRPr="004908C9" w14:paraId="364E0A16" w14:textId="77777777" w:rsidTr="0013063C">
        <w:tc>
          <w:tcPr>
            <w:tcW w:w="2024" w:type="dxa"/>
          </w:tcPr>
          <w:p w14:paraId="7ACD4829" w14:textId="77777777" w:rsidR="00484589" w:rsidRPr="00F41662" w:rsidRDefault="00484589" w:rsidP="0013063C">
            <w:pPr>
              <w:rPr>
                <w:b/>
                <w:lang w:val="en-US"/>
              </w:rPr>
            </w:pPr>
            <w:r w:rsidRPr="00F41662">
              <w:rPr>
                <w:b/>
                <w:lang w:val="en-US"/>
              </w:rPr>
              <w:t>Year</w:t>
            </w:r>
          </w:p>
        </w:tc>
        <w:tc>
          <w:tcPr>
            <w:tcW w:w="2082" w:type="dxa"/>
          </w:tcPr>
          <w:p w14:paraId="305648FA" w14:textId="77777777" w:rsidR="00484589" w:rsidRPr="00F41662" w:rsidRDefault="00484589" w:rsidP="0013063C">
            <w:pPr>
              <w:rPr>
                <w:b/>
                <w:lang w:val="en-US"/>
              </w:rPr>
            </w:pPr>
            <w:r w:rsidRPr="00F41662">
              <w:rPr>
                <w:b/>
                <w:lang w:val="en-US"/>
              </w:rPr>
              <w:t>SBSEC episodes</w:t>
            </w:r>
          </w:p>
        </w:tc>
        <w:tc>
          <w:tcPr>
            <w:tcW w:w="2126" w:type="dxa"/>
          </w:tcPr>
          <w:p w14:paraId="793A70DD" w14:textId="77777777" w:rsidR="00484589" w:rsidRPr="00F41662" w:rsidRDefault="00484589" w:rsidP="0013063C">
            <w:pPr>
              <w:rPr>
                <w:b/>
                <w:vertAlign w:val="superscript"/>
                <w:lang w:val="en-US"/>
              </w:rPr>
            </w:pPr>
            <w:r w:rsidRPr="00F41662">
              <w:rPr>
                <w:b/>
                <w:lang w:val="en-US"/>
              </w:rPr>
              <w:t>Population</w:t>
            </w:r>
            <w:r>
              <w:rPr>
                <w:b/>
                <w:vertAlign w:val="superscript"/>
                <w:lang w:val="en-US"/>
              </w:rPr>
              <w:t>1)</w:t>
            </w:r>
          </w:p>
        </w:tc>
        <w:tc>
          <w:tcPr>
            <w:tcW w:w="2830" w:type="dxa"/>
          </w:tcPr>
          <w:p w14:paraId="5208CA84" w14:textId="77777777" w:rsidR="00484589" w:rsidRPr="00F41662" w:rsidRDefault="00484589" w:rsidP="0013063C">
            <w:pPr>
              <w:rPr>
                <w:b/>
                <w:lang w:val="en-US"/>
              </w:rPr>
            </w:pPr>
            <w:r w:rsidRPr="00F41662">
              <w:rPr>
                <w:b/>
                <w:lang w:val="en-US"/>
              </w:rPr>
              <w:t>Incidence Rate (per 100 000)</w:t>
            </w:r>
          </w:p>
        </w:tc>
      </w:tr>
      <w:tr w:rsidR="00484589" w:rsidRPr="004908C9" w14:paraId="3D2CE9F8" w14:textId="77777777" w:rsidTr="0013063C">
        <w:tc>
          <w:tcPr>
            <w:tcW w:w="2024" w:type="dxa"/>
          </w:tcPr>
          <w:p w14:paraId="6AE5C98D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lang w:val="en-US"/>
              </w:rPr>
              <w:t>2012</w:t>
            </w:r>
          </w:p>
        </w:tc>
        <w:tc>
          <w:tcPr>
            <w:tcW w:w="2082" w:type="dxa"/>
          </w:tcPr>
          <w:p w14:paraId="0C722514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lang w:val="en-US"/>
              </w:rPr>
              <w:t>17</w:t>
            </w:r>
          </w:p>
        </w:tc>
        <w:tc>
          <w:tcPr>
            <w:tcW w:w="2126" w:type="dxa"/>
          </w:tcPr>
          <w:p w14:paraId="120537AD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color w:val="000000"/>
                <w:shd w:val="clear" w:color="auto" w:fill="FFFFFF"/>
                <w:lang w:val="en-US"/>
              </w:rPr>
              <w:t>1 263 088</w:t>
            </w:r>
          </w:p>
        </w:tc>
        <w:tc>
          <w:tcPr>
            <w:tcW w:w="2830" w:type="dxa"/>
          </w:tcPr>
          <w:p w14:paraId="6D359F4B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lang w:val="en-US"/>
              </w:rPr>
              <w:t>1.35</w:t>
            </w:r>
          </w:p>
        </w:tc>
      </w:tr>
      <w:tr w:rsidR="00484589" w:rsidRPr="004908C9" w14:paraId="18DDF690" w14:textId="77777777" w:rsidTr="0013063C">
        <w:tc>
          <w:tcPr>
            <w:tcW w:w="2024" w:type="dxa"/>
          </w:tcPr>
          <w:p w14:paraId="7F18B451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lang w:val="en-US"/>
              </w:rPr>
              <w:t>2013</w:t>
            </w:r>
          </w:p>
        </w:tc>
        <w:tc>
          <w:tcPr>
            <w:tcW w:w="2082" w:type="dxa"/>
          </w:tcPr>
          <w:p w14:paraId="71CA96D6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lang w:val="en-US"/>
              </w:rPr>
              <w:t>20</w:t>
            </w:r>
          </w:p>
        </w:tc>
        <w:tc>
          <w:tcPr>
            <w:tcW w:w="2126" w:type="dxa"/>
          </w:tcPr>
          <w:p w14:paraId="04098310" w14:textId="77777777" w:rsidR="00484589" w:rsidRPr="00F41662" w:rsidRDefault="00484589" w:rsidP="0013063C">
            <w:pPr>
              <w:rPr>
                <w:color w:val="000000"/>
                <w:shd w:val="clear" w:color="auto" w:fill="FFFFFF"/>
                <w:lang w:val="en-US"/>
              </w:rPr>
            </w:pPr>
            <w:r w:rsidRPr="00F41662">
              <w:rPr>
                <w:color w:val="000000"/>
                <w:lang w:val="en-US"/>
              </w:rPr>
              <w:t>1 274 069</w:t>
            </w:r>
          </w:p>
        </w:tc>
        <w:tc>
          <w:tcPr>
            <w:tcW w:w="2830" w:type="dxa"/>
          </w:tcPr>
          <w:p w14:paraId="7BF59EE7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lang w:val="en-US"/>
              </w:rPr>
              <w:t>1.57</w:t>
            </w:r>
          </w:p>
        </w:tc>
      </w:tr>
      <w:tr w:rsidR="00484589" w14:paraId="76F5CA3E" w14:textId="77777777" w:rsidTr="0013063C">
        <w:tc>
          <w:tcPr>
            <w:tcW w:w="2024" w:type="dxa"/>
          </w:tcPr>
          <w:p w14:paraId="1648A27F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lang w:val="en-US"/>
              </w:rPr>
              <w:t>2014</w:t>
            </w:r>
          </w:p>
        </w:tc>
        <w:tc>
          <w:tcPr>
            <w:tcW w:w="2082" w:type="dxa"/>
          </w:tcPr>
          <w:p w14:paraId="7B8E8DBE" w14:textId="77777777" w:rsidR="00484589" w:rsidRPr="00F41662" w:rsidRDefault="00484589" w:rsidP="0013063C">
            <w:pPr>
              <w:rPr>
                <w:lang w:val="en-US"/>
              </w:rPr>
            </w:pPr>
            <w:r w:rsidRPr="00F41662">
              <w:rPr>
                <w:lang w:val="en-US"/>
              </w:rPr>
              <w:t>26</w:t>
            </w:r>
          </w:p>
        </w:tc>
        <w:tc>
          <w:tcPr>
            <w:tcW w:w="2126" w:type="dxa"/>
          </w:tcPr>
          <w:p w14:paraId="26E0A74A" w14:textId="77777777" w:rsidR="00484589" w:rsidRPr="004908C9" w:rsidRDefault="00484589" w:rsidP="0013063C">
            <w:pPr>
              <w:rPr>
                <w:lang w:val="en-US"/>
              </w:rPr>
            </w:pPr>
            <w:r w:rsidRPr="00F41662">
              <w:rPr>
                <w:color w:val="000000"/>
                <w:shd w:val="clear" w:color="auto" w:fill="FFFFFF"/>
                <w:lang w:val="en-US"/>
              </w:rPr>
              <w:t xml:space="preserve">1 </w:t>
            </w:r>
            <w:r w:rsidRPr="004908C9">
              <w:rPr>
                <w:color w:val="000000"/>
                <w:shd w:val="clear" w:color="auto" w:fill="FFFFFF"/>
                <w:lang w:val="en-US"/>
              </w:rPr>
              <w:t>288 908</w:t>
            </w:r>
          </w:p>
        </w:tc>
        <w:tc>
          <w:tcPr>
            <w:tcW w:w="2830" w:type="dxa"/>
          </w:tcPr>
          <w:p w14:paraId="137E7FB4" w14:textId="77777777" w:rsidR="00484589" w:rsidRPr="001B3C1D" w:rsidRDefault="00484589" w:rsidP="0013063C">
            <w:r>
              <w:t>2.02</w:t>
            </w:r>
          </w:p>
        </w:tc>
      </w:tr>
      <w:tr w:rsidR="00484589" w14:paraId="77CF23D2" w14:textId="77777777" w:rsidTr="0013063C">
        <w:tc>
          <w:tcPr>
            <w:tcW w:w="2024" w:type="dxa"/>
          </w:tcPr>
          <w:p w14:paraId="4E5CB305" w14:textId="77777777" w:rsidR="00484589" w:rsidRDefault="00484589" w:rsidP="0013063C">
            <w:r>
              <w:t>2015</w:t>
            </w:r>
          </w:p>
        </w:tc>
        <w:tc>
          <w:tcPr>
            <w:tcW w:w="2082" w:type="dxa"/>
          </w:tcPr>
          <w:p w14:paraId="554CA274" w14:textId="77777777" w:rsidR="00484589" w:rsidRDefault="00484589" w:rsidP="0013063C">
            <w:r>
              <w:t>28</w:t>
            </w:r>
          </w:p>
        </w:tc>
        <w:tc>
          <w:tcPr>
            <w:tcW w:w="2126" w:type="dxa"/>
          </w:tcPr>
          <w:p w14:paraId="78011B99" w14:textId="77777777" w:rsidR="00484589" w:rsidRPr="001B3C1D" w:rsidRDefault="00484589" w:rsidP="0013063C">
            <w:r w:rsidRPr="001B3C1D">
              <w:rPr>
                <w:color w:val="000000"/>
                <w:shd w:val="clear" w:color="auto" w:fill="FFFFFF"/>
              </w:rPr>
              <w:t>1 303 627</w:t>
            </w:r>
          </w:p>
        </w:tc>
        <w:tc>
          <w:tcPr>
            <w:tcW w:w="2830" w:type="dxa"/>
          </w:tcPr>
          <w:p w14:paraId="5D8CA628" w14:textId="77777777" w:rsidR="00484589" w:rsidRPr="001B3C1D" w:rsidRDefault="00484589" w:rsidP="0013063C">
            <w:r>
              <w:t>2.15</w:t>
            </w:r>
          </w:p>
        </w:tc>
      </w:tr>
      <w:tr w:rsidR="00484589" w14:paraId="7E4D5C22" w14:textId="77777777" w:rsidTr="0013063C">
        <w:tc>
          <w:tcPr>
            <w:tcW w:w="2024" w:type="dxa"/>
          </w:tcPr>
          <w:p w14:paraId="609E2094" w14:textId="77777777" w:rsidR="00484589" w:rsidRDefault="00484589" w:rsidP="0013063C">
            <w:r>
              <w:t>2016</w:t>
            </w:r>
          </w:p>
        </w:tc>
        <w:tc>
          <w:tcPr>
            <w:tcW w:w="2082" w:type="dxa"/>
          </w:tcPr>
          <w:p w14:paraId="2D54C02F" w14:textId="77777777" w:rsidR="00484589" w:rsidRDefault="00484589" w:rsidP="0013063C">
            <w:r>
              <w:t>39</w:t>
            </w:r>
          </w:p>
        </w:tc>
        <w:tc>
          <w:tcPr>
            <w:tcW w:w="2126" w:type="dxa"/>
          </w:tcPr>
          <w:p w14:paraId="275D8C90" w14:textId="77777777" w:rsidR="00484589" w:rsidRPr="001B3C1D" w:rsidRDefault="00484589" w:rsidP="0013063C">
            <w:pPr>
              <w:rPr>
                <w:color w:val="000000"/>
                <w:shd w:val="clear" w:color="auto" w:fill="FFFFFF"/>
              </w:rPr>
            </w:pPr>
            <w:r w:rsidRPr="001B3C1D">
              <w:rPr>
                <w:color w:val="000000"/>
              </w:rPr>
              <w:t>1 324 565</w:t>
            </w:r>
          </w:p>
        </w:tc>
        <w:tc>
          <w:tcPr>
            <w:tcW w:w="2830" w:type="dxa"/>
          </w:tcPr>
          <w:p w14:paraId="4AE640B6" w14:textId="77777777" w:rsidR="00484589" w:rsidRPr="001B3C1D" w:rsidRDefault="00484589" w:rsidP="0013063C">
            <w:r>
              <w:t>2.94</w:t>
            </w:r>
          </w:p>
        </w:tc>
      </w:tr>
      <w:tr w:rsidR="00484589" w14:paraId="102F1CB0" w14:textId="77777777" w:rsidTr="0013063C">
        <w:tc>
          <w:tcPr>
            <w:tcW w:w="2024" w:type="dxa"/>
          </w:tcPr>
          <w:p w14:paraId="78D47245" w14:textId="77777777" w:rsidR="00484589" w:rsidRDefault="00484589" w:rsidP="0013063C">
            <w:r>
              <w:t>2017</w:t>
            </w:r>
          </w:p>
        </w:tc>
        <w:tc>
          <w:tcPr>
            <w:tcW w:w="2082" w:type="dxa"/>
          </w:tcPr>
          <w:p w14:paraId="0930ACE4" w14:textId="77777777" w:rsidR="00484589" w:rsidRDefault="00484589" w:rsidP="0013063C">
            <w:r>
              <w:t>31</w:t>
            </w:r>
          </w:p>
        </w:tc>
        <w:tc>
          <w:tcPr>
            <w:tcW w:w="2126" w:type="dxa"/>
          </w:tcPr>
          <w:p w14:paraId="2B6568FE" w14:textId="77777777" w:rsidR="00484589" w:rsidRPr="001B3C1D" w:rsidRDefault="00484589" w:rsidP="0013063C">
            <w:r w:rsidRPr="001B3C1D">
              <w:rPr>
                <w:color w:val="000000"/>
                <w:shd w:val="clear" w:color="auto" w:fill="FFFFFF"/>
              </w:rPr>
              <w:t>1 344 689</w:t>
            </w:r>
          </w:p>
        </w:tc>
        <w:tc>
          <w:tcPr>
            <w:tcW w:w="2830" w:type="dxa"/>
          </w:tcPr>
          <w:p w14:paraId="6C799AA8" w14:textId="77777777" w:rsidR="00484589" w:rsidRPr="001B3C1D" w:rsidRDefault="00484589" w:rsidP="0013063C">
            <w:r>
              <w:t>2.31</w:t>
            </w:r>
          </w:p>
        </w:tc>
      </w:tr>
      <w:tr w:rsidR="00484589" w14:paraId="53BFE41A" w14:textId="77777777" w:rsidTr="0013063C">
        <w:tc>
          <w:tcPr>
            <w:tcW w:w="2024" w:type="dxa"/>
          </w:tcPr>
          <w:p w14:paraId="7A6C56F0" w14:textId="77777777" w:rsidR="00484589" w:rsidRDefault="00484589" w:rsidP="0013063C">
            <w:r>
              <w:t>2018</w:t>
            </w:r>
          </w:p>
        </w:tc>
        <w:tc>
          <w:tcPr>
            <w:tcW w:w="2082" w:type="dxa"/>
          </w:tcPr>
          <w:p w14:paraId="29502E93" w14:textId="77777777" w:rsidR="00484589" w:rsidRDefault="00484589" w:rsidP="0013063C">
            <w:r>
              <w:t>27</w:t>
            </w:r>
          </w:p>
        </w:tc>
        <w:tc>
          <w:tcPr>
            <w:tcW w:w="2126" w:type="dxa"/>
          </w:tcPr>
          <w:p w14:paraId="04177AC6" w14:textId="77777777" w:rsidR="00484589" w:rsidRPr="001B3C1D" w:rsidRDefault="00484589" w:rsidP="0013063C">
            <w:r w:rsidRPr="001B3C1D">
              <w:rPr>
                <w:color w:val="000000"/>
                <w:shd w:val="clear" w:color="auto" w:fill="FFFFFF"/>
              </w:rPr>
              <w:t>1 362 164</w:t>
            </w:r>
          </w:p>
        </w:tc>
        <w:tc>
          <w:tcPr>
            <w:tcW w:w="2830" w:type="dxa"/>
          </w:tcPr>
          <w:p w14:paraId="13CDA858" w14:textId="77777777" w:rsidR="00484589" w:rsidRPr="001B3C1D" w:rsidRDefault="00484589" w:rsidP="0013063C">
            <w:r>
              <w:t>1.98</w:t>
            </w:r>
          </w:p>
        </w:tc>
      </w:tr>
    </w:tbl>
    <w:p w14:paraId="039E92C4" w14:textId="77777777" w:rsidR="00484589" w:rsidRPr="00EB70EA" w:rsidRDefault="00484589" w:rsidP="00484589">
      <w:pPr>
        <w:rPr>
          <w:lang w:val="en-US"/>
        </w:rPr>
      </w:pPr>
      <w:r w:rsidRPr="00EB70EA">
        <w:rPr>
          <w:vertAlign w:val="superscript"/>
          <w:lang w:val="en-US"/>
        </w:rPr>
        <w:t>1)</w:t>
      </w:r>
      <w:r>
        <w:rPr>
          <w:lang w:val="en-US"/>
        </w:rPr>
        <w:t xml:space="preserve"> </w:t>
      </w:r>
      <w:r w:rsidRPr="00EB70EA">
        <w:rPr>
          <w:lang w:val="en-US"/>
        </w:rPr>
        <w:t>31</w:t>
      </w:r>
      <w:r>
        <w:rPr>
          <w:lang w:val="en-US"/>
        </w:rPr>
        <w:t xml:space="preserve"> </w:t>
      </w:r>
      <w:r w:rsidRPr="00EB70EA">
        <w:rPr>
          <w:lang w:val="en-US"/>
        </w:rPr>
        <w:t xml:space="preserve">December, Statistics Sweden </w:t>
      </w:r>
      <w:r w:rsidRPr="00EB70EA">
        <w:rPr>
          <w:lang w:val="en-US"/>
        </w:rPr>
        <w:fldChar w:fldCharType="begin"/>
      </w:r>
      <w:r w:rsidRPr="00EB70EA">
        <w:rPr>
          <w:lang w:val="en-US"/>
        </w:rPr>
        <w:instrText xml:space="preserve"> ADDIN EN.CITE &lt;EndNote&gt;&lt;Cite&gt;&lt;RecNum&gt;30&lt;/RecNum&gt;&lt;DisplayText&gt;[18]&lt;/DisplayText&gt;&lt;record&gt;&lt;rec-number&gt;30&lt;/rec-number&gt;&lt;foreign-keys&gt;&lt;key app="EN" db-id="t2xrvzzxd99dz6eat08ptx2mvddre2sdwfsf" timestamp="1617804665"&gt;30&lt;/key&gt;&lt;/foreign-keys&gt;&lt;ref-type name="Web Page"&gt;12&lt;/ref-type&gt;&lt;contributors&gt;&lt;/contributors&gt;&lt;titles&gt;&lt;title&gt;Statistics Sweden, Population statistics&lt;/title&gt;&lt;/titles&gt;&lt;dates&gt;&lt;/dates&gt;&lt;urls&gt;&lt;related-urls&gt;&lt;url&gt;http://www.scb.se/be0101-en&lt;/url&gt;&lt;/related-urls&gt;&lt;/urls&gt;&lt;/record&gt;&lt;/Cite&gt;&lt;/EndNote&gt;</w:instrText>
      </w:r>
      <w:r w:rsidRPr="00EB70EA">
        <w:rPr>
          <w:lang w:val="en-US"/>
        </w:rPr>
        <w:fldChar w:fldCharType="separate"/>
      </w:r>
      <w:r w:rsidRPr="00EB70EA">
        <w:rPr>
          <w:noProof/>
          <w:lang w:val="en-US"/>
        </w:rPr>
        <w:t>[18]</w:t>
      </w:r>
      <w:r w:rsidRPr="00EB70EA">
        <w:rPr>
          <w:lang w:val="en-US"/>
        </w:rPr>
        <w:fldChar w:fldCharType="end"/>
      </w:r>
      <w:r w:rsidRPr="00EB70EA">
        <w:rPr>
          <w:lang w:val="en-US"/>
        </w:rPr>
        <w:t>.</w:t>
      </w:r>
    </w:p>
    <w:p w14:paraId="75710A18" w14:textId="77777777" w:rsidR="00484589" w:rsidRPr="00C72A64" w:rsidRDefault="00484589" w:rsidP="00484589">
      <w:pPr>
        <w:rPr>
          <w:lang w:val="en-US"/>
        </w:rPr>
      </w:pPr>
    </w:p>
    <w:p w14:paraId="056BF2C3" w14:textId="0C98283C" w:rsidR="00484589" w:rsidRPr="004908C9" w:rsidRDefault="00484589" w:rsidP="00484589">
      <w:pPr>
        <w:rPr>
          <w:b/>
          <w:sz w:val="24"/>
          <w:szCs w:val="24"/>
          <w:lang w:val="en-US"/>
        </w:rPr>
      </w:pPr>
      <w:r w:rsidRPr="00912CA5">
        <w:rPr>
          <w:b/>
          <w:szCs w:val="24"/>
          <w:lang w:val="en-US"/>
        </w:rPr>
        <w:t xml:space="preserve">Table S3. Colonoscopy/CT colonography findings within 12 months after bacteremia </w:t>
      </w:r>
      <w:r w:rsidRPr="00912CA5">
        <w:rPr>
          <w:b/>
          <w:szCs w:val="24"/>
          <w:vertAlign w:val="superscript"/>
          <w:lang w:val="en-US"/>
        </w:rPr>
        <w:t>1, 2)</w:t>
      </w:r>
      <w:r w:rsidRPr="00912CA5">
        <w:rPr>
          <w:b/>
          <w:szCs w:val="24"/>
          <w:lang w:val="en-US"/>
        </w:rPr>
        <w:t xml:space="preserve">. </w:t>
      </w:r>
    </w:p>
    <w:tbl>
      <w:tblPr>
        <w:tblStyle w:val="Rutntstabell1ljus"/>
        <w:tblW w:w="9067" w:type="dxa"/>
        <w:tblLayout w:type="fixed"/>
        <w:tblLook w:val="04E0" w:firstRow="1" w:lastRow="1" w:firstColumn="1" w:lastColumn="0" w:noHBand="0" w:noVBand="1"/>
      </w:tblPr>
      <w:tblGrid>
        <w:gridCol w:w="1696"/>
        <w:gridCol w:w="1418"/>
        <w:gridCol w:w="1417"/>
        <w:gridCol w:w="1276"/>
        <w:gridCol w:w="1276"/>
        <w:gridCol w:w="992"/>
        <w:gridCol w:w="992"/>
      </w:tblGrid>
      <w:tr w:rsidR="00484589" w:rsidRPr="00231BF8" w14:paraId="3C939E7B" w14:textId="77777777" w:rsidTr="00130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4CC875" w14:textId="77777777" w:rsidR="00484589" w:rsidRPr="00833D3F" w:rsidRDefault="00484589" w:rsidP="0013063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1B2EB06" w14:textId="77777777" w:rsidR="00484589" w:rsidRPr="007B7CAB" w:rsidRDefault="00484589" w:rsidP="0013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7B7CAB">
              <w:rPr>
                <w:i/>
                <w:lang w:val="en-US"/>
              </w:rPr>
              <w:t>S. gallolyticus subsp. pasteurianus</w:t>
            </w:r>
          </w:p>
          <w:p w14:paraId="37EF19B3" w14:textId="77777777" w:rsidR="00484589" w:rsidRPr="00231BF8" w:rsidRDefault="00484589" w:rsidP="0013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(n = 26</w:t>
            </w:r>
            <w:r w:rsidRPr="00231BF8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6AB9BDAB" w14:textId="77777777" w:rsidR="00484589" w:rsidRPr="00231BF8" w:rsidRDefault="00484589" w:rsidP="0013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B7CAB">
              <w:rPr>
                <w:i/>
                <w:lang w:val="en-US"/>
              </w:rPr>
              <w:t>S. gallolyticus subsp. gallolyticus</w:t>
            </w:r>
            <w:r>
              <w:rPr>
                <w:lang w:val="en-US"/>
              </w:rPr>
              <w:t xml:space="preserve"> (n = 30</w:t>
            </w:r>
            <w:r w:rsidRPr="00231BF8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14:paraId="72AE3A8F" w14:textId="77777777" w:rsidR="00484589" w:rsidRPr="00231BF8" w:rsidRDefault="00484589" w:rsidP="0013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B7CAB">
              <w:rPr>
                <w:i/>
                <w:lang w:val="en-US"/>
              </w:rPr>
              <w:t>S. lutetiensis</w:t>
            </w:r>
            <w:r w:rsidRPr="00231BF8">
              <w:rPr>
                <w:lang w:val="en-US"/>
              </w:rPr>
              <w:t xml:space="preserve"> (n = </w:t>
            </w:r>
            <w:r>
              <w:rPr>
                <w:lang w:val="en-US"/>
              </w:rPr>
              <w:t>7</w:t>
            </w:r>
            <w:r w:rsidRPr="00231BF8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14:paraId="2109804E" w14:textId="77777777" w:rsidR="00484589" w:rsidRPr="00231BF8" w:rsidRDefault="00484589" w:rsidP="0013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lang w:val="en-US"/>
              </w:rPr>
              <w:t>S. infantarius subsp. infantarius</w:t>
            </w:r>
            <w:r w:rsidRPr="00231BF8">
              <w:rPr>
                <w:lang w:val="en-US"/>
              </w:rPr>
              <w:t xml:space="preserve"> (n = </w:t>
            </w:r>
            <w:r>
              <w:rPr>
                <w:lang w:val="en-US"/>
              </w:rPr>
              <w:t>9</w:t>
            </w:r>
            <w:r w:rsidRPr="00231BF8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14:paraId="048BE9A9" w14:textId="77777777" w:rsidR="00484589" w:rsidRDefault="00484589" w:rsidP="0013063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subspec-ies</w:t>
            </w:r>
          </w:p>
          <w:p w14:paraId="068FAA27" w14:textId="77777777" w:rsidR="00484589" w:rsidRPr="00645134" w:rsidRDefault="00484589" w:rsidP="0013063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 = 5)</w:t>
            </w:r>
          </w:p>
        </w:tc>
        <w:tc>
          <w:tcPr>
            <w:tcW w:w="992" w:type="dxa"/>
          </w:tcPr>
          <w:p w14:paraId="507F3EA8" w14:textId="77777777" w:rsidR="00484589" w:rsidRPr="00231BF8" w:rsidRDefault="00484589" w:rsidP="00130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31BF8">
              <w:rPr>
                <w:i/>
              </w:rPr>
              <w:t>P</w:t>
            </w:r>
          </w:p>
        </w:tc>
      </w:tr>
      <w:tr w:rsidR="00484589" w:rsidRPr="00231BF8" w14:paraId="4BC6E10D" w14:textId="77777777" w:rsidTr="00130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339A4C" w14:textId="77777777" w:rsidR="00484589" w:rsidRPr="00231BF8" w:rsidRDefault="00484589" w:rsidP="0013063C">
            <w:pPr>
              <w:rPr>
                <w:b w:val="0"/>
                <w:lang w:val="en-US"/>
              </w:rPr>
            </w:pPr>
            <w:r w:rsidRPr="00231BF8">
              <w:rPr>
                <w:b w:val="0"/>
                <w:lang w:val="en-US"/>
              </w:rPr>
              <w:t>Colorectal cancer</w:t>
            </w:r>
          </w:p>
        </w:tc>
        <w:tc>
          <w:tcPr>
            <w:tcW w:w="1418" w:type="dxa"/>
          </w:tcPr>
          <w:p w14:paraId="04B2FF46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2 (8)</w:t>
            </w:r>
          </w:p>
        </w:tc>
        <w:tc>
          <w:tcPr>
            <w:tcW w:w="1417" w:type="dxa"/>
          </w:tcPr>
          <w:p w14:paraId="61F7D39B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31BF8">
              <w:rPr>
                <w:lang w:val="en-US"/>
              </w:rPr>
              <w:t>9 (30)</w:t>
            </w:r>
          </w:p>
        </w:tc>
        <w:tc>
          <w:tcPr>
            <w:tcW w:w="1276" w:type="dxa"/>
          </w:tcPr>
          <w:p w14:paraId="7B7DBD78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0 (0)</w:t>
            </w:r>
          </w:p>
        </w:tc>
        <w:tc>
          <w:tcPr>
            <w:tcW w:w="1276" w:type="dxa"/>
          </w:tcPr>
          <w:p w14:paraId="21DA8E78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1 (11)</w:t>
            </w:r>
          </w:p>
        </w:tc>
        <w:tc>
          <w:tcPr>
            <w:tcW w:w="992" w:type="dxa"/>
          </w:tcPr>
          <w:p w14:paraId="58985E65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992" w:type="dxa"/>
          </w:tcPr>
          <w:p w14:paraId="686A297F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</w:tr>
      <w:tr w:rsidR="00484589" w:rsidRPr="00231BF8" w14:paraId="6559E243" w14:textId="77777777" w:rsidTr="000D6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999999" w:themeColor="text1" w:themeTint="66"/>
            </w:tcBorders>
          </w:tcPr>
          <w:p w14:paraId="27B4897D" w14:textId="77777777" w:rsidR="00484589" w:rsidRPr="00231BF8" w:rsidRDefault="00484589" w:rsidP="0013063C">
            <w:pPr>
              <w:rPr>
                <w:b w:val="0"/>
                <w:lang w:val="en-US"/>
              </w:rPr>
            </w:pPr>
            <w:r w:rsidRPr="00231BF8">
              <w:rPr>
                <w:b w:val="0"/>
                <w:lang w:val="en-US"/>
              </w:rPr>
              <w:t>High grade colorectal adenoma</w:t>
            </w:r>
            <w:r>
              <w:rPr>
                <w:b w:val="0"/>
                <w:vertAlign w:val="superscript"/>
                <w:lang w:val="en-US"/>
              </w:rPr>
              <w:t>3)</w:t>
            </w: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</w:tcPr>
          <w:p w14:paraId="540B4B1D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0 (0)</w:t>
            </w:r>
          </w:p>
        </w:tc>
        <w:tc>
          <w:tcPr>
            <w:tcW w:w="1417" w:type="dxa"/>
            <w:tcBorders>
              <w:bottom w:val="single" w:sz="4" w:space="0" w:color="999999" w:themeColor="text1" w:themeTint="66"/>
            </w:tcBorders>
          </w:tcPr>
          <w:p w14:paraId="504D750C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4 (13)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</w:tcPr>
          <w:p w14:paraId="46901B36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2 (29)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</w:tcPr>
          <w:p w14:paraId="2170B5E5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3 (33)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7BFECC68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78F4B727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0.04</w:t>
            </w:r>
          </w:p>
          <w:p w14:paraId="5F23394B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</w:p>
        </w:tc>
      </w:tr>
      <w:tr w:rsidR="00484589" w:rsidRPr="00231BF8" w14:paraId="2DBA7824" w14:textId="77777777" w:rsidTr="000D6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999999" w:themeColor="text1" w:themeTint="66"/>
            </w:tcBorders>
          </w:tcPr>
          <w:p w14:paraId="444A1362" w14:textId="77777777" w:rsidR="00484589" w:rsidRPr="00236E9D" w:rsidRDefault="00484589" w:rsidP="0013063C">
            <w:pPr>
              <w:rPr>
                <w:b w:val="0"/>
                <w:lang w:val="en-US"/>
              </w:rPr>
            </w:pPr>
            <w:r w:rsidRPr="00231BF8">
              <w:rPr>
                <w:b w:val="0"/>
                <w:lang w:val="en-US"/>
              </w:rPr>
              <w:t>Low-medium grade</w:t>
            </w:r>
            <w:r>
              <w:rPr>
                <w:b w:val="0"/>
                <w:lang w:val="en-US"/>
              </w:rPr>
              <w:t xml:space="preserve"> and non-biopsied</w:t>
            </w:r>
            <w:r w:rsidRPr="00231BF8">
              <w:rPr>
                <w:b w:val="0"/>
                <w:lang w:val="en-US"/>
              </w:rPr>
              <w:t xml:space="preserve"> colorectal adenoma</w:t>
            </w:r>
            <w:r>
              <w:rPr>
                <w:b w:val="0"/>
                <w:lang w:val="en-US"/>
              </w:rPr>
              <w:t xml:space="preserve"> and </w:t>
            </w:r>
            <w:r w:rsidRPr="00231BF8">
              <w:rPr>
                <w:b w:val="0"/>
                <w:lang w:val="en-US"/>
              </w:rPr>
              <w:t>polyp</w:t>
            </w:r>
            <w:r>
              <w:rPr>
                <w:b w:val="0"/>
                <w:lang w:val="en-US"/>
              </w:rPr>
              <w:t>s</w:t>
            </w:r>
            <w:r>
              <w:rPr>
                <w:b w:val="0"/>
                <w:vertAlign w:val="superscript"/>
                <w:lang w:val="en-US"/>
              </w:rPr>
              <w:t>4)</w:t>
            </w: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</w:tcPr>
          <w:p w14:paraId="68D677C8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4 (15)</w:t>
            </w:r>
          </w:p>
        </w:tc>
        <w:tc>
          <w:tcPr>
            <w:tcW w:w="1417" w:type="dxa"/>
            <w:tcBorders>
              <w:bottom w:val="single" w:sz="4" w:space="0" w:color="999999" w:themeColor="text1" w:themeTint="66"/>
            </w:tcBorders>
          </w:tcPr>
          <w:p w14:paraId="06BE240D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11 (37)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</w:tcPr>
          <w:p w14:paraId="4779CBE2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5 (71)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</w:tcPr>
          <w:p w14:paraId="268F69AE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1BF8">
              <w:rPr>
                <w:lang w:val="en-US"/>
              </w:rPr>
              <w:t>5 (56)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66D6041C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 (80)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3B68A673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  <w:p w14:paraId="38C6626B" w14:textId="77777777" w:rsidR="00484589" w:rsidRPr="00231BF8" w:rsidRDefault="00484589" w:rsidP="001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84589" w:rsidRPr="00231BF8" w14:paraId="158F0B84" w14:textId="77777777" w:rsidTr="000D63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</w:tcBorders>
          </w:tcPr>
          <w:p w14:paraId="659FCBAD" w14:textId="77777777" w:rsidR="00484589" w:rsidRPr="00231BF8" w:rsidRDefault="00484589" w:rsidP="0013063C">
            <w:pPr>
              <w:rPr>
                <w:b w:val="0"/>
                <w:vertAlign w:val="superscript"/>
                <w:lang w:val="en-US"/>
              </w:rPr>
            </w:pPr>
            <w:r w:rsidRPr="00231BF8">
              <w:rPr>
                <w:b w:val="0"/>
                <w:lang w:val="en-US"/>
              </w:rPr>
              <w:t>Colorectal neoplasia</w:t>
            </w:r>
            <w:r>
              <w:rPr>
                <w:b w:val="0"/>
                <w:lang w:val="en-US"/>
              </w:rPr>
              <w:t>, total</w:t>
            </w:r>
            <w:r>
              <w:rPr>
                <w:b w:val="0"/>
                <w:vertAlign w:val="superscript"/>
                <w:lang w:val="en-US"/>
              </w:rPr>
              <w:t>5)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</w:tcBorders>
          </w:tcPr>
          <w:p w14:paraId="3E559A71" w14:textId="77777777" w:rsidR="00484589" w:rsidRPr="00231BF8" w:rsidRDefault="00484589" w:rsidP="0013063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31BF8">
              <w:rPr>
                <w:b w:val="0"/>
                <w:lang w:val="en-US"/>
              </w:rPr>
              <w:t>6 (23)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</w:tcBorders>
          </w:tcPr>
          <w:p w14:paraId="7512BEC8" w14:textId="77777777" w:rsidR="00484589" w:rsidRPr="00231BF8" w:rsidRDefault="00484589" w:rsidP="0013063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31BF8">
              <w:rPr>
                <w:b w:val="0"/>
                <w:lang w:val="en-US"/>
              </w:rPr>
              <w:t>24 (80)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</w:tcBorders>
          </w:tcPr>
          <w:p w14:paraId="6B2E07C6" w14:textId="77777777" w:rsidR="00484589" w:rsidRPr="00231BF8" w:rsidRDefault="00484589" w:rsidP="0013063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31BF8">
              <w:rPr>
                <w:b w:val="0"/>
                <w:lang w:val="en-US"/>
              </w:rPr>
              <w:t>7 (100)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</w:tcBorders>
          </w:tcPr>
          <w:p w14:paraId="5FED205A" w14:textId="77777777" w:rsidR="00484589" w:rsidRPr="00231BF8" w:rsidRDefault="00484589" w:rsidP="0013063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31BF8">
              <w:rPr>
                <w:b w:val="0"/>
                <w:lang w:val="en-US"/>
              </w:rPr>
              <w:t>9 (100)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</w:tcBorders>
          </w:tcPr>
          <w:p w14:paraId="26FF0C6A" w14:textId="77777777" w:rsidR="00484589" w:rsidRPr="00231BF8" w:rsidRDefault="00484589" w:rsidP="0013063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 (80)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</w:tcBorders>
          </w:tcPr>
          <w:p w14:paraId="218C11AE" w14:textId="77777777" w:rsidR="00484589" w:rsidRPr="00231BF8" w:rsidRDefault="00484589" w:rsidP="0013063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31BF8">
              <w:rPr>
                <w:b w:val="0"/>
                <w:lang w:val="en-US"/>
              </w:rPr>
              <w:t>&lt;0.001</w:t>
            </w:r>
          </w:p>
        </w:tc>
      </w:tr>
    </w:tbl>
    <w:p w14:paraId="2B0E6477" w14:textId="2AE0D36F" w:rsidR="000159D9" w:rsidRPr="003D550B" w:rsidRDefault="00484589" w:rsidP="000159D9">
      <w:pPr>
        <w:rPr>
          <w:b/>
          <w:color w:val="FF0000"/>
          <w:sz w:val="44"/>
          <w:szCs w:val="44"/>
          <w:lang w:val="en-US"/>
        </w:rPr>
      </w:pPr>
      <w:r w:rsidRPr="00AA0B34">
        <w:rPr>
          <w:vertAlign w:val="superscript"/>
          <w:lang w:val="en-US"/>
        </w:rPr>
        <w:t>1)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 All patients who underwent examination regardless of prior cancer diagnosis.</w:t>
      </w:r>
      <w:r w:rsidRPr="00AA0B34"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2) </w:t>
      </w:r>
      <w:r w:rsidRPr="00AA0B34">
        <w:rPr>
          <w:lang w:val="en-US"/>
        </w:rPr>
        <w:t>Categorical variables are presented as n (%</w:t>
      </w:r>
      <w:r>
        <w:rPr>
          <w:lang w:val="en-US"/>
        </w:rPr>
        <w:t xml:space="preserve"> </w:t>
      </w:r>
      <w:r w:rsidRPr="00AA0B34">
        <w:rPr>
          <w:lang w:val="en-US"/>
        </w:rPr>
        <w:t xml:space="preserve">of examined). </w:t>
      </w:r>
      <w:r>
        <w:rPr>
          <w:vertAlign w:val="superscript"/>
          <w:lang w:val="en-US"/>
        </w:rPr>
        <w:t>3)</w:t>
      </w:r>
      <w:r>
        <w:rPr>
          <w:lang w:val="en-US"/>
        </w:rPr>
        <w:t xml:space="preserve"> All were tubular-, villous-, or tubulovillous adenoma.</w:t>
      </w:r>
      <w:r>
        <w:rPr>
          <w:vertAlign w:val="superscript"/>
          <w:lang w:val="en-US"/>
        </w:rPr>
        <w:t xml:space="preserve"> 4) </w:t>
      </w:r>
      <w:r w:rsidRPr="009664ED">
        <w:rPr>
          <w:lang w:val="en-US"/>
        </w:rPr>
        <w:t>Biopsy was not</w:t>
      </w:r>
      <w:r>
        <w:rPr>
          <w:lang w:val="en-US"/>
        </w:rPr>
        <w:t xml:space="preserve"> performed in four examinations</w:t>
      </w:r>
      <w:r w:rsidRPr="00AA0B34">
        <w:rPr>
          <w:lang w:val="en-US"/>
        </w:rPr>
        <w:t>.</w:t>
      </w:r>
      <w:r>
        <w:rPr>
          <w:lang w:val="en-US"/>
        </w:rPr>
        <w:t xml:space="preserve"> All other findings were of tubular-, villous-, or tubulovillous adenoma, while one was also of serrated adenoma.  </w:t>
      </w:r>
      <w:r>
        <w:rPr>
          <w:vertAlign w:val="superscript"/>
          <w:lang w:val="en-US"/>
        </w:rPr>
        <w:t xml:space="preserve">5) </w:t>
      </w:r>
      <w:r w:rsidRPr="00AA0B34">
        <w:rPr>
          <w:lang w:val="en-US"/>
        </w:rPr>
        <w:t>CRC,</w:t>
      </w:r>
      <w:r>
        <w:rPr>
          <w:lang w:val="en-US"/>
        </w:rPr>
        <w:t xml:space="preserve"> all</w:t>
      </w:r>
      <w:r w:rsidRPr="00AA0B34">
        <w:rPr>
          <w:lang w:val="en-US"/>
        </w:rPr>
        <w:t xml:space="preserve"> </w:t>
      </w:r>
      <w:r>
        <w:rPr>
          <w:lang w:val="en-US"/>
        </w:rPr>
        <w:t xml:space="preserve">registered </w:t>
      </w:r>
      <w:r w:rsidRPr="00AA0B34">
        <w:rPr>
          <w:lang w:val="en-US"/>
        </w:rPr>
        <w:t>adenoma or polyps</w:t>
      </w:r>
      <w:r>
        <w:rPr>
          <w:lang w:val="en-US"/>
        </w:rPr>
        <w:t xml:space="preserve"> in total</w:t>
      </w:r>
      <w:r w:rsidRPr="00AA0B34">
        <w:rPr>
          <w:lang w:val="en-US"/>
        </w:rPr>
        <w:t>.</w:t>
      </w:r>
    </w:p>
    <w:sectPr w:rsidR="000159D9" w:rsidRPr="003D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20"/>
    <w:rsid w:val="000159D9"/>
    <w:rsid w:val="00015C04"/>
    <w:rsid w:val="00097F64"/>
    <w:rsid w:val="000D6318"/>
    <w:rsid w:val="001B6AFF"/>
    <w:rsid w:val="001E5B99"/>
    <w:rsid w:val="002B2F84"/>
    <w:rsid w:val="003D550B"/>
    <w:rsid w:val="00484589"/>
    <w:rsid w:val="004908C9"/>
    <w:rsid w:val="004C5310"/>
    <w:rsid w:val="004C55EA"/>
    <w:rsid w:val="00530FD7"/>
    <w:rsid w:val="00566623"/>
    <w:rsid w:val="005B23F1"/>
    <w:rsid w:val="0067444F"/>
    <w:rsid w:val="0085770C"/>
    <w:rsid w:val="00954860"/>
    <w:rsid w:val="00B26F95"/>
    <w:rsid w:val="00B3235A"/>
    <w:rsid w:val="00BD46FE"/>
    <w:rsid w:val="00BD53B0"/>
    <w:rsid w:val="00D02C12"/>
    <w:rsid w:val="00D10BA2"/>
    <w:rsid w:val="00EE7861"/>
    <w:rsid w:val="00F65242"/>
    <w:rsid w:val="00F77620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540"/>
  <w15:chartTrackingRefBased/>
  <w15:docId w15:val="{430263D4-1ED8-44D0-8AE4-B1DEF44E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59D9"/>
    <w:pPr>
      <w:keepNext/>
      <w:keepLines/>
      <w:spacing w:before="240" w:after="0" w:line="48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5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159D9"/>
    <w:pPr>
      <w:spacing w:line="240" w:lineRule="auto"/>
      <w:jc w:val="both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159D9"/>
    <w:rPr>
      <w:sz w:val="20"/>
      <w:szCs w:val="20"/>
    </w:rPr>
  </w:style>
  <w:style w:type="table" w:styleId="Tabellrutnt">
    <w:name w:val="Table Grid"/>
    <w:basedOn w:val="Normaltabell"/>
    <w:uiPriority w:val="39"/>
    <w:rsid w:val="0001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0159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1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9D9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5C04"/>
    <w:pPr>
      <w:jc w:val="left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5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2021-10-29T09:15:00Z</dcterms:created>
  <dcterms:modified xsi:type="dcterms:W3CDTF">2021-11-23T11:39:00Z</dcterms:modified>
</cp:coreProperties>
</file>