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3B12" w:rsidRPr="00052117" w:rsidRDefault="00D03B12" w:rsidP="00D03B12">
      <w:pPr>
        <w:spacing w:line="360" w:lineRule="auto"/>
        <w:rPr>
          <w:rFonts w:ascii="Arial" w:eastAsia="Arial" w:hAnsi="Arial" w:cs="Arial"/>
        </w:rPr>
      </w:pPr>
      <w:r w:rsidRPr="00052117">
        <w:rPr>
          <w:rFonts w:ascii="Arial" w:eastAsia="Arial" w:hAnsi="Arial" w:cs="Arial"/>
        </w:rPr>
        <w:t xml:space="preserve">Supplementary Table 2: Summary measures for </w:t>
      </w:r>
      <w:r>
        <w:rPr>
          <w:rFonts w:ascii="Arial" w:eastAsia="Arial" w:hAnsi="Arial" w:cs="Arial"/>
        </w:rPr>
        <w:t>COVID</w:t>
      </w:r>
      <w:r w:rsidRPr="00052117">
        <w:rPr>
          <w:rFonts w:ascii="Arial" w:eastAsia="Arial" w:hAnsi="Arial" w:cs="Arial"/>
        </w:rPr>
        <w:t xml:space="preserve">-19 cases reported between 21 March and 31 October 2020 by </w:t>
      </w:r>
      <w:r>
        <w:rPr>
          <w:rFonts w:ascii="Arial" w:eastAsia="Arial" w:hAnsi="Arial" w:cs="Arial"/>
        </w:rPr>
        <w:t xml:space="preserve">11 </w:t>
      </w:r>
      <w:r w:rsidRPr="00052117">
        <w:rPr>
          <w:rFonts w:ascii="Arial" w:eastAsia="Arial" w:hAnsi="Arial" w:cs="Arial"/>
        </w:rPr>
        <w:t>WHO A</w:t>
      </w:r>
      <w:r>
        <w:rPr>
          <w:rFonts w:ascii="Arial" w:eastAsia="Arial" w:hAnsi="Arial" w:cs="Arial"/>
        </w:rPr>
        <w:t>frican region</w:t>
      </w:r>
      <w:r w:rsidRPr="0005211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</w:t>
      </w:r>
      <w:r w:rsidRPr="00052117">
        <w:rPr>
          <w:rFonts w:ascii="Arial" w:eastAsia="Arial" w:hAnsi="Arial" w:cs="Arial"/>
        </w:rPr>
        <w:t xml:space="preserve">ember </w:t>
      </w:r>
      <w:r>
        <w:rPr>
          <w:rFonts w:ascii="Arial" w:eastAsia="Arial" w:hAnsi="Arial" w:cs="Arial"/>
        </w:rPr>
        <w:t>S</w:t>
      </w:r>
      <w:r w:rsidRPr="00052117">
        <w:rPr>
          <w:rFonts w:ascii="Arial" w:eastAsia="Arial" w:hAnsi="Arial" w:cs="Arial"/>
        </w:rPr>
        <w:t>tate, reporting up until and including 31</w:t>
      </w:r>
      <w:r>
        <w:rPr>
          <w:rFonts w:ascii="Arial" w:eastAsia="Arial" w:hAnsi="Arial" w:cs="Arial"/>
        </w:rPr>
        <w:t xml:space="preserve"> </w:t>
      </w:r>
      <w:r w:rsidRPr="00052117">
        <w:rPr>
          <w:rFonts w:ascii="Arial" w:eastAsia="Arial" w:hAnsi="Arial" w:cs="Arial"/>
        </w:rPr>
        <w:t>October, before further inclusion criteria for analysis</w:t>
      </w:r>
      <w:r>
        <w:rPr>
          <w:rFonts w:ascii="Arial" w:eastAsia="Arial" w:hAnsi="Arial" w:cs="Arial"/>
        </w:rPr>
        <w:t xml:space="preserve"> applied</w:t>
      </w:r>
      <w:r w:rsidRPr="00052117">
        <w:rPr>
          <w:rFonts w:ascii="Arial" w:eastAsia="Arial" w:hAnsi="Arial" w:cs="Arial"/>
        </w:rPr>
        <w:t xml:space="preserve"> (See Figure 1) (N=116304)</w:t>
      </w:r>
    </w:p>
    <w:tbl>
      <w:tblPr>
        <w:tblW w:w="18782" w:type="dxa"/>
        <w:tblLayout w:type="fixed"/>
        <w:tblLook w:val="0400" w:firstRow="0" w:lastRow="0" w:firstColumn="0" w:lastColumn="0" w:noHBand="0" w:noVBand="1"/>
      </w:tblPr>
      <w:tblGrid>
        <w:gridCol w:w="3005"/>
        <w:gridCol w:w="1473"/>
        <w:gridCol w:w="1768"/>
        <w:gridCol w:w="1277"/>
        <w:gridCol w:w="1277"/>
        <w:gridCol w:w="943"/>
        <w:gridCol w:w="1984"/>
        <w:gridCol w:w="1787"/>
        <w:gridCol w:w="2003"/>
        <w:gridCol w:w="1709"/>
        <w:gridCol w:w="1556"/>
      </w:tblGrid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b/>
              </w:rPr>
              <w:t>Country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Cases</w:t>
            </w:r>
            <w:r w:rsidRPr="00052117">
              <w:rPr>
                <w:rFonts w:ascii="Arial" w:eastAsia="Arial" w:hAnsi="Arial" w:cs="Arial"/>
                <w:b/>
                <w:vertAlign w:val="superscript"/>
              </w:rPr>
              <w:t xml:space="preserve">* </w:t>
            </w:r>
            <w:r w:rsidRPr="00052117">
              <w:rPr>
                <w:rFonts w:ascii="Arial" w:eastAsia="Arial" w:hAnsi="Arial" w:cs="Arial"/>
                <w:b/>
              </w:rPr>
              <w:t>(N)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Recovered</w:t>
            </w:r>
            <w:r w:rsidRPr="00052117">
              <w:rPr>
                <w:rFonts w:ascii="Arial" w:eastAsia="Arial" w:hAnsi="Arial" w:cs="Arial"/>
                <w:b/>
                <w:vertAlign w:val="superscript"/>
              </w:rPr>
              <w:t>†</w:t>
            </w:r>
            <w:r w:rsidRPr="00052117">
              <w:rPr>
                <w:rFonts w:ascii="Arial" w:eastAsia="Arial" w:hAnsi="Arial" w:cs="Arial"/>
                <w:b/>
              </w:rPr>
              <w:t xml:space="preserve"> (n)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Dead (n)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Alive (n)</w:t>
            </w:r>
            <w:r w:rsidRPr="00E15077">
              <w:rPr>
                <w:rFonts w:ascii="Arial" w:eastAsia="Arial" w:hAnsi="Arial" w:cs="Arial"/>
                <w:b/>
                <w:vertAlign w:val="superscript"/>
              </w:rPr>
              <w:t>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CFR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Healthcare worker cases (N)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Healthcare worker deaths (n)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Healthcare worker cases (%)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CFR among healthcare workers (%)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052117">
              <w:rPr>
                <w:rFonts w:ascii="Arial" w:eastAsia="Arial" w:hAnsi="Arial" w:cs="Arial"/>
                <w:b/>
              </w:rPr>
              <w:t>Incidence per 100000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Burkina Faso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1461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62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807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4.24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143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9.79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0.70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Democratic Republic of Congo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11351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10870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4.24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1.95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6.33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1.27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Guinea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12333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12260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775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6.28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9.39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Kenya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55867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6972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1,013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6974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1679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3.01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1.13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10.39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Mauritius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424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26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6.02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3.85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3.40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Namibia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12761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607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12546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535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4.19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50.22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Niger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1217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1035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1127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7.4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178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14.63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0.50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Sao Tome and Principe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948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932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43.26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Eswatini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5916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2594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2594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321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5.43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0.93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50.99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Chad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1275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1181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0.08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0.78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i/>
                <w:color w:val="000000"/>
              </w:rPr>
            </w:pPr>
            <w:r w:rsidRPr="00052117">
              <w:rPr>
                <w:rFonts w:ascii="Arial" w:eastAsia="Arial" w:hAnsi="Arial" w:cs="Arial"/>
                <w:i/>
                <w:color w:val="000000"/>
              </w:rPr>
              <w:t>Uganda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12743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12597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77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0.6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1.3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r w:rsidRPr="00052117">
              <w:rPr>
                <w:rFonts w:ascii="Arial" w:eastAsia="Arial" w:hAnsi="Arial" w:cs="Arial"/>
                <w:color w:val="000000"/>
              </w:rPr>
              <w:t>2.79</w:t>
            </w:r>
          </w:p>
        </w:tc>
      </w:tr>
      <w:tr w:rsidR="00D03B12" w:rsidRPr="00052117" w:rsidTr="002205F3">
        <w:trPr>
          <w:trHeight w:val="271"/>
        </w:trPr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Total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116304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11799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2166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62312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1.86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3956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47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3.40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1.19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052117">
              <w:rPr>
                <w:rFonts w:ascii="Arial" w:eastAsia="Arial" w:hAnsi="Arial" w:cs="Arial"/>
                <w:b/>
                <w:color w:val="000000"/>
              </w:rPr>
              <w:t>43.25</w:t>
            </w:r>
          </w:p>
        </w:tc>
      </w:tr>
      <w:tr w:rsidR="00D03B12" w:rsidRPr="00052117" w:rsidTr="002205F3">
        <w:trPr>
          <w:trHeight w:val="271"/>
        </w:trPr>
        <w:tc>
          <w:tcPr>
            <w:tcW w:w="18782" w:type="dxa"/>
            <w:gridSpan w:val="11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bottom"/>
          </w:tcPr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*Confirmed cases reported 21</w:t>
            </w:r>
            <w:r w:rsidRPr="00052117">
              <w:rPr>
                <w:rFonts w:ascii="Arial" w:eastAsia="Arial" w:hAnsi="Arial" w:cs="Arial"/>
                <w:vertAlign w:val="superscript"/>
              </w:rPr>
              <w:t>st</w:t>
            </w:r>
            <w:r w:rsidRPr="00052117">
              <w:rPr>
                <w:rFonts w:ascii="Arial" w:eastAsia="Arial" w:hAnsi="Arial" w:cs="Arial"/>
              </w:rPr>
              <w:t xml:space="preserve"> March-</w:t>
            </w:r>
            <w:r>
              <w:rPr>
                <w:rFonts w:ascii="Arial" w:eastAsia="Arial" w:hAnsi="Arial" w:cs="Arial"/>
              </w:rPr>
              <w:t>3</w:t>
            </w:r>
            <w:r w:rsidRPr="00052117">
              <w:rPr>
                <w:rFonts w:ascii="Arial" w:eastAsia="Arial" w:hAnsi="Arial" w:cs="Arial"/>
              </w:rPr>
              <w:t>1</w:t>
            </w:r>
            <w:r w:rsidRPr="00052117">
              <w:rPr>
                <w:rFonts w:ascii="Arial" w:eastAsia="Arial" w:hAnsi="Arial" w:cs="Arial"/>
                <w:vertAlign w:val="superscript"/>
              </w:rPr>
              <w:t>st</w:t>
            </w:r>
            <w:r w:rsidRPr="00052117">
              <w:rPr>
                <w:rFonts w:ascii="Arial" w:eastAsia="Arial" w:hAnsi="Arial" w:cs="Arial"/>
              </w:rPr>
              <w:t xml:space="preserve"> October 2020 </w:t>
            </w:r>
          </w:p>
          <w:p w:rsidR="00D03B12" w:rsidRDefault="00D03B12" w:rsidP="002205F3">
            <w:pPr>
              <w:spacing w:line="360" w:lineRule="auto"/>
              <w:rPr>
                <w:rFonts w:ascii="Arial" w:eastAsia="Arial" w:hAnsi="Arial" w:cs="Arial"/>
              </w:rPr>
            </w:pPr>
            <w:r w:rsidRPr="00052117">
              <w:rPr>
                <w:rFonts w:ascii="Arial" w:eastAsia="Arial" w:hAnsi="Arial" w:cs="Arial"/>
              </w:rPr>
              <w:t>†Recovery status missing for Sao Tome and Principe and Uganda</w:t>
            </w:r>
          </w:p>
          <w:p w:rsidR="00D03B12" w:rsidRPr="00052117" w:rsidRDefault="00D03B12" w:rsidP="002205F3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‡ Recovered cases are included in Alive count. Alive and dead sum to total cases.</w:t>
            </w:r>
          </w:p>
        </w:tc>
      </w:tr>
    </w:tbl>
    <w:p w:rsidR="00A6169B" w:rsidRDefault="00D03B12"/>
    <w:sectPr w:rsidR="00A6169B" w:rsidSect="00D03B1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12"/>
    <w:rsid w:val="002A6D17"/>
    <w:rsid w:val="008A5A28"/>
    <w:rsid w:val="00AA445B"/>
    <w:rsid w:val="00AF5501"/>
    <w:rsid w:val="00D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622784"/>
  <w14:defaultImageDpi w14:val="32767"/>
  <w15:chartTrackingRefBased/>
  <w15:docId w15:val="{DE8A2A6A-063C-6F4C-9423-EAAD995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B12"/>
    <w:rPr>
      <w:rFonts w:ascii="Times New Roman" w:eastAsia="Times New Roman" w:hAnsi="Times New Roman" w:cs="Times New Roman"/>
      <w:lang w:val="en-ZA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Farham</dc:creator>
  <cp:keywords/>
  <dc:description/>
  <cp:lastModifiedBy>Bridget Farham</cp:lastModifiedBy>
  <cp:revision>1</cp:revision>
  <dcterms:created xsi:type="dcterms:W3CDTF">2021-02-02T08:11:00Z</dcterms:created>
  <dcterms:modified xsi:type="dcterms:W3CDTF">2021-02-02T08:11:00Z</dcterms:modified>
</cp:coreProperties>
</file>