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6AB9" w14:textId="77777777" w:rsidR="001A2F05" w:rsidRDefault="001A2F05" w:rsidP="001A2F05">
      <w:pPr>
        <w:ind w:left="-142"/>
        <w:rPr>
          <w:b/>
          <w:color w:val="222222"/>
          <w:sz w:val="20"/>
          <w:szCs w:val="20"/>
          <w:lang w:val="en-US"/>
        </w:rPr>
      </w:pPr>
      <w:r>
        <w:rPr>
          <w:b/>
          <w:color w:val="222222"/>
          <w:sz w:val="20"/>
          <w:szCs w:val="20"/>
          <w:lang w:val="en-US"/>
        </w:rPr>
        <w:t>Supplementary table</w:t>
      </w:r>
    </w:p>
    <w:p w14:paraId="17E52ED3" w14:textId="77777777" w:rsidR="001A2F05" w:rsidRDefault="001A2F05" w:rsidP="001A2F05">
      <w:pPr>
        <w:ind w:left="-142"/>
        <w:rPr>
          <w:b/>
          <w:i/>
          <w:color w:val="222222"/>
          <w:sz w:val="20"/>
          <w:szCs w:val="20"/>
          <w:lang w:val="en-US"/>
        </w:rPr>
      </w:pPr>
      <w:r>
        <w:rPr>
          <w:b/>
          <w:i/>
          <w:color w:val="222222"/>
          <w:sz w:val="20"/>
          <w:szCs w:val="20"/>
          <w:lang w:val="en-US"/>
        </w:rPr>
        <w:t>Comparison of COVID (-) and COVID (+) Surgical and Intervention Patients</w:t>
      </w:r>
    </w:p>
    <w:p w14:paraId="4E42128B" w14:textId="77777777" w:rsidR="001A2F05" w:rsidRDefault="001A2F05" w:rsidP="001A2F05">
      <w:pPr>
        <w:ind w:left="-142"/>
        <w:rPr>
          <w:color w:val="000000"/>
          <w:sz w:val="20"/>
          <w:szCs w:val="20"/>
          <w:lang w:val="en-US"/>
        </w:rPr>
      </w:pPr>
    </w:p>
    <w:tbl>
      <w:tblPr>
        <w:tblW w:w="11490" w:type="dxa"/>
        <w:tblInd w:w="-1035" w:type="dxa"/>
        <w:tblLayout w:type="fixed"/>
        <w:tblLook w:val="0400" w:firstRow="0" w:lastRow="0" w:firstColumn="0" w:lastColumn="0" w:noHBand="0" w:noVBand="1"/>
      </w:tblPr>
      <w:tblGrid>
        <w:gridCol w:w="2940"/>
        <w:gridCol w:w="1725"/>
        <w:gridCol w:w="1725"/>
        <w:gridCol w:w="870"/>
        <w:gridCol w:w="1635"/>
        <w:gridCol w:w="1635"/>
        <w:gridCol w:w="960"/>
      </w:tblGrid>
      <w:tr w:rsidR="001A2F05" w14:paraId="180581D8" w14:textId="77777777" w:rsidTr="001A2F05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E39AF" w14:textId="77777777" w:rsidR="001A2F05" w:rsidRDefault="001A2F0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7CA97" w14:textId="77777777" w:rsidR="001A2F05" w:rsidRDefault="001A2F0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COVID (-) </w:t>
            </w:r>
            <w:r>
              <w:rPr>
                <w:b/>
                <w:sz w:val="20"/>
                <w:szCs w:val="20"/>
                <w:lang w:val="en-US"/>
              </w:rPr>
              <w:t>Group I</w:t>
            </w:r>
          </w:p>
          <w:p w14:paraId="7D73B86D" w14:textId="77777777" w:rsidR="001A2F05" w:rsidRDefault="001A2F0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= 1234)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728EE" w14:textId="77777777" w:rsidR="001A2F05" w:rsidRDefault="001A2F0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Preop COVID (+) </w:t>
            </w:r>
            <w:r>
              <w:rPr>
                <w:b/>
                <w:sz w:val="20"/>
                <w:szCs w:val="20"/>
                <w:lang w:val="en-US"/>
              </w:rPr>
              <w:t>Group I</w:t>
            </w:r>
          </w:p>
          <w:p w14:paraId="056A0BB4" w14:textId="77777777" w:rsidR="001A2F05" w:rsidRDefault="001A2F0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= 39)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B8AE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1D6CBF35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01F7B" w14:textId="77777777" w:rsidR="001A2F05" w:rsidRDefault="001A2F0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COVID (-) </w:t>
            </w:r>
            <w:r>
              <w:rPr>
                <w:b/>
                <w:sz w:val="20"/>
                <w:szCs w:val="20"/>
                <w:lang w:val="en-US"/>
              </w:rPr>
              <w:t>Group II</w:t>
            </w:r>
          </w:p>
          <w:p w14:paraId="69F4999B" w14:textId="77777777" w:rsidR="001A2F05" w:rsidRDefault="001A2F0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= 446)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5CD1C" w14:textId="77777777" w:rsidR="001A2F05" w:rsidRDefault="001A2F0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Preop COVID (+) </w:t>
            </w:r>
            <w:r>
              <w:rPr>
                <w:b/>
                <w:sz w:val="20"/>
                <w:szCs w:val="20"/>
                <w:lang w:val="en-US"/>
              </w:rPr>
              <w:t>Group II</w:t>
            </w:r>
          </w:p>
          <w:p w14:paraId="448AAA66" w14:textId="77777777" w:rsidR="001A2F05" w:rsidRDefault="001A2F0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= 28)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F53B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2A479AAC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1A2F05" w14:paraId="390762A4" w14:textId="77777777" w:rsidTr="001A2F05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2E847" w14:textId="77777777" w:rsidR="001A2F05" w:rsidRDefault="001A2F0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Age, years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5B718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 (32–48)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E029D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57 (41–66)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71449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&lt;0 .001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1E06F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 (35–59)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BA05E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62 (51–72)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43021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.001</w:t>
            </w:r>
          </w:p>
        </w:tc>
      </w:tr>
      <w:tr w:rsidR="001A2F05" w14:paraId="7C6D4D2B" w14:textId="77777777" w:rsidTr="001A2F05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002C5" w14:textId="77777777" w:rsidR="001A2F05" w:rsidRDefault="001A2F0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Male,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72D8F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337 (27.3)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BB9A9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 (53.9)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E8C1E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.002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24152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178 (39.9)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0F29A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 (53.6)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7FC0C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.060</w:t>
            </w:r>
          </w:p>
        </w:tc>
      </w:tr>
      <w:tr w:rsidR="001A2F05" w14:paraId="1C2CC01F" w14:textId="77777777" w:rsidTr="001A2F05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671A5" w14:textId="77777777" w:rsidR="001A2F05" w:rsidRDefault="001A2F0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BMI, kg/m</w:t>
            </w:r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286B5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25.7 (21.8–29.1)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69755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26.9 (22.8–30.1)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87FF3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.451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19905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26.2 (23.1–29.0)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82583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26.7 (25.0–28.7)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4047C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.599</w:t>
            </w:r>
          </w:p>
        </w:tc>
      </w:tr>
      <w:tr w:rsidR="001A2F05" w14:paraId="0A497525" w14:textId="77777777" w:rsidTr="001A2F05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32C24" w14:textId="77777777" w:rsidR="001A2F05" w:rsidRDefault="001A2F0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ASA classification &gt; 2,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15AD6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813 (65.9)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6A407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 (76.9)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F63C1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.120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2BA54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323 (70.7)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312D8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 (80.0)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6925A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.438</w:t>
            </w:r>
          </w:p>
        </w:tc>
      </w:tr>
      <w:tr w:rsidR="001A2F05" w14:paraId="188B6B4E" w14:textId="77777777" w:rsidTr="001A2F05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FB5E1" w14:textId="77777777" w:rsidR="001A2F05" w:rsidRDefault="001A2F0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Preoperative comorbidities,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(%)</w:t>
            </w:r>
          </w:p>
          <w:p w14:paraId="3E913D5F" w14:textId="77777777" w:rsidR="001A2F05" w:rsidRDefault="001A2F0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Hypertension</w:t>
            </w:r>
          </w:p>
          <w:p w14:paraId="64EC4E09" w14:textId="77777777" w:rsidR="001A2F05" w:rsidRDefault="001A2F0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DM</w:t>
            </w:r>
          </w:p>
          <w:p w14:paraId="587A9805" w14:textId="77777777" w:rsidR="001A2F05" w:rsidRDefault="001A2F0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CRF</w:t>
            </w:r>
          </w:p>
          <w:p w14:paraId="7226CF1B" w14:textId="77777777" w:rsidR="001A2F05" w:rsidRDefault="001A2F0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CAD</w:t>
            </w:r>
          </w:p>
          <w:p w14:paraId="55E43019" w14:textId="77777777" w:rsidR="001A2F05" w:rsidRDefault="001A2F0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Immunosuppressive drugs</w:t>
            </w:r>
          </w:p>
          <w:p w14:paraId="2E162180" w14:textId="77777777" w:rsidR="001A2F05" w:rsidRDefault="001A2F0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COPD</w:t>
            </w:r>
          </w:p>
          <w:p w14:paraId="220FECFD" w14:textId="77777777" w:rsidR="001A2F05" w:rsidRDefault="001A2F0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Smoking</w:t>
            </w:r>
          </w:p>
          <w:p w14:paraId="5803764F" w14:textId="77777777" w:rsidR="001A2F05" w:rsidRDefault="001A2F0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CVA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8AB8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4F7C7C66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183 (14.8)</w:t>
            </w:r>
          </w:p>
          <w:p w14:paraId="75BD40CC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106 (8.6)</w:t>
            </w:r>
          </w:p>
          <w:p w14:paraId="786BD9F4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 (2.0)</w:t>
            </w:r>
          </w:p>
          <w:p w14:paraId="5C954B9E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74 (6.0)</w:t>
            </w:r>
          </w:p>
          <w:p w14:paraId="6682CE7A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 (5.8)</w:t>
            </w:r>
          </w:p>
          <w:p w14:paraId="4338159B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 (2.0)</w:t>
            </w:r>
          </w:p>
          <w:p w14:paraId="59A1BBBD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206 (16.7)</w:t>
            </w:r>
          </w:p>
          <w:p w14:paraId="2CAC3919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 (1.2)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3C16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24690730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 (48.7)</w:t>
            </w:r>
          </w:p>
          <w:p w14:paraId="6C458531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 (12.8)</w:t>
            </w:r>
          </w:p>
          <w:p w14:paraId="421390F4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 (7.7)</w:t>
            </w:r>
          </w:p>
          <w:p w14:paraId="03ACA6B4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 (10.3)</w:t>
            </w:r>
          </w:p>
          <w:p w14:paraId="1183F480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 (23.1)</w:t>
            </w:r>
          </w:p>
          <w:p w14:paraId="0E479351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 (20.6)</w:t>
            </w:r>
          </w:p>
          <w:p w14:paraId="6AEB4278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 (30.8)</w:t>
            </w:r>
          </w:p>
          <w:p w14:paraId="5E61F0B3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 (7.7)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EDA6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57B8E55A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&lt;0 .001</w:t>
            </w:r>
          </w:p>
          <w:p w14:paraId="6B4384D6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.302</w:t>
            </w:r>
          </w:p>
          <w:p w14:paraId="184BE91A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.052</w:t>
            </w:r>
          </w:p>
          <w:p w14:paraId="333A3887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.416</w:t>
            </w:r>
          </w:p>
          <w:p w14:paraId="5B9761B7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&lt;0 .001</w:t>
            </w:r>
          </w:p>
          <w:p w14:paraId="598C9F0B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&lt;0 .001</w:t>
            </w:r>
          </w:p>
          <w:p w14:paraId="02BE429D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.028</w:t>
            </w:r>
          </w:p>
          <w:p w14:paraId="580E3DCD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.006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5C73B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1C98E02D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126 (28.3)</w:t>
            </w:r>
          </w:p>
          <w:p w14:paraId="2FDCEB9A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 (11.4)</w:t>
            </w:r>
          </w:p>
          <w:p w14:paraId="494730D6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 (2.0)</w:t>
            </w:r>
          </w:p>
          <w:p w14:paraId="4B295CEE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 (13.0)</w:t>
            </w:r>
          </w:p>
          <w:p w14:paraId="0CDEF27A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86 (19.3)</w:t>
            </w:r>
          </w:p>
          <w:p w14:paraId="6008E7E4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 (7.8)</w:t>
            </w:r>
          </w:p>
          <w:p w14:paraId="50B51129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87 (19.5)</w:t>
            </w:r>
          </w:p>
          <w:p w14:paraId="4D602AFC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 (1.8)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DE42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15248C94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 (53.6)</w:t>
            </w:r>
          </w:p>
          <w:p w14:paraId="3631D452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 (21.4)</w:t>
            </w:r>
          </w:p>
          <w:p w14:paraId="30AB1D5D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 (10.7)</w:t>
            </w:r>
          </w:p>
          <w:p w14:paraId="2F924EE1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 (32.1)</w:t>
            </w:r>
          </w:p>
          <w:p w14:paraId="1AE8DC44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 (25.0)</w:t>
            </w:r>
          </w:p>
          <w:p w14:paraId="7256DDF7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 (25.0)</w:t>
            </w:r>
          </w:p>
          <w:p w14:paraId="098E2E97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 (17.9)</w:t>
            </w:r>
          </w:p>
          <w:p w14:paraId="2E9E1306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(7.1)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A18E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73DE65ED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.001</w:t>
            </w:r>
          </w:p>
          <w:p w14:paraId="35F92EC9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.107</w:t>
            </w:r>
          </w:p>
          <w:p w14:paraId="33849370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.013</w:t>
            </w:r>
          </w:p>
          <w:p w14:paraId="0018EEEE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.003</w:t>
            </w:r>
          </w:p>
          <w:p w14:paraId="5792DFA0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.383</w:t>
            </w:r>
          </w:p>
          <w:p w14:paraId="3899DBB0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.002</w:t>
            </w:r>
          </w:p>
          <w:p w14:paraId="018DB8E5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1.000</w:t>
            </w:r>
          </w:p>
          <w:p w14:paraId="34FAE762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.157</w:t>
            </w:r>
          </w:p>
        </w:tc>
      </w:tr>
      <w:tr w:rsidR="001A2F05" w14:paraId="362307B9" w14:textId="77777777" w:rsidTr="001A2F05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04001" w14:textId="77777777" w:rsidR="001A2F05" w:rsidRDefault="001A2F0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Preoperative laboratories</w:t>
            </w:r>
          </w:p>
          <w:p w14:paraId="19C42C16" w14:textId="77777777" w:rsidR="001A2F05" w:rsidRDefault="001A2F0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WBC</w:t>
            </w:r>
          </w:p>
          <w:p w14:paraId="15DC0F54" w14:textId="77777777" w:rsidR="001A2F05" w:rsidRDefault="001A2F0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Lymphocyte count</w:t>
            </w:r>
          </w:p>
          <w:p w14:paraId="3644B9FF" w14:textId="77777777" w:rsidR="001A2F05" w:rsidRDefault="001A2F0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NLCR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331F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6DD5EAAD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8.6 (6.8–10.9)</w:t>
            </w:r>
          </w:p>
          <w:p w14:paraId="4298D473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1.84 (1.43–2.33)</w:t>
            </w:r>
          </w:p>
          <w:p w14:paraId="7C1B254D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3.2 (2.0–4.7)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FFE5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2ECFD706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7.7 (5.9–10.7)</w:t>
            </w:r>
          </w:p>
          <w:p w14:paraId="7678CB0E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1.30 (0.80–1.90)</w:t>
            </w:r>
          </w:p>
          <w:p w14:paraId="1312DC0A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5.5 (3.0–13.5)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1A2A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14488F62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.018</w:t>
            </w:r>
          </w:p>
          <w:p w14:paraId="3EB15913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&lt;0 .001</w:t>
            </w:r>
          </w:p>
          <w:p w14:paraId="34B309C4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&lt;0 .001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7234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014C121B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7.7 (6.0–9.9)</w:t>
            </w:r>
          </w:p>
          <w:p w14:paraId="5E5F47C9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1.72 (1.22–2.32)</w:t>
            </w:r>
          </w:p>
          <w:p w14:paraId="0851C9C8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2.8 (1.9–4.8)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C1D7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32373A2F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7.7 (5.9–10.7)</w:t>
            </w:r>
          </w:p>
          <w:p w14:paraId="0BBFF831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1.30 (0.80–1.90)</w:t>
            </w:r>
          </w:p>
          <w:p w14:paraId="5EA11E7B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5.4 (2.9–9.4)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34BD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3CC3319E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.911</w:t>
            </w:r>
          </w:p>
          <w:p w14:paraId="27535703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.006</w:t>
            </w:r>
          </w:p>
          <w:p w14:paraId="433DD50C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.011</w:t>
            </w:r>
          </w:p>
        </w:tc>
      </w:tr>
      <w:tr w:rsidR="001A2F05" w14:paraId="39825A15" w14:textId="77777777" w:rsidTr="001A2F05">
        <w:trPr>
          <w:trHeight w:val="1245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C204A" w14:textId="77777777" w:rsidR="001A2F05" w:rsidRDefault="001A2F0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Postoperative laboratories</w:t>
            </w:r>
          </w:p>
          <w:p w14:paraId="159FC028" w14:textId="77777777" w:rsidR="001A2F05" w:rsidRDefault="001A2F0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WBC</w:t>
            </w:r>
          </w:p>
          <w:p w14:paraId="2C9B6904" w14:textId="77777777" w:rsidR="001A2F05" w:rsidRDefault="001A2F0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Lymphocyte count</w:t>
            </w:r>
          </w:p>
          <w:p w14:paraId="611897EA" w14:textId="77777777" w:rsidR="001A2F05" w:rsidRDefault="001A2F0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NLCR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E791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2A286D4F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11.3 (8.9–13.9)</w:t>
            </w:r>
          </w:p>
          <w:p w14:paraId="6BF63C0C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1.48 (1.03–1.97)</w:t>
            </w:r>
          </w:p>
          <w:p w14:paraId="606A9C15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6.0 (3.9–9.3)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B80E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1E8BD68B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10.0 (7.4–17.0)</w:t>
            </w:r>
          </w:p>
          <w:p w14:paraId="75B243DF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1.00 (0.72–1.68)</w:t>
            </w:r>
          </w:p>
          <w:p w14:paraId="52E2B6C0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9.1 (4.2–23.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9)</w:t>
            </w:r>
            <w:r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#</w:t>
            </w:r>
            <w:proofErr w:type="gramEnd"/>
            <w:r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,§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BD96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653B1B86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.852</w:t>
            </w:r>
          </w:p>
          <w:p w14:paraId="279BE36F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.006</w:t>
            </w:r>
          </w:p>
          <w:p w14:paraId="2270E78D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.01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D7F9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3DBD5DCC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8.2 (6.4–11.1)</w:t>
            </w:r>
          </w:p>
          <w:p w14:paraId="24C43BFE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1.42 (0.93–1.91)</w:t>
            </w:r>
          </w:p>
          <w:p w14:paraId="173E53CC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3.9 (2.4–8.0)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6863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15AE8F69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7.8 (6.3–11.6)</w:t>
            </w:r>
          </w:p>
          <w:p w14:paraId="64C062C5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1.34 (0.86–1.84)</w:t>
            </w:r>
          </w:p>
          <w:p w14:paraId="4399FF2D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4.6 (2.8–7.7)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3280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  <w:p w14:paraId="5EA1011C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.878</w:t>
            </w:r>
          </w:p>
          <w:p w14:paraId="61B47A3E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.548</w:t>
            </w:r>
          </w:p>
          <w:p w14:paraId="63C28C04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.992</w:t>
            </w:r>
          </w:p>
        </w:tc>
      </w:tr>
      <w:tr w:rsidR="001A2F05" w14:paraId="698C3D6C" w14:textId="77777777" w:rsidTr="001A2F05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6AF4B" w14:textId="77777777" w:rsidR="001A2F05" w:rsidRDefault="001A2F0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Postoperative COVID (+) patients,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FBE04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 (0.2)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97D43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—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5D10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140A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 (0.4)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FACAE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—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8287" w14:textId="77777777" w:rsidR="001A2F05" w:rsidRDefault="001A2F05">
            <w:pPr>
              <w:rPr>
                <w:sz w:val="20"/>
                <w:szCs w:val="20"/>
                <w:lang w:val="en-US"/>
              </w:rPr>
            </w:pPr>
          </w:p>
        </w:tc>
      </w:tr>
      <w:tr w:rsidR="001A2F05" w14:paraId="4FDBE9AA" w14:textId="77777777" w:rsidTr="001A2F05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D43E8" w14:textId="77777777" w:rsidR="001A2F05" w:rsidRDefault="001A2F0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ICU requirement,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2F5CC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 (2.3)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C56C6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 (46.2)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99E3B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&lt;0 .001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80F08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 (2.0)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57855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 (20.0)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600DD" w14:textId="77777777" w:rsidR="001A2F05" w:rsidRDefault="001A2F0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1A2F05" w14:paraId="05D39192" w14:textId="77777777" w:rsidTr="001A2F05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FEE42" w14:textId="77777777" w:rsidR="001A2F05" w:rsidRDefault="001A2F0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Mortality,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4291B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 (0.0)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99D17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(2.6)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C629B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.805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FB9B1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3658F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(3.6)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C09DF" w14:textId="77777777" w:rsidR="001A2F05" w:rsidRDefault="001A2F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.898</w:t>
            </w:r>
          </w:p>
        </w:tc>
      </w:tr>
    </w:tbl>
    <w:p w14:paraId="2084548D" w14:textId="77777777" w:rsidR="001A2F05" w:rsidRDefault="001A2F05" w:rsidP="001A2F05">
      <w:pPr>
        <w:ind w:right="855"/>
        <w:jc w:val="both"/>
        <w:rPr>
          <w:color w:val="000000"/>
          <w:sz w:val="20"/>
          <w:szCs w:val="20"/>
          <w:lang w:val="en-US"/>
        </w:rPr>
      </w:pPr>
      <w:r>
        <w:rPr>
          <w:b/>
          <w:color w:val="222222"/>
          <w:sz w:val="20"/>
          <w:szCs w:val="20"/>
          <w:lang w:val="en-US"/>
        </w:rPr>
        <w:t>CAD</w:t>
      </w:r>
      <w:r>
        <w:rPr>
          <w:color w:val="222222"/>
          <w:sz w:val="20"/>
          <w:szCs w:val="20"/>
          <w:lang w:val="en-US"/>
        </w:rPr>
        <w:t>: coronary arterial disease, </w:t>
      </w:r>
      <w:r>
        <w:rPr>
          <w:b/>
          <w:color w:val="000000"/>
          <w:sz w:val="20"/>
          <w:szCs w:val="20"/>
          <w:lang w:val="en-US"/>
        </w:rPr>
        <w:t>COPD</w:t>
      </w:r>
      <w:r>
        <w:rPr>
          <w:color w:val="000000"/>
          <w:sz w:val="20"/>
          <w:szCs w:val="20"/>
          <w:lang w:val="en-US"/>
        </w:rPr>
        <w:t xml:space="preserve">: chronic obstructive pulmonary disease, </w:t>
      </w:r>
      <w:r>
        <w:rPr>
          <w:b/>
          <w:color w:val="000000"/>
          <w:sz w:val="20"/>
          <w:szCs w:val="20"/>
          <w:lang w:val="en-US"/>
        </w:rPr>
        <w:t>CRF</w:t>
      </w:r>
      <w:r>
        <w:rPr>
          <w:color w:val="000000"/>
          <w:sz w:val="20"/>
          <w:szCs w:val="20"/>
          <w:lang w:val="en-US"/>
        </w:rPr>
        <w:t xml:space="preserve">: chronic renal failure, </w:t>
      </w:r>
      <w:r>
        <w:rPr>
          <w:b/>
          <w:color w:val="000000"/>
          <w:sz w:val="20"/>
          <w:szCs w:val="20"/>
          <w:lang w:val="en-US"/>
        </w:rPr>
        <w:t>CVA</w:t>
      </w:r>
      <w:r>
        <w:rPr>
          <w:color w:val="000000"/>
          <w:sz w:val="20"/>
          <w:szCs w:val="20"/>
          <w:lang w:val="en-US"/>
        </w:rPr>
        <w:t xml:space="preserve">: cerebrovascular accident, </w:t>
      </w:r>
      <w:r>
        <w:rPr>
          <w:b/>
          <w:color w:val="000000"/>
          <w:sz w:val="20"/>
          <w:szCs w:val="20"/>
          <w:lang w:val="en-US"/>
        </w:rPr>
        <w:t>DM</w:t>
      </w:r>
      <w:r>
        <w:rPr>
          <w:color w:val="000000"/>
          <w:sz w:val="20"/>
          <w:szCs w:val="20"/>
          <w:lang w:val="en-US"/>
        </w:rPr>
        <w:t xml:space="preserve">: diabetes mellitus, </w:t>
      </w:r>
      <w:r>
        <w:rPr>
          <w:b/>
          <w:sz w:val="20"/>
          <w:szCs w:val="20"/>
          <w:lang w:val="en-US"/>
        </w:rPr>
        <w:t>Group III</w:t>
      </w:r>
      <w:r>
        <w:rPr>
          <w:color w:val="000000"/>
          <w:sz w:val="20"/>
          <w:szCs w:val="20"/>
          <w:lang w:val="en-US"/>
        </w:rPr>
        <w:t xml:space="preserve">: hospitalized COVID patients, </w:t>
      </w:r>
      <w:r>
        <w:rPr>
          <w:b/>
          <w:color w:val="000000"/>
          <w:sz w:val="20"/>
          <w:szCs w:val="20"/>
          <w:lang w:val="en-US"/>
        </w:rPr>
        <w:t>ICU</w:t>
      </w:r>
      <w:r>
        <w:rPr>
          <w:color w:val="000000"/>
          <w:sz w:val="20"/>
          <w:szCs w:val="20"/>
          <w:lang w:val="en-US"/>
        </w:rPr>
        <w:t xml:space="preserve">: intensive care unit, </w:t>
      </w:r>
      <w:r>
        <w:rPr>
          <w:b/>
          <w:color w:val="000000"/>
          <w:sz w:val="20"/>
          <w:szCs w:val="20"/>
          <w:lang w:val="en-US"/>
        </w:rPr>
        <w:t>NLCR</w:t>
      </w:r>
      <w:r>
        <w:rPr>
          <w:color w:val="000000"/>
          <w:sz w:val="20"/>
          <w:szCs w:val="20"/>
          <w:lang w:val="en-US"/>
        </w:rPr>
        <w:t>: neutrophil-lymphocyte count ratio,</w:t>
      </w:r>
      <w:r>
        <w:rPr>
          <w:b/>
          <w:color w:val="000000"/>
          <w:sz w:val="20"/>
          <w:szCs w:val="20"/>
          <w:lang w:val="en-US"/>
        </w:rPr>
        <w:t> </w:t>
      </w:r>
      <w:r>
        <w:rPr>
          <w:b/>
          <w:sz w:val="20"/>
          <w:szCs w:val="20"/>
          <w:lang w:val="en-US"/>
        </w:rPr>
        <w:t>Group II</w:t>
      </w:r>
      <w:r>
        <w:rPr>
          <w:color w:val="000000"/>
          <w:sz w:val="20"/>
          <w:szCs w:val="20"/>
          <w:lang w:val="en-US"/>
        </w:rPr>
        <w:t>: intervention</w:t>
      </w:r>
      <w:r>
        <w:rPr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patients, </w:t>
      </w:r>
      <w:r>
        <w:rPr>
          <w:b/>
          <w:sz w:val="20"/>
          <w:szCs w:val="20"/>
          <w:lang w:val="en-US"/>
        </w:rPr>
        <w:t>Group I</w:t>
      </w:r>
      <w:r>
        <w:rPr>
          <w:color w:val="000000"/>
          <w:sz w:val="20"/>
          <w:szCs w:val="20"/>
          <w:lang w:val="en-US"/>
        </w:rPr>
        <w:t>: surgical</w:t>
      </w:r>
      <w:r>
        <w:rPr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patients, </w:t>
      </w:r>
      <w:r>
        <w:rPr>
          <w:b/>
          <w:color w:val="000000"/>
          <w:sz w:val="20"/>
          <w:szCs w:val="20"/>
          <w:lang w:val="en-US"/>
        </w:rPr>
        <w:t>WBC</w:t>
      </w:r>
      <w:r>
        <w:rPr>
          <w:color w:val="000000"/>
          <w:sz w:val="20"/>
          <w:szCs w:val="20"/>
          <w:lang w:val="en-US"/>
        </w:rPr>
        <w:t xml:space="preserve">: white blood cell, </w:t>
      </w:r>
      <w:r>
        <w:rPr>
          <w:b/>
          <w:color w:val="000000"/>
          <w:sz w:val="20"/>
          <w:szCs w:val="20"/>
          <w:vertAlign w:val="superscript"/>
          <w:lang w:val="en-US"/>
        </w:rPr>
        <w:t>#</w:t>
      </w:r>
      <w:r>
        <w:rPr>
          <w:color w:val="000000"/>
          <w:sz w:val="20"/>
          <w:szCs w:val="20"/>
          <w:lang w:val="en-US"/>
        </w:rPr>
        <w:t xml:space="preserve">Wilcoxon signed rank exact tests, </w:t>
      </w:r>
      <w:r>
        <w:rPr>
          <w:i/>
          <w:color w:val="000000"/>
          <w:sz w:val="20"/>
          <w:szCs w:val="20"/>
          <w:lang w:val="en-US"/>
        </w:rPr>
        <w:t>p</w:t>
      </w:r>
      <w:r>
        <w:rPr>
          <w:color w:val="000000"/>
          <w:sz w:val="20"/>
          <w:szCs w:val="20"/>
          <w:lang w:val="en-US"/>
        </w:rPr>
        <w:t xml:space="preserve"> = 0.005 (preoperative NLCR and postoperative NLCR)</w:t>
      </w:r>
    </w:p>
    <w:p w14:paraId="0FAC55C8" w14:textId="77777777" w:rsidR="001A2F05" w:rsidRDefault="001A2F05" w:rsidP="001A2F05">
      <w:pPr>
        <w:rPr>
          <w:sz w:val="20"/>
          <w:szCs w:val="20"/>
          <w:lang w:val="en-US"/>
        </w:rPr>
      </w:pPr>
    </w:p>
    <w:p w14:paraId="616381BE" w14:textId="77777777" w:rsidR="001A2F05" w:rsidRDefault="001A2F05" w:rsidP="001A2F05">
      <w:pPr>
        <w:rPr>
          <w:color w:val="000000"/>
          <w:sz w:val="20"/>
          <w:szCs w:val="20"/>
          <w:lang w:val="en-US"/>
        </w:rPr>
      </w:pPr>
    </w:p>
    <w:p w14:paraId="417536AE" w14:textId="77777777" w:rsidR="001A2F05" w:rsidRDefault="001A2F05" w:rsidP="001A2F05">
      <w:pPr>
        <w:rPr>
          <w:color w:val="000000"/>
          <w:sz w:val="20"/>
          <w:szCs w:val="20"/>
          <w:lang w:val="en-US"/>
        </w:rPr>
      </w:pPr>
    </w:p>
    <w:p w14:paraId="48BF9730" w14:textId="77777777" w:rsidR="001A2F05" w:rsidRDefault="001A2F05" w:rsidP="001A2F05">
      <w:pPr>
        <w:rPr>
          <w:color w:val="000000"/>
          <w:sz w:val="20"/>
          <w:szCs w:val="20"/>
          <w:lang w:val="en-US"/>
        </w:rPr>
      </w:pPr>
    </w:p>
    <w:p w14:paraId="7917EE71" w14:textId="77777777" w:rsidR="001A2F05" w:rsidRDefault="001A2F05" w:rsidP="001A2F05">
      <w:pPr>
        <w:rPr>
          <w:b/>
          <w:color w:val="222222"/>
          <w:sz w:val="20"/>
          <w:szCs w:val="20"/>
          <w:lang w:val="en-US"/>
        </w:rPr>
      </w:pPr>
    </w:p>
    <w:p w14:paraId="2623555F" w14:textId="77777777" w:rsidR="001A2F05" w:rsidRDefault="001A2F05" w:rsidP="001A2F05">
      <w:pPr>
        <w:rPr>
          <w:b/>
          <w:color w:val="222222"/>
          <w:sz w:val="20"/>
          <w:szCs w:val="20"/>
          <w:lang w:val="en-US"/>
        </w:rPr>
      </w:pPr>
    </w:p>
    <w:p w14:paraId="6A70A06A" w14:textId="77777777" w:rsidR="00C762D6" w:rsidRDefault="00C762D6"/>
    <w:sectPr w:rsidR="00C7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MDU0MLEwNTEztjBQ0lEKTi0uzszPAykwrAUAGVFNVywAAAA="/>
  </w:docVars>
  <w:rsids>
    <w:rsidRoot w:val="001A2F05"/>
    <w:rsid w:val="001A2F05"/>
    <w:rsid w:val="00C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5A95"/>
  <w15:chartTrackingRefBased/>
  <w15:docId w15:val="{B7443029-FCBD-4EAE-A9F4-7A812131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aktas</dc:creator>
  <cp:keywords/>
  <dc:description/>
  <cp:lastModifiedBy>serap aktas</cp:lastModifiedBy>
  <cp:revision>1</cp:revision>
  <dcterms:created xsi:type="dcterms:W3CDTF">2021-09-08T20:05:00Z</dcterms:created>
  <dcterms:modified xsi:type="dcterms:W3CDTF">2021-09-08T20:05:00Z</dcterms:modified>
</cp:coreProperties>
</file>