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AC8053" w14:textId="77777777" w:rsidR="005B63D8" w:rsidRPr="000C0953" w:rsidRDefault="005B63D8" w:rsidP="005B63D8">
      <w:pPr>
        <w:pStyle w:val="Heading1"/>
        <w:spacing w:line="48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C095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Appendix </w:t>
      </w:r>
    </w:p>
    <w:p w14:paraId="71C3BC20" w14:textId="77777777" w:rsidR="005B63D8" w:rsidRPr="000C0953" w:rsidRDefault="005B63D8" w:rsidP="005B63D8">
      <w:pPr>
        <w:pStyle w:val="Heading1"/>
        <w:spacing w:line="480" w:lineRule="auto"/>
        <w:jc w:val="both"/>
        <w:rPr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Blood d</w:t>
      </w:r>
      <w:r w:rsidRPr="000C095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onor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participants</w:t>
      </w:r>
    </w:p>
    <w:p w14:paraId="7D151EDE" w14:textId="77777777" w:rsidR="005B63D8" w:rsidRPr="00204D8D" w:rsidRDefault="005B63D8" w:rsidP="005B63D8">
      <w:pPr>
        <w:spacing w:line="480" w:lineRule="auto"/>
        <w:jc w:val="both"/>
        <w:rPr>
          <w:rFonts w:ascii="Times New Roman" w:hAnsi="Times New Roman" w:cs="Times New Roman"/>
        </w:rPr>
      </w:pPr>
      <w:r w:rsidRPr="00204D8D">
        <w:rPr>
          <w:rFonts w:ascii="Times New Roman" w:hAnsi="Times New Roman" w:cs="Times New Roman"/>
        </w:rPr>
        <w:t xml:space="preserve">The sample population is made up of 9,806 </w:t>
      </w:r>
      <w:r>
        <w:rPr>
          <w:rFonts w:ascii="Times New Roman" w:hAnsi="Times New Roman" w:cs="Times New Roman"/>
        </w:rPr>
        <w:t xml:space="preserve">individuals (9,771 blood donors and 35 living tissue and stem cell donors) </w:t>
      </w:r>
      <w:r w:rsidRPr="00204D8D">
        <w:rPr>
          <w:rFonts w:ascii="Times New Roman" w:hAnsi="Times New Roman" w:cs="Times New Roman"/>
        </w:rPr>
        <w:t xml:space="preserve">who had donated to the New Zealand Blood Service between December </w:t>
      </w:r>
      <w:r>
        <w:rPr>
          <w:rFonts w:ascii="Times New Roman" w:hAnsi="Times New Roman" w:cs="Times New Roman"/>
        </w:rPr>
        <w:t>3</w:t>
      </w:r>
      <w:r w:rsidRPr="008B5686">
        <w:rPr>
          <w:rFonts w:ascii="Times New Roman" w:hAnsi="Times New Roman" w:cs="Times New Roman"/>
          <w:vertAlign w:val="superscript"/>
        </w:rPr>
        <w:t>rd</w:t>
      </w:r>
      <w:r>
        <w:rPr>
          <w:rFonts w:ascii="Times New Roman" w:hAnsi="Times New Roman" w:cs="Times New Roman"/>
        </w:rPr>
        <w:t>, 2020</w:t>
      </w:r>
      <w:r w:rsidRPr="00204D8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and</w:t>
      </w:r>
      <w:r w:rsidRPr="00204D8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January 6th</w:t>
      </w:r>
      <w:r w:rsidRPr="00204D8D">
        <w:rPr>
          <w:rFonts w:ascii="Times New Roman" w:hAnsi="Times New Roman" w:cs="Times New Roman"/>
        </w:rPr>
        <w:t xml:space="preserve">, 2021. </w:t>
      </w:r>
      <w:r>
        <w:rPr>
          <w:rFonts w:ascii="Times New Roman" w:hAnsi="Times New Roman" w:cs="Times New Roman"/>
        </w:rPr>
        <w:t xml:space="preserve">The minimum donor age is 16, and minimum weight is 50 kg. Standard donor exclusions include illness within the previous 28 days as well as </w:t>
      </w:r>
      <w:proofErr w:type="spellStart"/>
      <w:r w:rsidRPr="00D440E9">
        <w:rPr>
          <w:rFonts w:ascii="Times New Roman" w:hAnsi="Times New Roman" w:cs="Times New Roman"/>
        </w:rPr>
        <w:t>vCJD</w:t>
      </w:r>
      <w:proofErr w:type="spellEnd"/>
      <w:r>
        <w:rPr>
          <w:rFonts w:ascii="Times New Roman" w:hAnsi="Times New Roman" w:cs="Times New Roman"/>
        </w:rPr>
        <w:t xml:space="preserve"> risk if domiciled in the UK between 1980-1996. Notable travel and history of a SARS-CoV-2 infection (or contact with a positive case) are recorded prior to collection. Donors are deferred for 28 days after the last known contact with a person with confirmed SARS-CoV-2 infection or resolution of all COVID-19 symptoms. The type of collection centre and donation type are shown (Supplementary Table 1). The age range for blood donation is 16-76 years, with no upper limits for tissue and haematopoietic stem cell donation. </w:t>
      </w:r>
      <w:r w:rsidRPr="00204D8D">
        <w:rPr>
          <w:rFonts w:ascii="Times New Roman" w:hAnsi="Times New Roman" w:cs="Times New Roman"/>
        </w:rPr>
        <w:t xml:space="preserve">The sample population is </w:t>
      </w:r>
      <w:r>
        <w:rPr>
          <w:rFonts w:ascii="Times New Roman" w:hAnsi="Times New Roman" w:cs="Times New Roman"/>
        </w:rPr>
        <w:t>geographically-spread through New </w:t>
      </w:r>
      <w:r w:rsidRPr="00204D8D">
        <w:rPr>
          <w:rFonts w:ascii="Times New Roman" w:hAnsi="Times New Roman" w:cs="Times New Roman"/>
        </w:rPr>
        <w:t xml:space="preserve">Zealand, with sixteen of </w:t>
      </w:r>
      <w:r>
        <w:rPr>
          <w:rFonts w:ascii="Times New Roman" w:hAnsi="Times New Roman" w:cs="Times New Roman"/>
        </w:rPr>
        <w:t>twenty New Zealand Health Board regions</w:t>
      </w:r>
      <w:r w:rsidRPr="00204D8D">
        <w:rPr>
          <w:rFonts w:ascii="Times New Roman" w:hAnsi="Times New Roman" w:cs="Times New Roman"/>
        </w:rPr>
        <w:t xml:space="preserve"> represented</w:t>
      </w:r>
      <w:r>
        <w:rPr>
          <w:rFonts w:ascii="Times New Roman" w:hAnsi="Times New Roman" w:cs="Times New Roman"/>
        </w:rPr>
        <w:t xml:space="preserve"> (Supplementary Figure 1). The</w:t>
      </w:r>
      <w:r w:rsidRPr="00204D8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most populous regions based on the 2018 National census are well covered by the survey population, while the regions not represented (</w:t>
      </w:r>
      <w:r w:rsidRPr="008D7A5C">
        <w:rPr>
          <w:rFonts w:ascii="Times New Roman" w:hAnsi="Times New Roman" w:cs="Times New Roman"/>
        </w:rPr>
        <w:t>Tairawhiti</w:t>
      </w:r>
      <w:r>
        <w:rPr>
          <w:rFonts w:ascii="Times New Roman" w:hAnsi="Times New Roman" w:cs="Times New Roman"/>
        </w:rPr>
        <w:t xml:space="preserve">, </w:t>
      </w:r>
      <w:r w:rsidRPr="008D7A5C">
        <w:rPr>
          <w:rFonts w:ascii="Times New Roman" w:hAnsi="Times New Roman" w:cs="Times New Roman"/>
        </w:rPr>
        <w:t>Whanganui</w:t>
      </w:r>
      <w:r>
        <w:rPr>
          <w:rFonts w:ascii="Times New Roman" w:hAnsi="Times New Roman" w:cs="Times New Roman"/>
        </w:rPr>
        <w:t xml:space="preserve">, </w:t>
      </w:r>
      <w:r w:rsidRPr="008D7A5C">
        <w:rPr>
          <w:rFonts w:ascii="Times New Roman" w:hAnsi="Times New Roman" w:cs="Times New Roman"/>
        </w:rPr>
        <w:t>Nelson Marlborough</w:t>
      </w:r>
      <w:r>
        <w:rPr>
          <w:rFonts w:ascii="Times New Roman" w:hAnsi="Times New Roman" w:cs="Times New Roman"/>
        </w:rPr>
        <w:t xml:space="preserve"> and the </w:t>
      </w:r>
      <w:r w:rsidRPr="008D7A5C">
        <w:rPr>
          <w:rFonts w:ascii="Times New Roman" w:hAnsi="Times New Roman" w:cs="Times New Roman"/>
        </w:rPr>
        <w:t>West Coast</w:t>
      </w:r>
      <w:r>
        <w:rPr>
          <w:rFonts w:ascii="Times New Roman" w:hAnsi="Times New Roman" w:cs="Times New Roman"/>
        </w:rPr>
        <w:t xml:space="preserve">) comprise lower proportions of the New Zealand population (1-2 or 3-4%).   </w:t>
      </w:r>
    </w:p>
    <w:p w14:paraId="2E4E259B" w14:textId="77777777" w:rsidR="005B63D8" w:rsidRDefault="005B63D8" w:rsidP="005B63D8">
      <w:pPr>
        <w:rPr>
          <w:rFonts w:ascii="Times New Roman" w:hAnsi="Times New Roman" w:cs="Times New Roman"/>
        </w:rPr>
      </w:pPr>
    </w:p>
    <w:p w14:paraId="7A3F0F8F" w14:textId="3843654E" w:rsidR="005B63D8" w:rsidRPr="003039AA" w:rsidRDefault="005B63D8" w:rsidP="003039AA">
      <w:pPr>
        <w:spacing w:line="480" w:lineRule="auto"/>
        <w:rPr>
          <w:rFonts w:ascii="Times New Roman" w:hAnsi="Times New Roman" w:cs="Times New Roman"/>
        </w:rPr>
      </w:pPr>
      <w:r w:rsidRPr="00680BA4">
        <w:rPr>
          <w:rFonts w:ascii="Times New Roman" w:hAnsi="Times New Roman" w:cs="Times New Roman"/>
          <w:b/>
        </w:rPr>
        <w:t>Supplementary Table 1.</w:t>
      </w:r>
      <w:r>
        <w:rPr>
          <w:rFonts w:ascii="Times New Roman" w:hAnsi="Times New Roman" w:cs="Times New Roman"/>
        </w:rPr>
        <w:t xml:space="preserve"> Donation venue types for study participants; HPC: Hematopoietic Progenitor Cell</w:t>
      </w: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1435"/>
        <w:gridCol w:w="1530"/>
        <w:gridCol w:w="1440"/>
      </w:tblGrid>
      <w:tr w:rsidR="005B63D8" w14:paraId="3E887985" w14:textId="77777777" w:rsidTr="00B25C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4DD8E" w14:textId="77777777" w:rsidR="005B63D8" w:rsidRDefault="005B63D8" w:rsidP="00B25CD6">
            <w:pPr>
              <w:jc w:val="center"/>
            </w:pPr>
            <w:r>
              <w:t>Venue Type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46D1F" w14:textId="77777777" w:rsidR="005B63D8" w:rsidRDefault="005B63D8" w:rsidP="00B25C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No. of venues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B249D" w14:textId="77777777" w:rsidR="005B63D8" w:rsidRDefault="005B63D8" w:rsidP="00B25C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% donors</w:t>
            </w:r>
          </w:p>
        </w:tc>
      </w:tr>
      <w:tr w:rsidR="005B63D8" w14:paraId="3BB6029A" w14:textId="77777777" w:rsidTr="00B25C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4AABF08" w14:textId="77777777" w:rsidR="005B63D8" w:rsidRDefault="005B63D8" w:rsidP="00B25CD6">
            <w:pPr>
              <w:jc w:val="center"/>
            </w:pPr>
            <w:r>
              <w:t>HPC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56F55F8" w14:textId="77777777" w:rsidR="005B63D8" w:rsidRDefault="005B63D8" w:rsidP="00B25C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B41F08C" w14:textId="77777777" w:rsidR="005B63D8" w:rsidRDefault="005B63D8" w:rsidP="00B25C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0.1%</w:t>
            </w:r>
          </w:p>
        </w:tc>
      </w:tr>
      <w:tr w:rsidR="005B63D8" w14:paraId="1A1A9B81" w14:textId="77777777" w:rsidTr="00B25C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  <w:tcBorders>
              <w:left w:val="single" w:sz="4" w:space="0" w:color="auto"/>
              <w:right w:val="single" w:sz="4" w:space="0" w:color="auto"/>
            </w:tcBorders>
          </w:tcPr>
          <w:p w14:paraId="508E9C52" w14:textId="77777777" w:rsidR="005B63D8" w:rsidRDefault="005B63D8" w:rsidP="00B25CD6">
            <w:pPr>
              <w:jc w:val="center"/>
            </w:pPr>
            <w:r>
              <w:t>Mobile</w:t>
            </w:r>
          </w:p>
        </w:tc>
        <w:tc>
          <w:tcPr>
            <w:tcW w:w="1530" w:type="dxa"/>
            <w:tcBorders>
              <w:left w:val="single" w:sz="4" w:space="0" w:color="auto"/>
              <w:right w:val="single" w:sz="4" w:space="0" w:color="auto"/>
            </w:tcBorders>
          </w:tcPr>
          <w:p w14:paraId="0A0FCF7B" w14:textId="77777777" w:rsidR="005B63D8" w:rsidRDefault="005B63D8" w:rsidP="00B25C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36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</w:tcPr>
          <w:p w14:paraId="1B97656C" w14:textId="77777777" w:rsidR="005B63D8" w:rsidRDefault="005B63D8" w:rsidP="00B25C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25.5%</w:t>
            </w:r>
          </w:p>
        </w:tc>
      </w:tr>
      <w:tr w:rsidR="005B63D8" w14:paraId="348C9EAA" w14:textId="77777777" w:rsidTr="00B25C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  <w:tcBorders>
              <w:left w:val="single" w:sz="4" w:space="0" w:color="auto"/>
              <w:right w:val="single" w:sz="4" w:space="0" w:color="auto"/>
            </w:tcBorders>
          </w:tcPr>
          <w:p w14:paraId="09CC7158" w14:textId="77777777" w:rsidR="005B63D8" w:rsidRDefault="005B63D8" w:rsidP="00B25CD6">
            <w:pPr>
              <w:jc w:val="center"/>
            </w:pPr>
            <w:r>
              <w:t>Static</w:t>
            </w:r>
          </w:p>
        </w:tc>
        <w:tc>
          <w:tcPr>
            <w:tcW w:w="1530" w:type="dxa"/>
            <w:tcBorders>
              <w:left w:val="single" w:sz="4" w:space="0" w:color="auto"/>
              <w:right w:val="single" w:sz="4" w:space="0" w:color="auto"/>
            </w:tcBorders>
          </w:tcPr>
          <w:p w14:paraId="0324E968" w14:textId="77777777" w:rsidR="005B63D8" w:rsidRDefault="005B63D8" w:rsidP="00B25C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</w:tcPr>
          <w:p w14:paraId="3A1AE33E" w14:textId="77777777" w:rsidR="005B63D8" w:rsidRDefault="005B63D8" w:rsidP="00B25C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74.1%</w:t>
            </w:r>
          </w:p>
        </w:tc>
      </w:tr>
      <w:tr w:rsidR="005B63D8" w14:paraId="03EAC31D" w14:textId="77777777" w:rsidTr="00B25C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FA1C6" w14:textId="77777777" w:rsidR="005B63D8" w:rsidRDefault="005B63D8" w:rsidP="00B25CD6">
            <w:pPr>
              <w:jc w:val="center"/>
            </w:pPr>
            <w:r>
              <w:t>Surgical</w:t>
            </w:r>
          </w:p>
        </w:tc>
        <w:tc>
          <w:tcPr>
            <w:tcW w:w="15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DDD62" w14:textId="77777777" w:rsidR="005B63D8" w:rsidRDefault="005B63D8" w:rsidP="00B25C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19</w:t>
            </w: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2B1C5" w14:textId="77777777" w:rsidR="005B63D8" w:rsidRDefault="005B63D8" w:rsidP="00B25C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0.3%</w:t>
            </w:r>
          </w:p>
        </w:tc>
      </w:tr>
      <w:tr w:rsidR="005B63D8" w14:paraId="1E4070D1" w14:textId="77777777" w:rsidTr="00B25C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BDC6A" w14:textId="77777777" w:rsidR="005B63D8" w:rsidRDefault="005B63D8" w:rsidP="00B25CD6">
            <w:pPr>
              <w:jc w:val="center"/>
            </w:pPr>
            <w:r>
              <w:t>Total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3C724" w14:textId="77777777" w:rsidR="005B63D8" w:rsidRPr="00271ED9" w:rsidRDefault="005B63D8" w:rsidP="00B25C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271ED9">
              <w:rPr>
                <w:b/>
                <w:bCs/>
              </w:rPr>
              <w:t>67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B9AD9" w14:textId="77777777" w:rsidR="005B63D8" w:rsidRPr="00271ED9" w:rsidRDefault="005B63D8" w:rsidP="00B25C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271ED9">
              <w:rPr>
                <w:b/>
                <w:bCs/>
              </w:rPr>
              <w:t>100%</w:t>
            </w:r>
          </w:p>
        </w:tc>
      </w:tr>
    </w:tbl>
    <w:p w14:paraId="2934D0AD" w14:textId="77777777" w:rsidR="005B63D8" w:rsidRDefault="005B63D8" w:rsidP="005B63D8"/>
    <w:p w14:paraId="6A365303" w14:textId="77777777" w:rsidR="005B63D8" w:rsidRDefault="005B63D8" w:rsidP="005B63D8"/>
    <w:p w14:paraId="411B95F2" w14:textId="77777777" w:rsidR="005B63D8" w:rsidRDefault="005B63D8" w:rsidP="005B63D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A54486B" w14:textId="0C922167" w:rsidR="005B63D8" w:rsidRPr="000C0953" w:rsidRDefault="005B63D8" w:rsidP="005B63D8">
      <w:pPr>
        <w:spacing w:line="480" w:lineRule="auto"/>
        <w:jc w:val="both"/>
        <w:rPr>
          <w:rFonts w:ascii="Times New Roman" w:hAnsi="Times New Roman" w:cs="Times New Roman"/>
          <w:bCs/>
        </w:rPr>
      </w:pPr>
      <w:r w:rsidRPr="00204D8D">
        <w:rPr>
          <w:rFonts w:ascii="Times New Roman" w:hAnsi="Times New Roman" w:cs="Times New Roman"/>
          <w:b/>
          <w:bCs/>
        </w:rPr>
        <w:lastRenderedPageBreak/>
        <w:t xml:space="preserve">Supplementary Figure </w:t>
      </w:r>
      <w:r>
        <w:rPr>
          <w:rFonts w:ascii="Times New Roman" w:hAnsi="Times New Roman" w:cs="Times New Roman"/>
          <w:b/>
          <w:bCs/>
        </w:rPr>
        <w:t xml:space="preserve">1. </w:t>
      </w:r>
      <w:r>
        <w:rPr>
          <w:rFonts w:ascii="Times New Roman" w:hAnsi="Times New Roman" w:cs="Times New Roman"/>
          <w:bCs/>
        </w:rPr>
        <w:t xml:space="preserve">A map representation of the blood donor </w:t>
      </w:r>
      <w:proofErr w:type="spellStart"/>
      <w:r>
        <w:rPr>
          <w:rFonts w:ascii="Times New Roman" w:hAnsi="Times New Roman" w:cs="Times New Roman"/>
          <w:bCs/>
        </w:rPr>
        <w:t>serosurvey</w:t>
      </w:r>
      <w:proofErr w:type="spellEnd"/>
      <w:r>
        <w:rPr>
          <w:rFonts w:ascii="Times New Roman" w:hAnsi="Times New Roman" w:cs="Times New Roman"/>
          <w:bCs/>
        </w:rPr>
        <w:t xml:space="preserve"> participants</w:t>
      </w:r>
      <w:r w:rsidRPr="00204D8D">
        <w:rPr>
          <w:rFonts w:ascii="Times New Roman" w:hAnsi="Times New Roman" w:cs="Times New Roman"/>
          <w:b/>
          <w:bCs/>
        </w:rPr>
        <w:t xml:space="preserve"> </w:t>
      </w:r>
      <w:r w:rsidRPr="000C0953">
        <w:rPr>
          <w:rFonts w:ascii="Times New Roman" w:hAnsi="Times New Roman" w:cs="Times New Roman"/>
          <w:bCs/>
        </w:rPr>
        <w:t xml:space="preserve">compared with the </w:t>
      </w:r>
      <w:r>
        <w:rPr>
          <w:rFonts w:ascii="Times New Roman" w:hAnsi="Times New Roman" w:cs="Times New Roman"/>
          <w:bCs/>
        </w:rPr>
        <w:t xml:space="preserve">New Zealand population at the most recent census conducted in 2018. Percentage representation of each region is shown as a colour scale from white to dark red (blood donors) or dark green (2018 census). Maps were created using </w:t>
      </w:r>
      <w:r w:rsidRPr="00EE746D">
        <w:rPr>
          <w:rFonts w:ascii="Times New Roman" w:hAnsi="Times New Roman" w:cs="Times New Roman"/>
          <w:bCs/>
        </w:rPr>
        <w:t xml:space="preserve">ArcGIS version 10.7.1 </w:t>
      </w:r>
    </w:p>
    <w:p w14:paraId="6E6B1319" w14:textId="77777777" w:rsidR="005B63D8" w:rsidRPr="00204D8D" w:rsidRDefault="005B63D8" w:rsidP="005B63D8">
      <w:pPr>
        <w:spacing w:line="480" w:lineRule="auto"/>
        <w:rPr>
          <w:rFonts w:ascii="Times New Roman" w:hAnsi="Times New Roman" w:cs="Times New Roman"/>
        </w:rPr>
      </w:pPr>
    </w:p>
    <w:p w14:paraId="1CC8AB4F" w14:textId="21DAEB9B" w:rsidR="005B63D8" w:rsidRPr="00204D8D" w:rsidRDefault="005B63D8" w:rsidP="005B63D8">
      <w:pPr>
        <w:spacing w:line="480" w:lineRule="auto"/>
        <w:rPr>
          <w:rFonts w:ascii="Times New Roman" w:hAnsi="Times New Roman" w:cs="Times New Roman"/>
        </w:rPr>
      </w:pPr>
      <w:r w:rsidRPr="00922DAF">
        <w:rPr>
          <w:noProof/>
        </w:rPr>
        <w:t xml:space="preserve"> </w:t>
      </w:r>
      <w:r w:rsidR="00662A56">
        <w:rPr>
          <w:rFonts w:ascii="Times New Roman" w:hAnsi="Times New Roman" w:cs="Times New Roman"/>
          <w:noProof/>
        </w:rPr>
        <w:drawing>
          <wp:inline distT="0" distB="0" distL="0" distR="0" wp14:anchorId="668D67FB" wp14:editId="14DC5005">
            <wp:extent cx="5727700" cy="4029710"/>
            <wp:effectExtent l="0" t="0" r="6350" b="889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2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0A7AD" w14:textId="77777777" w:rsidR="005B63D8" w:rsidRPr="00204D8D" w:rsidRDefault="005B63D8" w:rsidP="005B63D8">
      <w:pPr>
        <w:spacing w:line="480" w:lineRule="auto"/>
        <w:rPr>
          <w:rFonts w:ascii="Times New Roman" w:hAnsi="Times New Roman" w:cs="Times New Roman"/>
        </w:rPr>
      </w:pPr>
    </w:p>
    <w:p w14:paraId="6C0D779B" w14:textId="77777777" w:rsidR="005B63D8" w:rsidRDefault="005B63D8" w:rsidP="005B63D8">
      <w:pPr>
        <w:rPr>
          <w:rFonts w:ascii="Times New Roman" w:eastAsiaTheme="majorEastAsia" w:hAnsi="Times New Roman" w:cs="Times New Roman"/>
          <w:color w:val="2F5496" w:themeColor="accent1" w:themeShade="BF"/>
        </w:rPr>
      </w:pPr>
      <w:r>
        <w:rPr>
          <w:rFonts w:ascii="Times New Roman" w:hAnsi="Times New Roman" w:cs="Times New Roman"/>
        </w:rPr>
        <w:br w:type="page"/>
      </w:r>
    </w:p>
    <w:p w14:paraId="5BB25464" w14:textId="77777777" w:rsidR="005B63D8" w:rsidRPr="00F3003B" w:rsidRDefault="005B63D8" w:rsidP="005B63D8">
      <w:pPr>
        <w:pStyle w:val="Heading1"/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SARS-CoV-2 Serologic Assay Methodology</w:t>
      </w:r>
    </w:p>
    <w:p w14:paraId="635C6D7F" w14:textId="77777777" w:rsidR="005B63D8" w:rsidRPr="00327AF1" w:rsidRDefault="005B63D8" w:rsidP="005B63D8">
      <w:pPr>
        <w:pStyle w:val="Heading2"/>
        <w:spacing w:line="48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327AF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In-house </w:t>
      </w:r>
      <w:r w:rsidRPr="00327AF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two-step ELISA</w:t>
      </w:r>
    </w:p>
    <w:p w14:paraId="6BE193ED" w14:textId="54492BA3" w:rsidR="005B63D8" w:rsidRPr="003039AA" w:rsidRDefault="005B63D8" w:rsidP="005B63D8">
      <w:pPr>
        <w:spacing w:line="480" w:lineRule="auto"/>
        <w:jc w:val="both"/>
        <w:rPr>
          <w:rStyle w:val="Strong"/>
          <w:rFonts w:ascii="Times New Roman" w:hAnsi="Times New Roman" w:cs="Times New Roman"/>
          <w:b w:val="0"/>
          <w:bCs w:val="0"/>
          <w:color w:val="333333"/>
          <w:shd w:val="clear" w:color="auto" w:fill="FFFFFF" w:themeFill="background1"/>
        </w:rPr>
      </w:pPr>
      <w:r w:rsidRPr="00204D8D">
        <w:rPr>
          <w:rFonts w:ascii="Times New Roman" w:hAnsi="Times New Roman" w:cs="Times New Roman"/>
        </w:rPr>
        <w:t xml:space="preserve">The </w:t>
      </w:r>
      <w:r w:rsidRPr="00922DAF">
        <w:rPr>
          <w:rFonts w:ascii="Times New Roman" w:hAnsi="Times New Roman" w:cs="Times New Roman"/>
          <w:i/>
        </w:rPr>
        <w:t>in-house</w:t>
      </w:r>
      <w:r w:rsidRPr="00ED5FE6">
        <w:rPr>
          <w:rFonts w:ascii="Times New Roman" w:hAnsi="Times New Roman" w:cs="Times New Roman"/>
        </w:rPr>
        <w:t xml:space="preserve"> </w:t>
      </w:r>
      <w:r w:rsidRPr="00204D8D">
        <w:rPr>
          <w:rFonts w:ascii="Times New Roman" w:hAnsi="Times New Roman" w:cs="Times New Roman"/>
        </w:rPr>
        <w:t xml:space="preserve">two-step ELISA and </w:t>
      </w:r>
      <w:r>
        <w:rPr>
          <w:rFonts w:ascii="Times New Roman" w:hAnsi="Times New Roman" w:cs="Times New Roman"/>
        </w:rPr>
        <w:t xml:space="preserve">was performed as previously described using Spike (S) protein and receptor binding domain (RBD) antigens produced in a 293 </w:t>
      </w:r>
      <w:r w:rsidRPr="008D0BCD">
        <w:rPr>
          <w:rFonts w:ascii="Times New Roman" w:hAnsi="Times New Roman" w:cs="Times New Roman"/>
        </w:rPr>
        <w:t>hu</w:t>
      </w:r>
      <w:r>
        <w:rPr>
          <w:rFonts w:ascii="Times New Roman" w:hAnsi="Times New Roman" w:cs="Times New Roman"/>
        </w:rPr>
        <w:t>man embryonic kidney cell expression system</w:t>
      </w:r>
      <w:r w:rsidR="00966F9F">
        <w:rPr>
          <w:rFonts w:ascii="Times New Roman" w:hAnsi="Times New Roman" w:cs="Times New Roman"/>
        </w:rPr>
        <w:t xml:space="preserve"> </w:t>
      </w:r>
      <w:r w:rsidR="002B608D" w:rsidRPr="002B608D">
        <w:rPr>
          <w:rFonts w:ascii="Times New Roman" w:eastAsia="Times New Roman" w:hAnsi="Times New Roman" w:cs="Times New Roman"/>
          <w:color w:val="000000"/>
        </w:rPr>
        <w:t>(</w:t>
      </w:r>
      <w:r w:rsidR="002B608D" w:rsidRPr="000F375F">
        <w:rPr>
          <w:rFonts w:ascii="Times New Roman" w:eastAsia="Times New Roman" w:hAnsi="Times New Roman" w:cs="Times New Roman"/>
          <w:i/>
          <w:color w:val="000000"/>
        </w:rPr>
        <w:t>1,2</w:t>
      </w:r>
      <w:r w:rsidR="002B608D" w:rsidRPr="002B608D"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hAnsi="Times New Roman" w:cs="Times New Roman"/>
        </w:rPr>
        <w:t xml:space="preserve">. </w:t>
      </w:r>
      <w:r w:rsidRPr="00204D8D">
        <w:rPr>
          <w:rFonts w:ascii="Times New Roman" w:hAnsi="Times New Roman" w:cs="Times New Roman"/>
        </w:rPr>
        <w:t xml:space="preserve">In the first step, serum </w:t>
      </w:r>
      <w:r>
        <w:rPr>
          <w:rFonts w:ascii="Times New Roman" w:hAnsi="Times New Roman" w:cs="Times New Roman"/>
        </w:rPr>
        <w:t>(</w:t>
      </w:r>
      <w:r w:rsidRPr="00204D8D">
        <w:rPr>
          <w:rFonts w:ascii="Times New Roman" w:hAnsi="Times New Roman" w:cs="Times New Roman"/>
        </w:rPr>
        <w:t>1:100</w:t>
      </w:r>
      <w:r>
        <w:rPr>
          <w:rFonts w:ascii="Times New Roman" w:hAnsi="Times New Roman" w:cs="Times New Roman"/>
        </w:rPr>
        <w:t>)</w:t>
      </w:r>
      <w:r w:rsidRPr="00204D8D">
        <w:rPr>
          <w:rFonts w:ascii="Times New Roman" w:hAnsi="Times New Roman" w:cs="Times New Roman"/>
        </w:rPr>
        <w:t xml:space="preserve"> was screened against RBD</w:t>
      </w:r>
      <w:r>
        <w:rPr>
          <w:rFonts w:ascii="Times New Roman" w:hAnsi="Times New Roman" w:cs="Times New Roman"/>
        </w:rPr>
        <w:t xml:space="preserve"> coated </w:t>
      </w:r>
      <w:proofErr w:type="spellStart"/>
      <w:r>
        <w:rPr>
          <w:rFonts w:ascii="Times New Roman" w:hAnsi="Times New Roman" w:cs="Times New Roman"/>
        </w:rPr>
        <w:t>immunoplates</w:t>
      </w:r>
      <w:proofErr w:type="spellEnd"/>
      <w:r>
        <w:rPr>
          <w:rFonts w:ascii="Times New Roman" w:hAnsi="Times New Roman" w:cs="Times New Roman"/>
        </w:rPr>
        <w:t xml:space="preserve"> (</w:t>
      </w:r>
      <w:r w:rsidRPr="008D0BCD">
        <w:rPr>
          <w:rFonts w:ascii="Times New Roman" w:hAnsi="Times New Roman" w:cs="Times New Roman"/>
        </w:rPr>
        <w:t xml:space="preserve">5 </w:t>
      </w:r>
      <w:proofErr w:type="spellStart"/>
      <w:r w:rsidRPr="008D0BCD">
        <w:rPr>
          <w:rFonts w:ascii="Times New Roman" w:hAnsi="Times New Roman" w:cs="Times New Roman"/>
        </w:rPr>
        <w:t>μg</w:t>
      </w:r>
      <w:proofErr w:type="spellEnd"/>
      <w:r w:rsidRPr="008D0BCD">
        <w:rPr>
          <w:rFonts w:ascii="Times New Roman" w:hAnsi="Times New Roman" w:cs="Times New Roman"/>
        </w:rPr>
        <w:t>/m</w:t>
      </w:r>
      <w:r w:rsidR="00F936C1"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</w:rPr>
        <w:t>)</w:t>
      </w:r>
      <w:r w:rsidRPr="00204D8D">
        <w:rPr>
          <w:rFonts w:ascii="Times New Roman" w:hAnsi="Times New Roman" w:cs="Times New Roman"/>
        </w:rPr>
        <w:t>, with IgG binding detected using</w:t>
      </w:r>
      <w:r>
        <w:rPr>
          <w:rFonts w:ascii="Times New Roman" w:hAnsi="Times New Roman" w:cs="Times New Roman"/>
        </w:rPr>
        <w:t xml:space="preserve"> a peroxidase-labelled anti</w:t>
      </w:r>
      <w:r>
        <w:rPr>
          <w:rFonts w:ascii="Times New Roman" w:hAnsi="Times New Roman" w:cs="Times New Roman"/>
        </w:rPr>
        <w:noBreakHyphen/>
      </w:r>
      <w:r w:rsidRPr="00204D8D">
        <w:rPr>
          <w:rFonts w:ascii="Times New Roman" w:hAnsi="Times New Roman" w:cs="Times New Roman"/>
        </w:rPr>
        <w:t>human IgG secondary</w:t>
      </w:r>
      <w:r>
        <w:rPr>
          <w:rFonts w:ascii="Times New Roman" w:hAnsi="Times New Roman" w:cs="Times New Roman"/>
        </w:rPr>
        <w:t xml:space="preserve"> (</w:t>
      </w:r>
      <w:r w:rsidRPr="008D0BCD">
        <w:rPr>
          <w:rFonts w:ascii="Times New Roman" w:hAnsi="Times New Roman" w:cs="Times New Roman"/>
        </w:rPr>
        <w:t>97221; Abcam, Cambridge, United Kingdom</w:t>
      </w:r>
      <w:r>
        <w:rPr>
          <w:rFonts w:ascii="Times New Roman" w:hAnsi="Times New Roman" w:cs="Times New Roman"/>
        </w:rPr>
        <w:t>)</w:t>
      </w:r>
      <w:r w:rsidRPr="00204D8D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S</w:t>
      </w:r>
      <w:r w:rsidRPr="00204D8D">
        <w:rPr>
          <w:rFonts w:ascii="Times New Roman" w:hAnsi="Times New Roman" w:cs="Times New Roman"/>
        </w:rPr>
        <w:t xml:space="preserve">amples with an optical density (OD, 450-570nm) above </w:t>
      </w:r>
      <w:r>
        <w:rPr>
          <w:rFonts w:ascii="Times New Roman" w:hAnsi="Times New Roman" w:cs="Times New Roman"/>
        </w:rPr>
        <w:t xml:space="preserve">the </w:t>
      </w:r>
      <w:r w:rsidRPr="00204D8D">
        <w:rPr>
          <w:rFonts w:ascii="Times New Roman" w:hAnsi="Times New Roman" w:cs="Times New Roman"/>
        </w:rPr>
        <w:t xml:space="preserve">cut-off </w:t>
      </w:r>
      <w:r>
        <w:rPr>
          <w:rFonts w:ascii="Times New Roman" w:hAnsi="Times New Roman" w:cs="Times New Roman"/>
        </w:rPr>
        <w:t xml:space="preserve">(OD </w:t>
      </w:r>
      <w:r w:rsidRPr="00204D8D">
        <w:rPr>
          <w:rFonts w:ascii="Times New Roman" w:hAnsi="Times New Roman" w:cs="Times New Roman"/>
        </w:rPr>
        <w:t>&gt;0.2</w:t>
      </w:r>
      <w:r>
        <w:rPr>
          <w:rFonts w:ascii="Times New Roman" w:hAnsi="Times New Roman" w:cs="Times New Roman"/>
        </w:rPr>
        <w:t>) in the RBD ELISA were titrated in a 3</w:t>
      </w:r>
      <w:r>
        <w:rPr>
          <w:rFonts w:ascii="Times New Roman" w:hAnsi="Times New Roman" w:cs="Times New Roman"/>
        </w:rPr>
        <w:noBreakHyphen/>
      </w:r>
      <w:r w:rsidRPr="00204D8D">
        <w:rPr>
          <w:rFonts w:ascii="Times New Roman" w:hAnsi="Times New Roman" w:cs="Times New Roman"/>
        </w:rPr>
        <w:t xml:space="preserve">fold dilution series </w:t>
      </w:r>
      <w:r>
        <w:rPr>
          <w:rFonts w:ascii="Times New Roman" w:hAnsi="Times New Roman" w:cs="Times New Roman"/>
        </w:rPr>
        <w:t xml:space="preserve">starting at 1:100 dilution </w:t>
      </w:r>
      <w:r w:rsidRPr="00204D8D">
        <w:rPr>
          <w:rFonts w:ascii="Times New Roman" w:hAnsi="Times New Roman" w:cs="Times New Roman"/>
        </w:rPr>
        <w:t>against S protein</w:t>
      </w:r>
      <w:r>
        <w:rPr>
          <w:rFonts w:ascii="Times New Roman" w:hAnsi="Times New Roman" w:cs="Times New Roman"/>
        </w:rPr>
        <w:t xml:space="preserve"> coated </w:t>
      </w:r>
      <w:proofErr w:type="spellStart"/>
      <w:r>
        <w:rPr>
          <w:rFonts w:ascii="Times New Roman" w:hAnsi="Times New Roman" w:cs="Times New Roman"/>
        </w:rPr>
        <w:t>immunoplates</w:t>
      </w:r>
      <w:proofErr w:type="spellEnd"/>
      <w:r>
        <w:rPr>
          <w:rFonts w:ascii="Times New Roman" w:hAnsi="Times New Roman" w:cs="Times New Roman"/>
        </w:rPr>
        <w:t xml:space="preserve"> (5 </w:t>
      </w:r>
      <w:proofErr w:type="spellStart"/>
      <w:r w:rsidRPr="008D0BCD">
        <w:rPr>
          <w:rFonts w:ascii="Times New Roman" w:hAnsi="Times New Roman" w:cs="Times New Roman"/>
        </w:rPr>
        <w:t>μg</w:t>
      </w:r>
      <w:proofErr w:type="spellEnd"/>
      <w:r w:rsidRPr="008D0BCD">
        <w:rPr>
          <w:rFonts w:ascii="Times New Roman" w:hAnsi="Times New Roman" w:cs="Times New Roman"/>
        </w:rPr>
        <w:t>/ml</w:t>
      </w:r>
      <w:r>
        <w:rPr>
          <w:rFonts w:ascii="Times New Roman" w:hAnsi="Times New Roman" w:cs="Times New Roman"/>
        </w:rPr>
        <w:t>) and</w:t>
      </w:r>
      <w:r w:rsidRPr="00204D8D">
        <w:rPr>
          <w:rFonts w:ascii="Times New Roman" w:hAnsi="Times New Roman" w:cs="Times New Roman"/>
        </w:rPr>
        <w:t xml:space="preserve"> considered positive if the OD was &gt;0.2 in at least two consecutive wells. </w:t>
      </w:r>
      <w:r w:rsidRPr="00D162B8">
        <w:rPr>
          <w:rFonts w:ascii="Times New Roman" w:hAnsi="Times New Roman" w:cs="Times New Roman"/>
        </w:rPr>
        <w:t>Positive and negative controls were included on each plate, with the assay meeting acceptance criteria if the OD was &gt;0.</w:t>
      </w:r>
      <w:r>
        <w:rPr>
          <w:rFonts w:ascii="Times New Roman" w:hAnsi="Times New Roman" w:cs="Times New Roman"/>
        </w:rPr>
        <w:t>6</w:t>
      </w:r>
      <w:r w:rsidRPr="00D162B8">
        <w:rPr>
          <w:rFonts w:ascii="Times New Roman" w:hAnsi="Times New Roman" w:cs="Times New Roman"/>
        </w:rPr>
        <w:t xml:space="preserve"> and &lt;0.0</w:t>
      </w:r>
      <w:r>
        <w:rPr>
          <w:rFonts w:ascii="Times New Roman" w:hAnsi="Times New Roman" w:cs="Times New Roman"/>
        </w:rPr>
        <w:t>2</w:t>
      </w:r>
      <w:r w:rsidRPr="00D162B8">
        <w:rPr>
          <w:rFonts w:ascii="Times New Roman" w:hAnsi="Times New Roman" w:cs="Times New Roman"/>
        </w:rPr>
        <w:t xml:space="preserve"> for the positive and negative control, respectively. </w:t>
      </w:r>
      <w:r>
        <w:rPr>
          <w:rFonts w:ascii="Times New Roman" w:hAnsi="Times New Roman" w:cs="Times New Roman"/>
        </w:rPr>
        <w:t xml:space="preserve">The positive control comprised a pool of </w:t>
      </w:r>
      <w:r w:rsidRPr="00204D8D">
        <w:rPr>
          <w:rFonts w:ascii="Times New Roman" w:hAnsi="Times New Roman" w:cs="Times New Roman"/>
        </w:rPr>
        <w:t xml:space="preserve">PCR positive </w:t>
      </w:r>
      <w:r>
        <w:rPr>
          <w:rFonts w:ascii="Times New Roman" w:hAnsi="Times New Roman" w:cs="Times New Roman"/>
        </w:rPr>
        <w:t>sera</w:t>
      </w:r>
      <w:r w:rsidRPr="00204D8D">
        <w:rPr>
          <w:rFonts w:ascii="Times New Roman" w:hAnsi="Times New Roman" w:cs="Times New Roman"/>
        </w:rPr>
        <w:t xml:space="preserve"> from the </w:t>
      </w:r>
      <w:proofErr w:type="spellStart"/>
      <w:r w:rsidRPr="003039AA">
        <w:rPr>
          <w:rStyle w:val="Strong"/>
          <w:rFonts w:ascii="Times New Roman" w:hAnsi="Times New Roman" w:cs="Times New Roman"/>
          <w:b w:val="0"/>
          <w:bCs w:val="0"/>
          <w:color w:val="333333"/>
          <w:shd w:val="clear" w:color="auto" w:fill="FFFFFF" w:themeFill="background1"/>
        </w:rPr>
        <w:t>AccuSet</w:t>
      </w:r>
      <w:proofErr w:type="spellEnd"/>
      <w:r w:rsidRPr="003039AA">
        <w:rPr>
          <w:rStyle w:val="Strong"/>
          <w:rFonts w:ascii="Times New Roman" w:hAnsi="Times New Roman" w:cs="Times New Roman"/>
          <w:b w:val="0"/>
          <w:bCs w:val="0"/>
          <w:color w:val="333333"/>
          <w:shd w:val="clear" w:color="auto" w:fill="FFFFFF" w:themeFill="background1"/>
        </w:rPr>
        <w:t xml:space="preserve"> SARS-CoV-2 Performance Panel, while the negative control was PCR negative serum from the same </w:t>
      </w:r>
      <w:proofErr w:type="spellStart"/>
      <w:r w:rsidRPr="003039AA">
        <w:rPr>
          <w:rStyle w:val="Strong"/>
          <w:rFonts w:ascii="Times New Roman" w:hAnsi="Times New Roman" w:cs="Times New Roman"/>
          <w:b w:val="0"/>
          <w:bCs w:val="0"/>
          <w:color w:val="333333"/>
          <w:shd w:val="clear" w:color="auto" w:fill="FFFFFF" w:themeFill="background1"/>
        </w:rPr>
        <w:t>AccuSet</w:t>
      </w:r>
      <w:proofErr w:type="spellEnd"/>
      <w:r w:rsidRPr="003039AA">
        <w:rPr>
          <w:rStyle w:val="Strong"/>
          <w:rFonts w:ascii="Times New Roman" w:hAnsi="Times New Roman" w:cs="Times New Roman"/>
          <w:b w:val="0"/>
          <w:bCs w:val="0"/>
          <w:color w:val="333333"/>
          <w:shd w:val="clear" w:color="auto" w:fill="FFFFFF" w:themeFill="background1"/>
        </w:rPr>
        <w:t xml:space="preserve"> Panel (</w:t>
      </w:r>
      <w:proofErr w:type="spellStart"/>
      <w:r w:rsidRPr="003039AA">
        <w:rPr>
          <w:rStyle w:val="Strong"/>
          <w:rFonts w:ascii="Times New Roman" w:hAnsi="Times New Roman" w:cs="Times New Roman"/>
          <w:b w:val="0"/>
          <w:bCs w:val="0"/>
          <w:color w:val="333333"/>
          <w:shd w:val="clear" w:color="auto" w:fill="FFFFFF" w:themeFill="background1"/>
        </w:rPr>
        <w:t>Seracare</w:t>
      </w:r>
      <w:proofErr w:type="spellEnd"/>
      <w:r w:rsidRPr="003039AA">
        <w:rPr>
          <w:rStyle w:val="Strong"/>
          <w:rFonts w:ascii="Times New Roman" w:hAnsi="Times New Roman" w:cs="Times New Roman"/>
          <w:b w:val="0"/>
          <w:bCs w:val="0"/>
          <w:color w:val="333333"/>
          <w:shd w:val="clear" w:color="auto" w:fill="FFFFFF" w:themeFill="background1"/>
        </w:rPr>
        <w:t>, Massachusetts, USA). To track assay stability, additional positive and negative quality controls (</w:t>
      </w:r>
      <w:proofErr w:type="spellStart"/>
      <w:r w:rsidRPr="003039AA">
        <w:rPr>
          <w:rStyle w:val="Strong"/>
          <w:rFonts w:ascii="Times New Roman" w:hAnsi="Times New Roman" w:cs="Times New Roman"/>
          <w:b w:val="0"/>
          <w:bCs w:val="0"/>
          <w:color w:val="333333"/>
          <w:shd w:val="clear" w:color="auto" w:fill="FFFFFF" w:themeFill="background1"/>
        </w:rPr>
        <w:t>Virotrol</w:t>
      </w:r>
      <w:proofErr w:type="spellEnd"/>
      <w:r w:rsidRPr="003039AA">
        <w:rPr>
          <w:rStyle w:val="Strong"/>
          <w:rFonts w:ascii="Times New Roman" w:hAnsi="Times New Roman" w:cs="Times New Roman"/>
          <w:b w:val="0"/>
          <w:bCs w:val="0"/>
          <w:color w:val="333333"/>
          <w:shd w:val="clear" w:color="auto" w:fill="FFFFFF" w:themeFill="background1"/>
        </w:rPr>
        <w:t xml:space="preserve"> (positive) and </w:t>
      </w:r>
      <w:proofErr w:type="spellStart"/>
      <w:r w:rsidRPr="003039AA">
        <w:rPr>
          <w:rStyle w:val="Strong"/>
          <w:rFonts w:ascii="Times New Roman" w:hAnsi="Times New Roman" w:cs="Times New Roman"/>
          <w:b w:val="0"/>
          <w:bCs w:val="0"/>
          <w:color w:val="333333"/>
          <w:shd w:val="clear" w:color="auto" w:fill="FFFFFF" w:themeFill="background1"/>
        </w:rPr>
        <w:t>Viroclear</w:t>
      </w:r>
      <w:proofErr w:type="spellEnd"/>
      <w:r w:rsidRPr="003039AA">
        <w:rPr>
          <w:rStyle w:val="Strong"/>
          <w:rFonts w:ascii="Times New Roman" w:hAnsi="Times New Roman" w:cs="Times New Roman"/>
          <w:b w:val="0"/>
          <w:bCs w:val="0"/>
          <w:color w:val="333333"/>
          <w:shd w:val="clear" w:color="auto" w:fill="FFFFFF" w:themeFill="background1"/>
        </w:rPr>
        <w:t xml:space="preserve"> (negative), </w:t>
      </w:r>
      <w:proofErr w:type="spellStart"/>
      <w:r w:rsidRPr="003039AA">
        <w:rPr>
          <w:rStyle w:val="Strong"/>
          <w:rFonts w:ascii="Times New Roman" w:hAnsi="Times New Roman" w:cs="Times New Roman"/>
          <w:b w:val="0"/>
          <w:bCs w:val="0"/>
          <w:color w:val="333333"/>
          <w:shd w:val="clear" w:color="auto" w:fill="FFFFFF" w:themeFill="background1"/>
        </w:rPr>
        <w:t>Biorad</w:t>
      </w:r>
      <w:proofErr w:type="spellEnd"/>
      <w:r w:rsidRPr="003039AA">
        <w:rPr>
          <w:rStyle w:val="Strong"/>
          <w:rFonts w:ascii="Times New Roman" w:hAnsi="Times New Roman" w:cs="Times New Roman"/>
          <w:b w:val="0"/>
          <w:bCs w:val="0"/>
          <w:color w:val="333333"/>
          <w:shd w:val="clear" w:color="auto" w:fill="FFFFFF" w:themeFill="background1"/>
        </w:rPr>
        <w:t xml:space="preserve">, California US) were included on each plate (Supplementary Figure 2). </w:t>
      </w:r>
    </w:p>
    <w:p w14:paraId="47F4CF6D" w14:textId="77777777" w:rsidR="005B63D8" w:rsidRDefault="005B63D8" w:rsidP="005B63D8">
      <w:pPr>
        <w:rPr>
          <w:rStyle w:val="Strong"/>
          <w:rFonts w:ascii="Times New Roman" w:hAnsi="Times New Roman" w:cs="Times New Roman"/>
          <w:b w:val="0"/>
          <w:color w:val="333333"/>
          <w:shd w:val="clear" w:color="auto" w:fill="FFFFFF" w:themeFill="background1"/>
        </w:rPr>
      </w:pPr>
    </w:p>
    <w:p w14:paraId="15C66AD5" w14:textId="77777777" w:rsidR="005B63D8" w:rsidRDefault="005B63D8" w:rsidP="005B63D8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77FD25DF" w14:textId="77777777" w:rsidR="005B63D8" w:rsidRPr="00ED5FE6" w:rsidRDefault="005B63D8" w:rsidP="005B63D8">
      <w:pPr>
        <w:spacing w:line="480" w:lineRule="auto"/>
        <w:jc w:val="both"/>
        <w:rPr>
          <w:rFonts w:ascii="Times New Roman" w:hAnsi="Times New Roman" w:cs="Times New Roman"/>
          <w:bCs/>
          <w:color w:val="333333"/>
          <w:shd w:val="clear" w:color="auto" w:fill="FFFFFF" w:themeFill="background1"/>
        </w:rPr>
      </w:pPr>
      <w:r w:rsidRPr="00204D8D">
        <w:rPr>
          <w:rFonts w:ascii="Times New Roman" w:hAnsi="Times New Roman" w:cs="Times New Roman"/>
          <w:b/>
          <w:bCs/>
        </w:rPr>
        <w:lastRenderedPageBreak/>
        <w:t xml:space="preserve">Supplementary Figure </w:t>
      </w:r>
      <w:r>
        <w:rPr>
          <w:rFonts w:ascii="Times New Roman" w:hAnsi="Times New Roman" w:cs="Times New Roman"/>
          <w:b/>
          <w:bCs/>
        </w:rPr>
        <w:t>2.</w:t>
      </w:r>
      <w:r w:rsidRPr="00204D8D">
        <w:rPr>
          <w:rFonts w:ascii="Times New Roman" w:hAnsi="Times New Roman" w:cs="Times New Roman"/>
          <w:b/>
          <w:bCs/>
        </w:rPr>
        <w:t xml:space="preserve"> </w:t>
      </w:r>
      <w:r w:rsidRPr="002E02A8">
        <w:rPr>
          <w:rFonts w:ascii="Times New Roman" w:hAnsi="Times New Roman" w:cs="Times New Roman"/>
          <w:bCs/>
        </w:rPr>
        <w:t xml:space="preserve">Quality control variance for the </w:t>
      </w:r>
      <w:r w:rsidRPr="002E02A8">
        <w:rPr>
          <w:rFonts w:ascii="Times New Roman" w:hAnsi="Times New Roman" w:cs="Times New Roman"/>
          <w:bCs/>
          <w:i/>
          <w:iCs/>
        </w:rPr>
        <w:t xml:space="preserve">in-house </w:t>
      </w:r>
      <w:r w:rsidRPr="002E02A8">
        <w:rPr>
          <w:rFonts w:ascii="Times New Roman" w:hAnsi="Times New Roman" w:cs="Times New Roman"/>
          <w:bCs/>
        </w:rPr>
        <w:t>2-step ELISA.</w:t>
      </w:r>
      <w:r w:rsidRPr="00204D8D">
        <w:rPr>
          <w:rFonts w:ascii="Times New Roman" w:hAnsi="Times New Roman" w:cs="Times New Roman"/>
          <w:b/>
          <w:bCs/>
        </w:rPr>
        <w:t xml:space="preserve"> </w:t>
      </w:r>
      <w:r w:rsidRPr="002E02A8">
        <w:rPr>
          <w:rFonts w:ascii="Times New Roman" w:hAnsi="Times New Roman" w:cs="Times New Roman"/>
          <w:bCs/>
        </w:rPr>
        <w:t>The</w:t>
      </w:r>
      <w:r>
        <w:rPr>
          <w:rFonts w:ascii="Times New Roman" w:hAnsi="Times New Roman" w:cs="Times New Roman"/>
          <w:b/>
          <w:bCs/>
        </w:rPr>
        <w:t xml:space="preserve"> </w:t>
      </w:r>
      <w:r w:rsidRPr="002E02A8">
        <w:rPr>
          <w:rFonts w:ascii="Times New Roman" w:hAnsi="Times New Roman" w:cs="Times New Roman"/>
          <w:bCs/>
        </w:rPr>
        <w:t xml:space="preserve">SARS-CoV-2 positive </w:t>
      </w:r>
      <w:r>
        <w:rPr>
          <w:rFonts w:ascii="Times New Roman" w:hAnsi="Times New Roman" w:cs="Times New Roman"/>
          <w:bCs/>
        </w:rPr>
        <w:t xml:space="preserve">(a) </w:t>
      </w:r>
      <w:r w:rsidRPr="002E02A8">
        <w:rPr>
          <w:rFonts w:ascii="Times New Roman" w:hAnsi="Times New Roman" w:cs="Times New Roman"/>
          <w:bCs/>
        </w:rPr>
        <w:t xml:space="preserve">and negative </w:t>
      </w:r>
      <w:r>
        <w:rPr>
          <w:rFonts w:ascii="Times New Roman" w:hAnsi="Times New Roman" w:cs="Times New Roman"/>
          <w:bCs/>
        </w:rPr>
        <w:t xml:space="preserve">(b) </w:t>
      </w:r>
      <w:r w:rsidRPr="002E02A8">
        <w:rPr>
          <w:rFonts w:ascii="Times New Roman" w:hAnsi="Times New Roman" w:cs="Times New Roman"/>
          <w:bCs/>
        </w:rPr>
        <w:t>sera from (</w:t>
      </w:r>
      <w:proofErr w:type="spellStart"/>
      <w:r w:rsidRPr="002E02A8">
        <w:rPr>
          <w:rFonts w:ascii="Times New Roman" w:hAnsi="Times New Roman" w:cs="Times New Roman"/>
          <w:bCs/>
        </w:rPr>
        <w:t>Biorad</w:t>
      </w:r>
      <w:proofErr w:type="spellEnd"/>
      <w:r w:rsidRPr="002E02A8">
        <w:rPr>
          <w:rFonts w:ascii="Times New Roman" w:hAnsi="Times New Roman" w:cs="Times New Roman"/>
          <w:bCs/>
        </w:rPr>
        <w:t xml:space="preserve">, California US) were included on all ELISA plates. Data is shown for </w:t>
      </w:r>
      <w:r>
        <w:rPr>
          <w:rFonts w:ascii="Times New Roman" w:hAnsi="Times New Roman" w:cs="Times New Roman"/>
          <w:bCs/>
        </w:rPr>
        <w:t xml:space="preserve">quality controls included on each RBD ELISA plate (n=113) </w:t>
      </w:r>
      <w:r w:rsidRPr="002E02A8">
        <w:rPr>
          <w:rFonts w:ascii="Times New Roman" w:hAnsi="Times New Roman" w:cs="Times New Roman"/>
          <w:bCs/>
        </w:rPr>
        <w:t xml:space="preserve">over an 8-week period as </w:t>
      </w:r>
      <w:r>
        <w:rPr>
          <w:rFonts w:ascii="Times New Roman" w:hAnsi="Times New Roman" w:cs="Times New Roman"/>
          <w:bCs/>
        </w:rPr>
        <w:t xml:space="preserve">a weekly average. </w:t>
      </w:r>
      <w:r w:rsidRPr="00333DB1">
        <w:rPr>
          <w:rFonts w:ascii="Times New Roman" w:hAnsi="Times New Roman" w:cs="Times New Roman"/>
          <w:bCs/>
        </w:rPr>
        <w:t>Levey Jennings</w:t>
      </w:r>
      <w:r>
        <w:rPr>
          <w:rFonts w:ascii="Times New Roman" w:hAnsi="Times New Roman" w:cs="Times New Roman"/>
          <w:bCs/>
        </w:rPr>
        <w:t xml:space="preserve"> analyses shows the values are within mean (black line) and two standard deviations (2-SD) with 1-SD (light blue), 2-SD (mid-blue) and 3-SD (dark blue) as shown. The inter-plate coefficient of variance (CV) for the positive quality control was 9.2% across all plates.</w:t>
      </w:r>
    </w:p>
    <w:p w14:paraId="45A2DA91" w14:textId="77777777" w:rsidR="005B63D8" w:rsidRPr="00204D8D" w:rsidRDefault="005B63D8" w:rsidP="005B63D8">
      <w:pPr>
        <w:spacing w:line="480" w:lineRule="auto"/>
        <w:rPr>
          <w:rFonts w:ascii="Times New Roman" w:hAnsi="Times New Roman" w:cs="Times New Roman"/>
        </w:rPr>
      </w:pPr>
    </w:p>
    <w:p w14:paraId="13A7BE93" w14:textId="77777777" w:rsidR="005B63D8" w:rsidRPr="00D43EEE" w:rsidRDefault="005B63D8" w:rsidP="005B63D8">
      <w:pPr>
        <w:rPr>
          <w:rFonts w:ascii="Times New Roman" w:eastAsia="Times New Roman" w:hAnsi="Times New Roman" w:cs="Times New Roman"/>
          <w:lang w:val="en-NZ"/>
        </w:rPr>
      </w:pPr>
      <w:r w:rsidRPr="00333DB1">
        <w:rPr>
          <w:rFonts w:ascii="Times New Roman" w:eastAsia="Times New Roman" w:hAnsi="Times New Roman" w:cs="Times New Roman"/>
          <w:noProof/>
          <w:lang w:val="en-NZ"/>
        </w:rPr>
        <w:drawing>
          <wp:inline distT="0" distB="0" distL="0" distR="0" wp14:anchorId="13DDDBF6" wp14:editId="414C164A">
            <wp:extent cx="6094475" cy="2383605"/>
            <wp:effectExtent l="0" t="0" r="1905" b="4445"/>
            <wp:docPr id="2" name="Picture 2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&#10;&#10;Description automatically generated"/>
                    <pic:cNvPicPr/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24848" cy="2395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46D556" w14:textId="77777777" w:rsidR="005B63D8" w:rsidRPr="00204D8D" w:rsidRDefault="005B63D8" w:rsidP="005B63D8">
      <w:pPr>
        <w:spacing w:line="480" w:lineRule="auto"/>
        <w:rPr>
          <w:rFonts w:ascii="Times New Roman" w:hAnsi="Times New Roman" w:cs="Times New Roman"/>
        </w:rPr>
      </w:pPr>
    </w:p>
    <w:p w14:paraId="2973061B" w14:textId="77777777" w:rsidR="005B63D8" w:rsidRDefault="005B63D8" w:rsidP="005B63D8">
      <w:pPr>
        <w:pStyle w:val="Heading2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CBE06B0" w14:textId="5D182B82" w:rsidR="005B63D8" w:rsidRPr="000962B6" w:rsidRDefault="005B63D8" w:rsidP="005B63D8">
      <w:pPr>
        <w:pStyle w:val="Heading2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962B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Euroimmun</w:t>
      </w:r>
      <w:proofErr w:type="spellEnd"/>
      <w:r w:rsidRPr="000962B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S1 IgG ELISA</w:t>
      </w:r>
      <w:r w:rsidRPr="000962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and </w:t>
      </w:r>
      <w:r w:rsidRPr="000962B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Surrogate Viral Neutralisation assay (</w:t>
      </w:r>
      <w:proofErr w:type="spellStart"/>
      <w:r w:rsidRPr="000962B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sVNT</w:t>
      </w:r>
      <w:proofErr w:type="spellEnd"/>
      <w:r w:rsidRPr="000962B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)</w:t>
      </w:r>
    </w:p>
    <w:p w14:paraId="61134F59" w14:textId="5452F015" w:rsidR="005B63D8" w:rsidRDefault="005B63D8" w:rsidP="005B63D8">
      <w:pPr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</w:t>
      </w:r>
      <w:proofErr w:type="spellStart"/>
      <w:r>
        <w:rPr>
          <w:rFonts w:ascii="Times New Roman" w:hAnsi="Times New Roman" w:cs="Times New Roman"/>
        </w:rPr>
        <w:t>EuroI</w:t>
      </w:r>
      <w:r w:rsidRPr="00204D8D">
        <w:rPr>
          <w:rFonts w:ascii="Times New Roman" w:hAnsi="Times New Roman" w:cs="Times New Roman"/>
        </w:rPr>
        <w:t>mmun</w:t>
      </w:r>
      <w:proofErr w:type="spellEnd"/>
      <w:r>
        <w:rPr>
          <w:rFonts w:ascii="Times New Roman" w:hAnsi="Times New Roman" w:cs="Times New Roman"/>
        </w:rPr>
        <w:t xml:space="preserve"> SARS-CoV-2 ELISA</w:t>
      </w:r>
      <w:r w:rsidRPr="00204D8D">
        <w:rPr>
          <w:rFonts w:ascii="Times New Roman" w:hAnsi="Times New Roman" w:cs="Times New Roman"/>
        </w:rPr>
        <w:t xml:space="preserve"> (</w:t>
      </w:r>
      <w:proofErr w:type="spellStart"/>
      <w:r w:rsidRPr="00204D8D">
        <w:rPr>
          <w:rFonts w:ascii="Times New Roman" w:hAnsi="Times New Roman" w:cs="Times New Roman"/>
        </w:rPr>
        <w:t>Euroimmun</w:t>
      </w:r>
      <w:proofErr w:type="spellEnd"/>
      <w:r>
        <w:rPr>
          <w:rFonts w:ascii="Times New Roman" w:hAnsi="Times New Roman" w:cs="Times New Roman"/>
        </w:rPr>
        <w:t>, AG</w:t>
      </w:r>
      <w:r w:rsidRPr="00204D8D">
        <w:rPr>
          <w:rFonts w:ascii="Times New Roman" w:hAnsi="Times New Roman" w:cs="Times New Roman"/>
        </w:rPr>
        <w:t xml:space="preserve"> Lübeck, Germany) detects IgG antibodies targeting the S1 domain of the SARS-CoV-2 </w:t>
      </w:r>
      <w:r>
        <w:rPr>
          <w:rFonts w:ascii="Times New Roman" w:hAnsi="Times New Roman" w:cs="Times New Roman"/>
        </w:rPr>
        <w:t>S</w:t>
      </w:r>
      <w:r w:rsidRPr="00204D8D">
        <w:rPr>
          <w:rFonts w:ascii="Times New Roman" w:hAnsi="Times New Roman" w:cs="Times New Roman"/>
        </w:rPr>
        <w:t xml:space="preserve"> protein and was carried out according to manufacturer’s instructions. A ratio was calculated </w:t>
      </w:r>
      <w:r>
        <w:rPr>
          <w:rFonts w:ascii="Times New Roman" w:hAnsi="Times New Roman" w:cs="Times New Roman"/>
        </w:rPr>
        <w:t xml:space="preserve">of the </w:t>
      </w:r>
      <w:r w:rsidRPr="00204D8D">
        <w:rPr>
          <w:rFonts w:ascii="Times New Roman" w:hAnsi="Times New Roman" w:cs="Times New Roman"/>
        </w:rPr>
        <w:t xml:space="preserve">OD (450-650nm) of the sample </w:t>
      </w:r>
      <w:r>
        <w:rPr>
          <w:rFonts w:ascii="Times New Roman" w:hAnsi="Times New Roman" w:cs="Times New Roman"/>
        </w:rPr>
        <w:t xml:space="preserve">divided </w:t>
      </w:r>
      <w:r w:rsidRPr="00204D8D">
        <w:rPr>
          <w:rFonts w:ascii="Times New Roman" w:hAnsi="Times New Roman" w:cs="Times New Roman"/>
        </w:rPr>
        <w:t xml:space="preserve">by the OD of the </w:t>
      </w:r>
      <w:r>
        <w:rPr>
          <w:rFonts w:ascii="Times New Roman" w:hAnsi="Times New Roman" w:cs="Times New Roman"/>
        </w:rPr>
        <w:t xml:space="preserve">supplied </w:t>
      </w:r>
      <w:r w:rsidRPr="00204D8D">
        <w:rPr>
          <w:rFonts w:ascii="Times New Roman" w:hAnsi="Times New Roman" w:cs="Times New Roman"/>
        </w:rPr>
        <w:t>calibrator</w:t>
      </w:r>
      <w:r>
        <w:rPr>
          <w:rFonts w:ascii="Times New Roman" w:hAnsi="Times New Roman" w:cs="Times New Roman"/>
        </w:rPr>
        <w:t xml:space="preserve"> and s</w:t>
      </w:r>
      <w:r w:rsidRPr="00204D8D">
        <w:rPr>
          <w:rFonts w:ascii="Times New Roman" w:hAnsi="Times New Roman" w:cs="Times New Roman"/>
        </w:rPr>
        <w:t xml:space="preserve">amples with a ratio </w:t>
      </w:r>
      <w:r w:rsidRPr="000962B6">
        <w:rPr>
          <w:rFonts w:ascii="Times New Roman" w:hAnsi="Times New Roman" w:cs="Times New Roman"/>
        </w:rPr>
        <w:t xml:space="preserve">of ≥0.8 were considered positive. </w:t>
      </w:r>
      <w:r>
        <w:rPr>
          <w:rFonts w:ascii="Times New Roman" w:hAnsi="Times New Roman" w:cs="Times New Roman"/>
        </w:rPr>
        <w:t xml:space="preserve"> </w:t>
      </w:r>
      <w:r w:rsidRPr="00204D8D">
        <w:rPr>
          <w:rFonts w:ascii="Times New Roman" w:hAnsi="Times New Roman" w:cs="Times New Roman"/>
        </w:rPr>
        <w:t xml:space="preserve">The </w:t>
      </w:r>
      <w:proofErr w:type="spellStart"/>
      <w:r w:rsidRPr="00204D8D">
        <w:rPr>
          <w:rFonts w:ascii="Times New Roman" w:hAnsi="Times New Roman" w:cs="Times New Roman"/>
        </w:rPr>
        <w:t>cPass</w:t>
      </w:r>
      <w:proofErr w:type="spellEnd"/>
      <w:r w:rsidRPr="00204D8D">
        <w:rPr>
          <w:rFonts w:ascii="Times New Roman" w:hAnsi="Times New Roman" w:cs="Times New Roman"/>
        </w:rPr>
        <w:t>® surrogate viral neutralisation test (</w:t>
      </w:r>
      <w:proofErr w:type="spellStart"/>
      <w:r w:rsidRPr="00204D8D">
        <w:rPr>
          <w:rFonts w:ascii="Times New Roman" w:hAnsi="Times New Roman" w:cs="Times New Roman"/>
        </w:rPr>
        <w:t>sVNT</w:t>
      </w:r>
      <w:proofErr w:type="spellEnd"/>
      <w:r w:rsidRPr="00204D8D">
        <w:rPr>
          <w:rFonts w:ascii="Times New Roman" w:hAnsi="Times New Roman" w:cs="Times New Roman"/>
        </w:rPr>
        <w:t>) (</w:t>
      </w:r>
      <w:proofErr w:type="spellStart"/>
      <w:r w:rsidRPr="00204D8D">
        <w:rPr>
          <w:rFonts w:ascii="Times New Roman" w:hAnsi="Times New Roman" w:cs="Times New Roman"/>
        </w:rPr>
        <w:t>GenScript</w:t>
      </w:r>
      <w:proofErr w:type="spellEnd"/>
      <w:r w:rsidRPr="00204D8D">
        <w:rPr>
          <w:rFonts w:ascii="Times New Roman" w:hAnsi="Times New Roman" w:cs="Times New Roman"/>
        </w:rPr>
        <w:t>, New Jersey, USA) measures antibodies (</w:t>
      </w:r>
      <w:proofErr w:type="spellStart"/>
      <w:r w:rsidRPr="00204D8D">
        <w:rPr>
          <w:rFonts w:ascii="Times New Roman" w:hAnsi="Times New Roman" w:cs="Times New Roman"/>
        </w:rPr>
        <w:t>NAbs</w:t>
      </w:r>
      <w:proofErr w:type="spellEnd"/>
      <w:r w:rsidRPr="00204D8D">
        <w:rPr>
          <w:rFonts w:ascii="Times New Roman" w:hAnsi="Times New Roman" w:cs="Times New Roman"/>
        </w:rPr>
        <w:t xml:space="preserve">) that </w:t>
      </w:r>
      <w:r>
        <w:rPr>
          <w:rFonts w:ascii="Times New Roman" w:hAnsi="Times New Roman" w:cs="Times New Roman"/>
        </w:rPr>
        <w:t>block</w:t>
      </w:r>
      <w:r w:rsidRPr="00204D8D">
        <w:rPr>
          <w:rFonts w:ascii="Times New Roman" w:hAnsi="Times New Roman" w:cs="Times New Roman"/>
        </w:rPr>
        <w:t xml:space="preserve"> the interaction between RBD </w:t>
      </w:r>
      <w:r>
        <w:rPr>
          <w:rFonts w:ascii="Times New Roman" w:hAnsi="Times New Roman" w:cs="Times New Roman"/>
        </w:rPr>
        <w:t xml:space="preserve">and </w:t>
      </w:r>
      <w:r w:rsidRPr="00204D8D">
        <w:rPr>
          <w:rFonts w:ascii="Times New Roman" w:hAnsi="Times New Roman" w:cs="Times New Roman"/>
        </w:rPr>
        <w:t>hACE2</w:t>
      </w:r>
      <w:r>
        <w:rPr>
          <w:rFonts w:ascii="Times New Roman" w:hAnsi="Times New Roman" w:cs="Times New Roman"/>
        </w:rPr>
        <w:t xml:space="preserve"> </w:t>
      </w:r>
      <w:r w:rsidR="002B608D" w:rsidRPr="002B608D">
        <w:rPr>
          <w:rFonts w:ascii="Times New Roman" w:eastAsia="Times New Roman" w:hAnsi="Times New Roman" w:cs="Times New Roman"/>
          <w:color w:val="000000"/>
        </w:rPr>
        <w:t>(</w:t>
      </w:r>
      <w:r w:rsidR="002B608D" w:rsidRPr="000F375F">
        <w:rPr>
          <w:rFonts w:ascii="Times New Roman" w:eastAsia="Times New Roman" w:hAnsi="Times New Roman" w:cs="Times New Roman"/>
          <w:i/>
          <w:color w:val="000000"/>
        </w:rPr>
        <w:t>3</w:t>
      </w:r>
      <w:r w:rsidR="002B608D" w:rsidRPr="002B608D"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hAnsi="Times New Roman" w:cs="Times New Roman"/>
        </w:rPr>
        <w:t xml:space="preserve"> and </w:t>
      </w:r>
      <w:r w:rsidRPr="00204D8D">
        <w:rPr>
          <w:rFonts w:ascii="Times New Roman" w:hAnsi="Times New Roman" w:cs="Times New Roman"/>
        </w:rPr>
        <w:t xml:space="preserve">was performed according to manufacturer’s instructions. Samples with percentage inhibition ≥20% </w:t>
      </w:r>
      <w:r w:rsidRPr="00204D8D">
        <w:rPr>
          <w:rFonts w:ascii="Times New Roman" w:hAnsi="Times New Roman" w:cs="Times New Roman"/>
        </w:rPr>
        <w:lastRenderedPageBreak/>
        <w:t xml:space="preserve">were </w:t>
      </w:r>
      <w:r>
        <w:rPr>
          <w:rFonts w:ascii="Times New Roman" w:hAnsi="Times New Roman" w:cs="Times New Roman"/>
        </w:rPr>
        <w:t>considered positive</w:t>
      </w:r>
      <w:r w:rsidRPr="00204D8D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The sensitivity and specificity for these assays </w:t>
      </w:r>
      <w:r w:rsidRPr="009A4F91">
        <w:rPr>
          <w:rFonts w:ascii="Times New Roman" w:hAnsi="Times New Roman" w:cs="Times New Roman"/>
        </w:rPr>
        <w:t>w</w:t>
      </w:r>
      <w:r>
        <w:rPr>
          <w:rFonts w:ascii="Times New Roman" w:hAnsi="Times New Roman" w:cs="Times New Roman"/>
        </w:rPr>
        <w:t>ere</w:t>
      </w:r>
      <w:r w:rsidRPr="009A4F91">
        <w:rPr>
          <w:rFonts w:ascii="Times New Roman" w:hAnsi="Times New Roman" w:cs="Times New Roman"/>
        </w:rPr>
        <w:t xml:space="preserve"> determined by Receiver Operator Characteristic (ROC) curves base</w:t>
      </w:r>
      <w:r>
        <w:rPr>
          <w:rFonts w:ascii="Times New Roman" w:hAnsi="Times New Roman" w:cs="Times New Roman"/>
        </w:rPr>
        <w:t>d on previous analyses (413 pre-</w:t>
      </w:r>
      <w:r w:rsidRPr="009A4F91">
        <w:rPr>
          <w:rFonts w:ascii="Times New Roman" w:hAnsi="Times New Roman" w:cs="Times New Roman"/>
        </w:rPr>
        <w:t>pandemic negatives, 99 PCR confirmed cases)</w:t>
      </w:r>
      <w:r>
        <w:rPr>
          <w:rFonts w:ascii="Times New Roman" w:hAnsi="Times New Roman" w:cs="Times New Roman"/>
        </w:rPr>
        <w:t xml:space="preserve"> </w:t>
      </w:r>
      <w:r w:rsidR="002B608D" w:rsidRPr="002B608D">
        <w:rPr>
          <w:rFonts w:ascii="Times New Roman" w:eastAsia="Times New Roman" w:hAnsi="Times New Roman" w:cs="Times New Roman"/>
          <w:color w:val="000000"/>
        </w:rPr>
        <w:t>(</w:t>
      </w:r>
      <w:r w:rsidR="002B608D" w:rsidRPr="000F375F">
        <w:rPr>
          <w:rFonts w:ascii="Times New Roman" w:eastAsia="Times New Roman" w:hAnsi="Times New Roman" w:cs="Times New Roman"/>
          <w:i/>
          <w:color w:val="000000"/>
        </w:rPr>
        <w:t>2,4</w:t>
      </w:r>
      <w:r w:rsidR="002B608D" w:rsidRPr="002B608D">
        <w:rPr>
          <w:rFonts w:ascii="Times New Roman" w:eastAsia="Times New Roman" w:hAnsi="Times New Roman" w:cs="Times New Roman"/>
          <w:color w:val="000000"/>
        </w:rPr>
        <w:t>)</w:t>
      </w:r>
      <w:r w:rsidRPr="009A4F91">
        <w:rPr>
          <w:rFonts w:ascii="Times New Roman" w:hAnsi="Times New Roman" w:cs="Times New Roman"/>
          <w:i/>
        </w:rPr>
        <w:t>.</w:t>
      </w:r>
      <w:r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</w:rPr>
        <w:t xml:space="preserve">The </w:t>
      </w:r>
      <w:proofErr w:type="spellStart"/>
      <w:r w:rsidRPr="009A4F91">
        <w:rPr>
          <w:rFonts w:ascii="Times New Roman" w:hAnsi="Times New Roman" w:cs="Times New Roman"/>
        </w:rPr>
        <w:t>Euroimmun</w:t>
      </w:r>
      <w:proofErr w:type="spellEnd"/>
      <w:r w:rsidRPr="009A4F91">
        <w:rPr>
          <w:rFonts w:ascii="Times New Roman" w:hAnsi="Times New Roman" w:cs="Times New Roman"/>
        </w:rPr>
        <w:t xml:space="preserve"> S1 IgG ELISA </w:t>
      </w:r>
      <w:r>
        <w:rPr>
          <w:rFonts w:ascii="Times New Roman" w:hAnsi="Times New Roman" w:cs="Times New Roman"/>
        </w:rPr>
        <w:t xml:space="preserve">has </w:t>
      </w:r>
      <w:r w:rsidRPr="009A4F91">
        <w:rPr>
          <w:rFonts w:ascii="Times New Roman" w:hAnsi="Times New Roman" w:cs="Times New Roman"/>
        </w:rPr>
        <w:t xml:space="preserve">a sensitivity of 91.92% (95% </w:t>
      </w:r>
      <w:r>
        <w:rPr>
          <w:rFonts w:ascii="Times New Roman" w:hAnsi="Times New Roman" w:cs="Times New Roman"/>
        </w:rPr>
        <w:t>confidence interval (CI)</w:t>
      </w:r>
      <w:r w:rsidRPr="009A4F91">
        <w:rPr>
          <w:rFonts w:ascii="Times New Roman" w:hAnsi="Times New Roman" w:cs="Times New Roman"/>
        </w:rPr>
        <w:t xml:space="preserve">: </w:t>
      </w:r>
      <w:r w:rsidRPr="009A4F91">
        <w:rPr>
          <w:rFonts w:ascii="Times New Roman" w:hAnsi="Times New Roman" w:cs="Times New Roman"/>
          <w:lang w:val="en-NZ"/>
        </w:rPr>
        <w:t>84.86 to 95.85%)</w:t>
      </w:r>
      <w:r w:rsidRPr="009A4F91">
        <w:rPr>
          <w:rFonts w:ascii="Times New Roman" w:hAnsi="Times New Roman" w:cs="Times New Roman"/>
        </w:rPr>
        <w:t xml:space="preserve"> and specificity of 98.79% (95% CI:</w:t>
      </w:r>
      <w:r w:rsidRPr="009A4F91">
        <w:rPr>
          <w:rFonts w:ascii="Times New Roman" w:hAnsi="Times New Roman" w:cs="Times New Roman"/>
          <w:lang w:val="en-NZ"/>
        </w:rPr>
        <w:t xml:space="preserve"> 97.20 to 99.48%)</w:t>
      </w:r>
      <w:r w:rsidRPr="009A4F9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at the manufacturers recommended cut-off of ratio of 0.8. The </w:t>
      </w:r>
      <w:proofErr w:type="spellStart"/>
      <w:r>
        <w:rPr>
          <w:rFonts w:ascii="Times New Roman" w:hAnsi="Times New Roman" w:cs="Times New Roman"/>
        </w:rPr>
        <w:t>sVNT</w:t>
      </w:r>
      <w:proofErr w:type="spellEnd"/>
      <w:r>
        <w:rPr>
          <w:rFonts w:ascii="Times New Roman" w:hAnsi="Times New Roman" w:cs="Times New Roman"/>
        </w:rPr>
        <w:t xml:space="preserve"> has a </w:t>
      </w:r>
      <w:r w:rsidRPr="009A4F91">
        <w:rPr>
          <w:rFonts w:ascii="Times New Roman" w:hAnsi="Times New Roman" w:cs="Times New Roman"/>
        </w:rPr>
        <w:t xml:space="preserve">sensitivity of 88.89% (95% CI: </w:t>
      </w:r>
      <w:r w:rsidRPr="009A4F91">
        <w:rPr>
          <w:rFonts w:ascii="Times New Roman" w:hAnsi="Times New Roman" w:cs="Times New Roman"/>
          <w:lang w:val="en-NZ"/>
        </w:rPr>
        <w:t>81.19 to 93.68%)</w:t>
      </w:r>
      <w:r w:rsidRPr="009A4F91">
        <w:rPr>
          <w:rFonts w:ascii="Times New Roman" w:hAnsi="Times New Roman" w:cs="Times New Roman"/>
        </w:rPr>
        <w:t xml:space="preserve"> and a specificity of 100.00% (95% CI: </w:t>
      </w:r>
      <w:r w:rsidRPr="009A4F91">
        <w:rPr>
          <w:rFonts w:ascii="Times New Roman" w:hAnsi="Times New Roman" w:cs="Times New Roman"/>
          <w:lang w:val="en-NZ"/>
        </w:rPr>
        <w:t xml:space="preserve">99.08 to 100%) </w:t>
      </w:r>
      <w:r>
        <w:rPr>
          <w:rFonts w:ascii="Times New Roman" w:hAnsi="Times New Roman" w:cs="Times New Roman"/>
        </w:rPr>
        <w:t xml:space="preserve">at the manufacturers recommended cut-off of 20% inhibition (Supplementary Figure 3). </w:t>
      </w:r>
    </w:p>
    <w:p w14:paraId="3CD7F920" w14:textId="77777777" w:rsidR="005B63D8" w:rsidRDefault="005B63D8" w:rsidP="005B63D8">
      <w:pPr>
        <w:spacing w:line="480" w:lineRule="auto"/>
        <w:jc w:val="both"/>
        <w:rPr>
          <w:rFonts w:ascii="Times New Roman" w:hAnsi="Times New Roman" w:cs="Times New Roman"/>
        </w:rPr>
      </w:pPr>
    </w:p>
    <w:p w14:paraId="447D1AC4" w14:textId="77777777" w:rsidR="005B63D8" w:rsidRPr="009A4F91" w:rsidRDefault="005B63D8" w:rsidP="005B63D8">
      <w:pPr>
        <w:spacing w:line="480" w:lineRule="auto"/>
        <w:jc w:val="both"/>
        <w:rPr>
          <w:rFonts w:ascii="Times New Roman" w:hAnsi="Times New Roman" w:cs="Times New Roman"/>
        </w:rPr>
      </w:pPr>
      <w:r w:rsidRPr="009A4F91">
        <w:rPr>
          <w:rFonts w:ascii="Times New Roman" w:hAnsi="Times New Roman" w:cs="Times New Roman"/>
          <w:b/>
        </w:rPr>
        <w:t>Supplementary Figure 3.</w:t>
      </w:r>
      <w:r>
        <w:rPr>
          <w:rFonts w:ascii="Times New Roman" w:hAnsi="Times New Roman" w:cs="Times New Roman"/>
        </w:rPr>
        <w:t xml:space="preserve"> </w:t>
      </w:r>
      <w:r w:rsidRPr="009A4F91">
        <w:rPr>
          <w:rFonts w:ascii="Times New Roman" w:hAnsi="Times New Roman" w:cs="Times New Roman"/>
          <w:bCs/>
        </w:rPr>
        <w:t>Recei</w:t>
      </w:r>
      <w:r w:rsidRPr="00E20232">
        <w:rPr>
          <w:rFonts w:ascii="Times New Roman" w:hAnsi="Times New Roman" w:cs="Times New Roman"/>
          <w:bCs/>
        </w:rPr>
        <w:t>ver operating characteristic (ROC) curve</w:t>
      </w:r>
      <w:r w:rsidRPr="009A4F91">
        <w:rPr>
          <w:rFonts w:ascii="Times New Roman" w:hAnsi="Times New Roman" w:cs="Times New Roman"/>
          <w:bCs/>
        </w:rPr>
        <w:t xml:space="preserve">s for the two commercial assays used to confirm seropositivity. </w:t>
      </w:r>
      <w:r w:rsidRPr="00E20232">
        <w:rPr>
          <w:rFonts w:ascii="Times New Roman" w:hAnsi="Times New Roman" w:cs="Times New Roman"/>
        </w:rPr>
        <w:t>The line of no discrimination is shown in red.</w:t>
      </w:r>
    </w:p>
    <w:p w14:paraId="0E789863" w14:textId="77777777" w:rsidR="005B63D8" w:rsidRPr="00E20232" w:rsidRDefault="005B63D8" w:rsidP="005B63D8">
      <w:pPr>
        <w:spacing w:line="480" w:lineRule="auto"/>
        <w:rPr>
          <w:rFonts w:ascii="Times New Roman" w:hAnsi="Times New Roman" w:cs="Times New Roman"/>
        </w:rPr>
      </w:pPr>
      <w:r w:rsidRPr="00E20232">
        <w:rPr>
          <w:rFonts w:ascii="Times New Roman" w:hAnsi="Times New Roman" w:cs="Times New Roman"/>
          <w:noProof/>
        </w:rPr>
        <w:drawing>
          <wp:inline distT="0" distB="0" distL="0" distR="0" wp14:anchorId="1EFFF3A2" wp14:editId="5C324872">
            <wp:extent cx="5727700" cy="26955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AD6DF" w14:textId="77777777" w:rsidR="005B63D8" w:rsidRPr="00E20232" w:rsidRDefault="005B63D8" w:rsidP="005B63D8">
      <w:pPr>
        <w:spacing w:line="480" w:lineRule="auto"/>
        <w:rPr>
          <w:rFonts w:ascii="Times New Roman" w:eastAsiaTheme="minorHAnsi" w:hAnsi="Times New Roman" w:cs="Times New Roman"/>
        </w:rPr>
      </w:pPr>
    </w:p>
    <w:p w14:paraId="5A91F8BC" w14:textId="77777777" w:rsidR="005B63D8" w:rsidRPr="00E20232" w:rsidRDefault="005B63D8" w:rsidP="005B63D8">
      <w:pPr>
        <w:pStyle w:val="Heading1"/>
        <w:spacing w:line="48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E2023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Multiplex bead-based assay </w:t>
      </w:r>
    </w:p>
    <w:p w14:paraId="2D002854" w14:textId="10A8CD81" w:rsidR="005B63D8" w:rsidRPr="00E20232" w:rsidRDefault="005B63D8" w:rsidP="005B63D8">
      <w:pPr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</w:t>
      </w:r>
      <w:proofErr w:type="spellStart"/>
      <w:r>
        <w:rPr>
          <w:rFonts w:ascii="Times New Roman" w:hAnsi="Times New Roman" w:cs="Times New Roman"/>
        </w:rPr>
        <w:t>l</w:t>
      </w:r>
      <w:r w:rsidRPr="00E20232">
        <w:rPr>
          <w:rFonts w:ascii="Times New Roman" w:hAnsi="Times New Roman" w:cs="Times New Roman"/>
        </w:rPr>
        <w:t>uminex</w:t>
      </w:r>
      <w:proofErr w:type="spellEnd"/>
      <w:r w:rsidRPr="00204D8D">
        <w:rPr>
          <w:rFonts w:ascii="Times New Roman" w:hAnsi="Times New Roman" w:cs="Times New Roman"/>
        </w:rPr>
        <w:t xml:space="preserve"> multiplex bead-based assay</w:t>
      </w:r>
      <w:r w:rsidRPr="00E20232">
        <w:rPr>
          <w:rFonts w:ascii="Times New Roman" w:hAnsi="Times New Roman" w:cs="Times New Roman"/>
        </w:rPr>
        <w:t xml:space="preserve">s used to detect </w:t>
      </w:r>
      <w:r>
        <w:rPr>
          <w:rFonts w:ascii="Times New Roman" w:hAnsi="Times New Roman" w:cs="Times New Roman"/>
        </w:rPr>
        <w:t>antibody i</w:t>
      </w:r>
      <w:r w:rsidRPr="00E20232">
        <w:rPr>
          <w:rFonts w:ascii="Times New Roman" w:hAnsi="Times New Roman" w:cs="Times New Roman"/>
        </w:rPr>
        <w:t xml:space="preserve">sotype reactivities to viral proteins were </w:t>
      </w:r>
      <w:r>
        <w:rPr>
          <w:rFonts w:ascii="Times New Roman" w:hAnsi="Times New Roman" w:cs="Times New Roman"/>
        </w:rPr>
        <w:t>conducted</w:t>
      </w:r>
      <w:r w:rsidRPr="00E20232">
        <w:rPr>
          <w:rFonts w:ascii="Times New Roman" w:hAnsi="Times New Roman" w:cs="Times New Roman"/>
        </w:rPr>
        <w:t xml:space="preserve"> as previously described</w:t>
      </w:r>
      <w:r w:rsidR="00966F9F">
        <w:rPr>
          <w:rFonts w:ascii="Times New Roman" w:hAnsi="Times New Roman" w:cs="Times New Roman"/>
        </w:rPr>
        <w:t xml:space="preserve"> </w:t>
      </w:r>
      <w:r w:rsidR="002B608D" w:rsidRPr="002B608D">
        <w:rPr>
          <w:rFonts w:ascii="Times New Roman" w:eastAsia="Times New Roman" w:hAnsi="Times New Roman" w:cs="Times New Roman"/>
          <w:color w:val="000000"/>
        </w:rPr>
        <w:t>(</w:t>
      </w:r>
      <w:r w:rsidR="002B608D" w:rsidRPr="000F375F">
        <w:rPr>
          <w:rFonts w:ascii="Times New Roman" w:eastAsia="Times New Roman" w:hAnsi="Times New Roman" w:cs="Times New Roman"/>
          <w:i/>
          <w:color w:val="000000"/>
        </w:rPr>
        <w:t>5</w:t>
      </w:r>
      <w:r w:rsidR="002B608D" w:rsidRPr="002B608D">
        <w:rPr>
          <w:rFonts w:ascii="Times New Roman" w:eastAsia="Times New Roman" w:hAnsi="Times New Roman" w:cs="Times New Roman"/>
          <w:color w:val="000000"/>
        </w:rPr>
        <w:t>)</w:t>
      </w:r>
      <w:r w:rsidRPr="00E20232">
        <w:rPr>
          <w:rFonts w:ascii="Times New Roman" w:hAnsi="Times New Roman" w:cs="Times New Roman"/>
        </w:rPr>
        <w:t>. Briefly, samples were diluted to 1:400 (IgA, IgM) or 1:800 (IgG) in assay buffer</w:t>
      </w:r>
      <w:r>
        <w:rPr>
          <w:rFonts w:ascii="Times New Roman" w:hAnsi="Times New Roman" w:cs="Times New Roman"/>
        </w:rPr>
        <w:t xml:space="preserve"> and incubated with RBD, S and N protein beads.  </w:t>
      </w:r>
      <w:r w:rsidRPr="00E20232">
        <w:rPr>
          <w:rFonts w:ascii="Times New Roman" w:hAnsi="Times New Roman" w:cs="Times New Roman"/>
        </w:rPr>
        <w:lastRenderedPageBreak/>
        <w:t>PE- labelled anti-human IgA/M/G</w:t>
      </w:r>
      <w:r>
        <w:rPr>
          <w:rFonts w:ascii="Times New Roman" w:hAnsi="Times New Roman" w:cs="Times New Roman"/>
        </w:rPr>
        <w:t xml:space="preserve"> (Southern Biotech, Alabama, US)</w:t>
      </w:r>
      <w:r w:rsidRPr="00E20232">
        <w:rPr>
          <w:rFonts w:ascii="Times New Roman" w:hAnsi="Times New Roman" w:cs="Times New Roman"/>
        </w:rPr>
        <w:t xml:space="preserve"> were used to detect the different isotypes. </w:t>
      </w:r>
    </w:p>
    <w:p w14:paraId="7A17E4CC" w14:textId="77777777" w:rsidR="005B63D8" w:rsidRPr="00A817FD" w:rsidRDefault="005B63D8" w:rsidP="005B63D8">
      <w:pPr>
        <w:pStyle w:val="Heading1"/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</w:t>
      </w:r>
      <w:r w:rsidRPr="00A817F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revalence estimations</w:t>
      </w:r>
    </w:p>
    <w:p w14:paraId="01B14E7D" w14:textId="5E98761C" w:rsidR="005B63D8" w:rsidRPr="00A817FD" w:rsidRDefault="005B63D8" w:rsidP="005B63D8">
      <w:pPr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95% confidence intervals of the c</w:t>
      </w:r>
      <w:r w:rsidRPr="00A817FD">
        <w:rPr>
          <w:rFonts w:ascii="Times New Roman" w:hAnsi="Times New Roman" w:cs="Times New Roman"/>
        </w:rPr>
        <w:t>rude</w:t>
      </w:r>
      <w:r>
        <w:rPr>
          <w:rFonts w:ascii="Times New Roman" w:hAnsi="Times New Roman" w:cs="Times New Roman"/>
        </w:rPr>
        <w:t xml:space="preserve"> sero</w:t>
      </w:r>
      <w:r w:rsidRPr="00A817FD">
        <w:rPr>
          <w:rFonts w:ascii="Times New Roman" w:hAnsi="Times New Roman" w:cs="Times New Roman"/>
        </w:rPr>
        <w:t xml:space="preserve">prevalence </w:t>
      </w:r>
      <w:r>
        <w:rPr>
          <w:rFonts w:ascii="Times New Roman" w:hAnsi="Times New Roman" w:cs="Times New Roman"/>
        </w:rPr>
        <w:t>were</w:t>
      </w:r>
      <w:r w:rsidRPr="00A817FD">
        <w:rPr>
          <w:rFonts w:ascii="Times New Roman" w:hAnsi="Times New Roman" w:cs="Times New Roman"/>
        </w:rPr>
        <w:t xml:space="preserve"> estimated using the conservative exact Clopper-Pearson method</w:t>
      </w:r>
      <w:r w:rsidR="00966F9F">
        <w:rPr>
          <w:rFonts w:ascii="Times New Roman" w:hAnsi="Times New Roman" w:cs="Times New Roman"/>
        </w:rPr>
        <w:t xml:space="preserve"> </w:t>
      </w:r>
      <w:r w:rsidR="002B608D" w:rsidRPr="002B608D">
        <w:rPr>
          <w:rFonts w:ascii="Times New Roman" w:eastAsia="Times New Roman" w:hAnsi="Times New Roman" w:cs="Times New Roman"/>
          <w:color w:val="000000"/>
        </w:rPr>
        <w:t>(</w:t>
      </w:r>
      <w:r w:rsidR="002B608D" w:rsidRPr="000F375F">
        <w:rPr>
          <w:rFonts w:ascii="Times New Roman" w:eastAsia="Times New Roman" w:hAnsi="Times New Roman" w:cs="Times New Roman"/>
          <w:i/>
          <w:color w:val="000000"/>
        </w:rPr>
        <w:t>6</w:t>
      </w:r>
      <w:r w:rsidR="002B608D" w:rsidRPr="002B608D">
        <w:rPr>
          <w:rFonts w:ascii="Times New Roman" w:eastAsia="Times New Roman" w:hAnsi="Times New Roman" w:cs="Times New Roman"/>
          <w:color w:val="000000"/>
        </w:rPr>
        <w:t>)</w:t>
      </w:r>
      <w:r w:rsidRPr="00A817FD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For true prevalence calculations, a </w:t>
      </w:r>
      <w:r w:rsidRPr="00A817FD">
        <w:rPr>
          <w:rFonts w:ascii="Times New Roman" w:hAnsi="Times New Roman" w:cs="Times New Roman"/>
        </w:rPr>
        <w:t>combined sensitivity of 0.8171 and specificity of 1 was used</w:t>
      </w:r>
      <w:r>
        <w:rPr>
          <w:rFonts w:ascii="Times New Roman" w:hAnsi="Times New Roman" w:cs="Times New Roman"/>
        </w:rPr>
        <w:t xml:space="preserve"> a</w:t>
      </w:r>
      <w:r w:rsidRPr="00A817FD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the</w:t>
      </w:r>
      <w:r w:rsidRPr="00A817FD">
        <w:rPr>
          <w:rFonts w:ascii="Times New Roman" w:hAnsi="Times New Roman" w:cs="Times New Roman"/>
        </w:rPr>
        <w:t xml:space="preserve"> two tests were used in series, i.e. samples needed to test positive on both commercial </w:t>
      </w:r>
      <w:r>
        <w:rPr>
          <w:rFonts w:ascii="Times New Roman" w:hAnsi="Times New Roman" w:cs="Times New Roman"/>
        </w:rPr>
        <w:t>assays to be considered positive. This</w:t>
      </w:r>
      <w:r w:rsidRPr="00A817FD">
        <w:rPr>
          <w:rFonts w:ascii="Times New Roman" w:hAnsi="Times New Roman" w:cs="Times New Roman"/>
        </w:rPr>
        <w:t xml:space="preserve"> method increases specificity at the expense of sensitivity</w:t>
      </w:r>
      <w:r>
        <w:rPr>
          <w:rFonts w:ascii="Times New Roman" w:hAnsi="Times New Roman" w:cs="Times New Roman"/>
        </w:rPr>
        <w:t xml:space="preserve">. </w:t>
      </w:r>
      <w:r w:rsidRPr="00A817FD">
        <w:rPr>
          <w:rFonts w:ascii="Times New Roman" w:hAnsi="Times New Roman" w:cs="Times New Roman"/>
        </w:rPr>
        <w:t>As true prevalence was expected to be close to 0 it was estimated using the Rogan-</w:t>
      </w:r>
      <w:proofErr w:type="spellStart"/>
      <w:r w:rsidRPr="00A817FD">
        <w:rPr>
          <w:rFonts w:ascii="Times New Roman" w:hAnsi="Times New Roman" w:cs="Times New Roman"/>
        </w:rPr>
        <w:t>Gladen</w:t>
      </w:r>
      <w:proofErr w:type="spellEnd"/>
      <w:r>
        <w:rPr>
          <w:rFonts w:ascii="Times New Roman" w:hAnsi="Times New Roman" w:cs="Times New Roman"/>
        </w:rPr>
        <w:t xml:space="preserve"> </w:t>
      </w:r>
      <w:r w:rsidRPr="00A817FD">
        <w:rPr>
          <w:rFonts w:ascii="Times New Roman" w:hAnsi="Times New Roman" w:cs="Times New Roman"/>
        </w:rPr>
        <w:t>point estimate for prevalence</w:t>
      </w:r>
      <w:r w:rsidR="00966F9F">
        <w:rPr>
          <w:rFonts w:ascii="Times New Roman" w:hAnsi="Times New Roman" w:cs="Times New Roman"/>
        </w:rPr>
        <w:t xml:space="preserve"> </w:t>
      </w:r>
      <w:r w:rsidR="002B608D" w:rsidRPr="002B608D">
        <w:rPr>
          <w:rFonts w:ascii="Times New Roman" w:eastAsia="Times New Roman" w:hAnsi="Times New Roman" w:cs="Times New Roman"/>
          <w:color w:val="000000"/>
        </w:rPr>
        <w:t>(</w:t>
      </w:r>
      <w:r w:rsidR="002B608D" w:rsidRPr="000F375F">
        <w:rPr>
          <w:rFonts w:ascii="Times New Roman" w:eastAsia="Times New Roman" w:hAnsi="Times New Roman" w:cs="Times New Roman"/>
          <w:i/>
          <w:color w:val="000000"/>
        </w:rPr>
        <w:t>7</w:t>
      </w:r>
      <w:r w:rsidR="002B608D" w:rsidRPr="002B608D">
        <w:rPr>
          <w:rFonts w:ascii="Times New Roman" w:eastAsia="Times New Roman" w:hAnsi="Times New Roman" w:cs="Times New Roman"/>
          <w:color w:val="000000"/>
        </w:rPr>
        <w:t>)</w:t>
      </w:r>
      <w:r w:rsidR="00966F9F">
        <w:rPr>
          <w:rFonts w:ascii="Times New Roman" w:hAnsi="Times New Roman" w:cs="Times New Roman"/>
        </w:rPr>
        <w:t xml:space="preserve"> </w:t>
      </w:r>
      <w:r w:rsidRPr="00A817FD">
        <w:rPr>
          <w:rFonts w:ascii="Times New Roman" w:hAnsi="Times New Roman" w:cs="Times New Roman"/>
        </w:rPr>
        <w:t>with the Lang-</w:t>
      </w:r>
      <w:proofErr w:type="spellStart"/>
      <w:r w:rsidRPr="00A817FD">
        <w:rPr>
          <w:rFonts w:ascii="Times New Roman" w:hAnsi="Times New Roman" w:cs="Times New Roman"/>
        </w:rPr>
        <w:t>Reicziegel</w:t>
      </w:r>
      <w:proofErr w:type="spellEnd"/>
      <w:r>
        <w:rPr>
          <w:rFonts w:ascii="Times New Roman" w:hAnsi="Times New Roman" w:cs="Times New Roman"/>
        </w:rPr>
        <w:t xml:space="preserve"> confidence interval method</w:t>
      </w:r>
      <w:r w:rsidR="00966F9F">
        <w:rPr>
          <w:rFonts w:ascii="Times New Roman" w:hAnsi="Times New Roman" w:cs="Times New Roman"/>
        </w:rPr>
        <w:t xml:space="preserve"> </w:t>
      </w:r>
      <w:r w:rsidR="002B608D" w:rsidRPr="002B608D">
        <w:rPr>
          <w:rFonts w:ascii="Times New Roman" w:eastAsia="Times New Roman" w:hAnsi="Times New Roman" w:cs="Times New Roman"/>
          <w:color w:val="000000"/>
        </w:rPr>
        <w:t>(</w:t>
      </w:r>
      <w:r w:rsidR="002B608D" w:rsidRPr="000F375F">
        <w:rPr>
          <w:rFonts w:ascii="Times New Roman" w:eastAsia="Times New Roman" w:hAnsi="Times New Roman" w:cs="Times New Roman"/>
          <w:i/>
          <w:color w:val="000000"/>
        </w:rPr>
        <w:t>8</w:t>
      </w:r>
      <w:r w:rsidR="002B608D" w:rsidRPr="002B608D">
        <w:rPr>
          <w:rFonts w:ascii="Times New Roman" w:eastAsia="Times New Roman" w:hAnsi="Times New Roman" w:cs="Times New Roman"/>
          <w:color w:val="000000"/>
        </w:rPr>
        <w:t>)</w:t>
      </w:r>
      <w:r w:rsidRPr="00A817FD">
        <w:rPr>
          <w:rFonts w:ascii="Times New Roman" w:hAnsi="Times New Roman" w:cs="Times New Roman"/>
        </w:rPr>
        <w:t xml:space="preserve">. This adjusts for the fact that </w:t>
      </w:r>
      <w:r>
        <w:rPr>
          <w:rFonts w:ascii="Times New Roman" w:hAnsi="Times New Roman" w:cs="Times New Roman"/>
        </w:rPr>
        <w:t>test</w:t>
      </w:r>
      <w:r w:rsidRPr="00A817FD">
        <w:rPr>
          <w:rFonts w:ascii="Times New Roman" w:hAnsi="Times New Roman" w:cs="Times New Roman"/>
        </w:rPr>
        <w:t xml:space="preserve"> sensitivity is estimated from a sample of true positive individuals </w:t>
      </w:r>
      <w:r>
        <w:rPr>
          <w:rFonts w:ascii="Times New Roman" w:hAnsi="Times New Roman" w:cs="Times New Roman"/>
        </w:rPr>
        <w:t xml:space="preserve">(n=99) </w:t>
      </w:r>
      <w:r w:rsidRPr="00A817FD">
        <w:rPr>
          <w:rFonts w:ascii="Times New Roman" w:hAnsi="Times New Roman" w:cs="Times New Roman"/>
        </w:rPr>
        <w:t xml:space="preserve">and the specificity is </w:t>
      </w:r>
      <w:r>
        <w:rPr>
          <w:rFonts w:ascii="Times New Roman" w:hAnsi="Times New Roman" w:cs="Times New Roman"/>
        </w:rPr>
        <w:t xml:space="preserve">an </w:t>
      </w:r>
      <w:r w:rsidRPr="00A817FD">
        <w:rPr>
          <w:rFonts w:ascii="Times New Roman" w:hAnsi="Times New Roman" w:cs="Times New Roman"/>
        </w:rPr>
        <w:t>estimate from a sample of true negative individuals</w:t>
      </w:r>
      <w:r>
        <w:rPr>
          <w:rFonts w:ascii="Times New Roman" w:hAnsi="Times New Roman" w:cs="Times New Roman"/>
        </w:rPr>
        <w:t xml:space="preserve"> (n=413)</w:t>
      </w:r>
      <w:r w:rsidRPr="00A817FD">
        <w:rPr>
          <w:rFonts w:ascii="Times New Roman" w:hAnsi="Times New Roman" w:cs="Times New Roman"/>
        </w:rPr>
        <w:t>. The method has been shown to provide good coverage for prevalence close to 0 and overcomes several short comings of traditional methods</w:t>
      </w:r>
      <w:r w:rsidR="00966F9F">
        <w:rPr>
          <w:rFonts w:ascii="Times New Roman" w:hAnsi="Times New Roman" w:cs="Times New Roman"/>
        </w:rPr>
        <w:t xml:space="preserve"> </w:t>
      </w:r>
      <w:r w:rsidR="002B608D" w:rsidRPr="002B608D">
        <w:rPr>
          <w:rFonts w:ascii="Times New Roman" w:eastAsia="Times New Roman" w:hAnsi="Times New Roman" w:cs="Times New Roman"/>
          <w:color w:val="000000"/>
        </w:rPr>
        <w:t>(</w:t>
      </w:r>
      <w:r w:rsidR="002B608D" w:rsidRPr="000F375F">
        <w:rPr>
          <w:rFonts w:ascii="Times New Roman" w:eastAsia="Times New Roman" w:hAnsi="Times New Roman" w:cs="Times New Roman"/>
          <w:i/>
          <w:color w:val="000000"/>
        </w:rPr>
        <w:t>8,9</w:t>
      </w:r>
      <w:r w:rsidR="002B608D" w:rsidRPr="002B608D"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hAnsi="Times New Roman" w:cs="Times New Roman"/>
          <w:i/>
        </w:rPr>
        <w:t>.</w:t>
      </w:r>
      <w:r w:rsidRPr="00A817FD">
        <w:rPr>
          <w:rFonts w:ascii="Times New Roman" w:hAnsi="Times New Roman" w:cs="Times New Roman"/>
        </w:rPr>
        <w:t xml:space="preserve"> </w:t>
      </w:r>
    </w:p>
    <w:p w14:paraId="0A1CC5F0" w14:textId="77777777" w:rsidR="005B63D8" w:rsidRDefault="005B63D8" w:rsidP="005B63D8">
      <w:pPr>
        <w:spacing w:line="480" w:lineRule="auto"/>
        <w:rPr>
          <w:rFonts w:ascii="Times New Roman" w:hAnsi="Times New Roman" w:cs="Times New Roman"/>
        </w:rPr>
      </w:pPr>
    </w:p>
    <w:p w14:paraId="0CE24855" w14:textId="77777777" w:rsidR="005B63D8" w:rsidRPr="00A817FD" w:rsidRDefault="005B63D8" w:rsidP="005B63D8">
      <w:pPr>
        <w:spacing w:line="480" w:lineRule="auto"/>
        <w:rPr>
          <w:rFonts w:ascii="Times New Roman" w:hAnsi="Times New Roman" w:cs="Times New Roman"/>
          <w:b/>
        </w:rPr>
      </w:pPr>
      <w:r w:rsidRPr="00A817FD">
        <w:rPr>
          <w:rFonts w:ascii="Times New Roman" w:hAnsi="Times New Roman" w:cs="Times New Roman"/>
          <w:b/>
        </w:rPr>
        <w:t>Supplementary References</w:t>
      </w:r>
    </w:p>
    <w:p w14:paraId="7BBD64FF" w14:textId="0C4EEB45" w:rsidR="002B608D" w:rsidRPr="002B608D" w:rsidRDefault="002B608D">
      <w:pPr>
        <w:divId w:val="1778402217"/>
        <w:rPr>
          <w:rFonts w:eastAsia="Times New Roman"/>
          <w:color w:val="000000"/>
        </w:rPr>
      </w:pPr>
    </w:p>
    <w:p w14:paraId="2BD89328" w14:textId="77777777" w:rsidR="002B608D" w:rsidRPr="002B608D" w:rsidRDefault="002B608D" w:rsidP="00913305">
      <w:pPr>
        <w:pStyle w:val="csl-entry"/>
        <w:spacing w:line="480" w:lineRule="auto"/>
        <w:divId w:val="1778402217"/>
        <w:rPr>
          <w:color w:val="000000"/>
        </w:rPr>
      </w:pPr>
      <w:r w:rsidRPr="002B608D">
        <w:rPr>
          <w:color w:val="000000"/>
        </w:rPr>
        <w:t xml:space="preserve">1. Stadlbauer D, </w:t>
      </w:r>
      <w:proofErr w:type="spellStart"/>
      <w:r w:rsidRPr="002B608D">
        <w:rPr>
          <w:color w:val="000000"/>
        </w:rPr>
        <w:t>Amanat</w:t>
      </w:r>
      <w:proofErr w:type="spellEnd"/>
      <w:r w:rsidRPr="002B608D">
        <w:rPr>
          <w:color w:val="000000"/>
        </w:rPr>
        <w:t xml:space="preserve"> F, </w:t>
      </w:r>
      <w:proofErr w:type="spellStart"/>
      <w:r w:rsidRPr="002B608D">
        <w:rPr>
          <w:color w:val="000000"/>
        </w:rPr>
        <w:t>Chromikova</w:t>
      </w:r>
      <w:proofErr w:type="spellEnd"/>
      <w:r w:rsidRPr="002B608D">
        <w:rPr>
          <w:color w:val="000000"/>
        </w:rPr>
        <w:t xml:space="preserve"> V, Jiang K, </w:t>
      </w:r>
      <w:proofErr w:type="spellStart"/>
      <w:r w:rsidRPr="002B608D">
        <w:rPr>
          <w:color w:val="000000"/>
        </w:rPr>
        <w:t>Strohmeier</w:t>
      </w:r>
      <w:proofErr w:type="spellEnd"/>
      <w:r w:rsidRPr="002B608D">
        <w:rPr>
          <w:color w:val="000000"/>
        </w:rPr>
        <w:t xml:space="preserve"> S, </w:t>
      </w:r>
      <w:proofErr w:type="spellStart"/>
      <w:r w:rsidRPr="002B608D">
        <w:rPr>
          <w:color w:val="000000"/>
        </w:rPr>
        <w:t>Arunkumar</w:t>
      </w:r>
      <w:proofErr w:type="spellEnd"/>
      <w:r w:rsidRPr="002B608D">
        <w:rPr>
          <w:color w:val="000000"/>
        </w:rPr>
        <w:t xml:space="preserve"> GA, et al. SARS</w:t>
      </w:r>
      <w:r w:rsidRPr="002B608D">
        <w:rPr>
          <w:rFonts w:ascii="Cambria Math" w:hAnsi="Cambria Math" w:cs="Cambria Math"/>
          <w:color w:val="000000"/>
        </w:rPr>
        <w:t>‐</w:t>
      </w:r>
      <w:r w:rsidRPr="002B608D">
        <w:rPr>
          <w:color w:val="000000"/>
        </w:rPr>
        <w:t>CoV</w:t>
      </w:r>
      <w:r w:rsidRPr="002B608D">
        <w:rPr>
          <w:rFonts w:ascii="Cambria Math" w:hAnsi="Cambria Math" w:cs="Cambria Math"/>
          <w:color w:val="000000"/>
        </w:rPr>
        <w:t>‐</w:t>
      </w:r>
      <w:r w:rsidRPr="002B608D">
        <w:rPr>
          <w:color w:val="000000"/>
        </w:rPr>
        <w:t xml:space="preserve">2 Seroconversion in Humans: A Detailed Protocol for a Serological Assay, Antigen Production, and Test Setup. </w:t>
      </w:r>
      <w:proofErr w:type="spellStart"/>
      <w:r w:rsidRPr="002B608D">
        <w:rPr>
          <w:color w:val="000000"/>
        </w:rPr>
        <w:t>Curr</w:t>
      </w:r>
      <w:proofErr w:type="spellEnd"/>
      <w:r w:rsidRPr="002B608D">
        <w:rPr>
          <w:color w:val="000000"/>
        </w:rPr>
        <w:t xml:space="preserve"> </w:t>
      </w:r>
      <w:proofErr w:type="spellStart"/>
      <w:r w:rsidRPr="002B608D">
        <w:rPr>
          <w:color w:val="000000"/>
        </w:rPr>
        <w:t>Protoc</w:t>
      </w:r>
      <w:proofErr w:type="spellEnd"/>
      <w:r w:rsidRPr="002B608D">
        <w:rPr>
          <w:color w:val="000000"/>
        </w:rPr>
        <w:t xml:space="preserve"> </w:t>
      </w:r>
      <w:proofErr w:type="spellStart"/>
      <w:r w:rsidRPr="002B608D">
        <w:rPr>
          <w:color w:val="000000"/>
        </w:rPr>
        <w:t>Microbiol</w:t>
      </w:r>
      <w:proofErr w:type="spellEnd"/>
      <w:r w:rsidRPr="002B608D">
        <w:rPr>
          <w:color w:val="000000"/>
        </w:rPr>
        <w:t>. 2020;57(1):e100.</w:t>
      </w:r>
    </w:p>
    <w:p w14:paraId="2E923D93" w14:textId="05845282" w:rsidR="002B608D" w:rsidRPr="002B608D" w:rsidRDefault="002B608D" w:rsidP="00913305">
      <w:pPr>
        <w:pStyle w:val="csl-entry"/>
        <w:spacing w:line="480" w:lineRule="auto"/>
        <w:divId w:val="1778402217"/>
        <w:rPr>
          <w:color w:val="000000"/>
        </w:rPr>
      </w:pPr>
      <w:r w:rsidRPr="002B608D">
        <w:rPr>
          <w:color w:val="000000"/>
        </w:rPr>
        <w:t xml:space="preserve">2. McGregor R, Whitcombe AL, Sheen CR, Dickson JM, Day CL, Carlton LH, et al. Collaborative networks enable the rapid establishment of serological assays for SARS-CoV-2 during nationwide lockdown in New Zealand. </w:t>
      </w:r>
      <w:proofErr w:type="spellStart"/>
      <w:r w:rsidRPr="002B608D">
        <w:rPr>
          <w:color w:val="000000"/>
        </w:rPr>
        <w:t>Peer</w:t>
      </w:r>
      <w:r w:rsidR="003039AA">
        <w:rPr>
          <w:color w:val="000000"/>
        </w:rPr>
        <w:t>J</w:t>
      </w:r>
      <w:proofErr w:type="spellEnd"/>
      <w:r w:rsidRPr="002B608D">
        <w:rPr>
          <w:color w:val="000000"/>
        </w:rPr>
        <w:t>. 2020;8:e9863.</w:t>
      </w:r>
    </w:p>
    <w:p w14:paraId="3B50F44A" w14:textId="77777777" w:rsidR="002B608D" w:rsidRPr="002B608D" w:rsidRDefault="002B608D" w:rsidP="00913305">
      <w:pPr>
        <w:pStyle w:val="csl-entry"/>
        <w:spacing w:line="480" w:lineRule="auto"/>
        <w:divId w:val="1778402217"/>
        <w:rPr>
          <w:color w:val="000000"/>
        </w:rPr>
      </w:pPr>
      <w:r w:rsidRPr="002B608D">
        <w:rPr>
          <w:color w:val="000000"/>
        </w:rPr>
        <w:lastRenderedPageBreak/>
        <w:t xml:space="preserve">3. Tan CW, Chia WN, Qin X, Liu P, Chen MI-C, Tiu C, et al. A SARS-CoV-2 surrogate virus neutralization test based on antibody-mediated blockage of ACE2–spike protein–protein interaction. Nat </w:t>
      </w:r>
      <w:proofErr w:type="spellStart"/>
      <w:r w:rsidRPr="002B608D">
        <w:rPr>
          <w:color w:val="000000"/>
        </w:rPr>
        <w:t>Biotechnol</w:t>
      </w:r>
      <w:proofErr w:type="spellEnd"/>
      <w:r w:rsidRPr="002B608D">
        <w:rPr>
          <w:color w:val="000000"/>
        </w:rPr>
        <w:t>. 2020;1–6.</w:t>
      </w:r>
    </w:p>
    <w:p w14:paraId="2BB88417" w14:textId="4AB2950A" w:rsidR="002B608D" w:rsidRPr="002B608D" w:rsidRDefault="002B608D" w:rsidP="00913305">
      <w:pPr>
        <w:pStyle w:val="csl-entry"/>
        <w:spacing w:line="480" w:lineRule="auto"/>
        <w:divId w:val="1778402217"/>
        <w:rPr>
          <w:color w:val="000000"/>
        </w:rPr>
      </w:pPr>
      <w:r w:rsidRPr="002B608D">
        <w:rPr>
          <w:color w:val="000000"/>
        </w:rPr>
        <w:t>4. Craigie A, McGregor R, Whitcombe A, Carlton L, Harte D, Sutherland M, et al. SARS-CoV-2 antibodies in the Southern Region of New Zealand. Pathology - Journal of the RCPA. in press</w:t>
      </w:r>
      <w:r w:rsidR="003A204E">
        <w:rPr>
          <w:color w:val="000000"/>
        </w:rPr>
        <w:t xml:space="preserve"> 2021</w:t>
      </w:r>
      <w:r w:rsidRPr="002B608D">
        <w:rPr>
          <w:color w:val="000000"/>
        </w:rPr>
        <w:t>.</w:t>
      </w:r>
    </w:p>
    <w:p w14:paraId="60B02B96" w14:textId="77777777" w:rsidR="002B608D" w:rsidRPr="002B608D" w:rsidRDefault="002B608D" w:rsidP="00913305">
      <w:pPr>
        <w:pStyle w:val="csl-entry"/>
        <w:spacing w:line="480" w:lineRule="auto"/>
        <w:divId w:val="1778402217"/>
        <w:rPr>
          <w:color w:val="000000"/>
        </w:rPr>
      </w:pPr>
      <w:r w:rsidRPr="002B608D">
        <w:rPr>
          <w:color w:val="000000"/>
        </w:rPr>
        <w:t>5. Whitcombe AL, McGregor R, Craigie A, James A, Charlewood R, Lorenz N, et al. Comprehensive analysis of SARS</w:t>
      </w:r>
      <w:r w:rsidRPr="002B608D">
        <w:rPr>
          <w:rFonts w:ascii="Cambria Math" w:hAnsi="Cambria Math" w:cs="Cambria Math"/>
          <w:color w:val="000000"/>
        </w:rPr>
        <w:t>‐</w:t>
      </w:r>
      <w:r w:rsidRPr="002B608D">
        <w:rPr>
          <w:color w:val="000000"/>
        </w:rPr>
        <w:t>CoV</w:t>
      </w:r>
      <w:r w:rsidRPr="002B608D">
        <w:rPr>
          <w:rFonts w:ascii="Cambria Math" w:hAnsi="Cambria Math" w:cs="Cambria Math"/>
          <w:color w:val="000000"/>
        </w:rPr>
        <w:t>‐</w:t>
      </w:r>
      <w:r w:rsidRPr="002B608D">
        <w:rPr>
          <w:color w:val="000000"/>
        </w:rPr>
        <w:t xml:space="preserve">2 antibody dynamics in New Zealand. Clin </w:t>
      </w:r>
      <w:proofErr w:type="spellStart"/>
      <w:r w:rsidRPr="002B608D">
        <w:rPr>
          <w:color w:val="000000"/>
        </w:rPr>
        <w:t>Transl</w:t>
      </w:r>
      <w:proofErr w:type="spellEnd"/>
      <w:r w:rsidRPr="002B608D">
        <w:rPr>
          <w:color w:val="000000"/>
        </w:rPr>
        <w:t xml:space="preserve"> Immunol. 2021;10(3).</w:t>
      </w:r>
    </w:p>
    <w:p w14:paraId="61851366" w14:textId="77777777" w:rsidR="002B608D" w:rsidRPr="002B608D" w:rsidRDefault="002B608D" w:rsidP="00913305">
      <w:pPr>
        <w:pStyle w:val="csl-entry"/>
        <w:spacing w:line="480" w:lineRule="auto"/>
        <w:divId w:val="1778402217"/>
        <w:rPr>
          <w:color w:val="000000"/>
        </w:rPr>
      </w:pPr>
      <w:r w:rsidRPr="002B608D">
        <w:rPr>
          <w:color w:val="000000"/>
        </w:rPr>
        <w:t xml:space="preserve">6. Clopper CJ, Pearson ES. The Use of Confidence or Fiducial Limits Illustrated in the Case of the Binomial. </w:t>
      </w:r>
      <w:proofErr w:type="spellStart"/>
      <w:r w:rsidRPr="002B608D">
        <w:rPr>
          <w:color w:val="000000"/>
        </w:rPr>
        <w:t>Biometrika</w:t>
      </w:r>
      <w:proofErr w:type="spellEnd"/>
      <w:r w:rsidRPr="002B608D">
        <w:rPr>
          <w:color w:val="000000"/>
        </w:rPr>
        <w:t>. 1934;26(4):404.</w:t>
      </w:r>
    </w:p>
    <w:p w14:paraId="49461E33" w14:textId="77777777" w:rsidR="002B608D" w:rsidRPr="002B608D" w:rsidRDefault="002B608D" w:rsidP="00913305">
      <w:pPr>
        <w:pStyle w:val="csl-entry"/>
        <w:spacing w:line="480" w:lineRule="auto"/>
        <w:divId w:val="1778402217"/>
        <w:rPr>
          <w:color w:val="000000"/>
        </w:rPr>
      </w:pPr>
      <w:r w:rsidRPr="002B608D">
        <w:rPr>
          <w:color w:val="000000"/>
        </w:rPr>
        <w:t xml:space="preserve">7. Rogan WJ, </w:t>
      </w:r>
      <w:proofErr w:type="spellStart"/>
      <w:r w:rsidRPr="002B608D">
        <w:rPr>
          <w:color w:val="000000"/>
        </w:rPr>
        <w:t>Gladen</w:t>
      </w:r>
      <w:proofErr w:type="spellEnd"/>
      <w:r w:rsidRPr="002B608D">
        <w:rPr>
          <w:color w:val="000000"/>
        </w:rPr>
        <w:t xml:space="preserve"> B. Estimating prevalence from the results of a screening test. Am J Epidemiol. 1978;107(1):71–6.</w:t>
      </w:r>
    </w:p>
    <w:p w14:paraId="220164D1" w14:textId="77777777" w:rsidR="002B608D" w:rsidRPr="002B608D" w:rsidRDefault="002B608D" w:rsidP="00913305">
      <w:pPr>
        <w:pStyle w:val="csl-entry"/>
        <w:spacing w:line="480" w:lineRule="auto"/>
        <w:divId w:val="1778402217"/>
        <w:rPr>
          <w:color w:val="000000"/>
        </w:rPr>
      </w:pPr>
      <w:r w:rsidRPr="002B608D">
        <w:rPr>
          <w:color w:val="000000"/>
        </w:rPr>
        <w:t xml:space="preserve">8. Lang Z, </w:t>
      </w:r>
      <w:proofErr w:type="spellStart"/>
      <w:r w:rsidRPr="002B608D">
        <w:rPr>
          <w:color w:val="000000"/>
        </w:rPr>
        <w:t>Reiczigel</w:t>
      </w:r>
      <w:proofErr w:type="spellEnd"/>
      <w:r w:rsidRPr="002B608D">
        <w:rPr>
          <w:color w:val="000000"/>
        </w:rPr>
        <w:t xml:space="preserve"> J. Confidence limits for prevalence of disease adjusted for estimated sensitivity and specificity. </w:t>
      </w:r>
      <w:proofErr w:type="spellStart"/>
      <w:r w:rsidRPr="002B608D">
        <w:rPr>
          <w:color w:val="000000"/>
        </w:rPr>
        <w:t>Prev</w:t>
      </w:r>
      <w:proofErr w:type="spellEnd"/>
      <w:r w:rsidRPr="002B608D">
        <w:rPr>
          <w:color w:val="000000"/>
        </w:rPr>
        <w:t xml:space="preserve"> Vet Med. 2014;113(1):13–22.</w:t>
      </w:r>
    </w:p>
    <w:p w14:paraId="2A857B0C" w14:textId="02788C49" w:rsidR="002B608D" w:rsidRPr="002B608D" w:rsidRDefault="002B608D" w:rsidP="00913305">
      <w:pPr>
        <w:pStyle w:val="csl-entry"/>
        <w:spacing w:line="480" w:lineRule="auto"/>
        <w:divId w:val="1778402217"/>
        <w:rPr>
          <w:color w:val="000000"/>
        </w:rPr>
      </w:pPr>
      <w:r w:rsidRPr="002B608D">
        <w:rPr>
          <w:color w:val="000000"/>
        </w:rPr>
        <w:t xml:space="preserve">9. </w:t>
      </w:r>
      <w:proofErr w:type="spellStart"/>
      <w:r w:rsidRPr="002B608D">
        <w:rPr>
          <w:color w:val="000000"/>
        </w:rPr>
        <w:t>Flor</w:t>
      </w:r>
      <w:proofErr w:type="spellEnd"/>
      <w:r w:rsidRPr="002B608D">
        <w:rPr>
          <w:color w:val="000000"/>
        </w:rPr>
        <w:t xml:space="preserve"> M, </w:t>
      </w:r>
      <w:proofErr w:type="spellStart"/>
      <w:r w:rsidRPr="002B608D">
        <w:rPr>
          <w:color w:val="000000"/>
        </w:rPr>
        <w:t>Weiß</w:t>
      </w:r>
      <w:proofErr w:type="spellEnd"/>
      <w:r w:rsidRPr="002B608D">
        <w:rPr>
          <w:color w:val="000000"/>
        </w:rPr>
        <w:t xml:space="preserve"> M, Selhorst T, Müller-Graf C, Greiner M. Comparison of Bayesian and frequentist methods for prevalence estimation under misclassification. </w:t>
      </w:r>
      <w:r w:rsidR="003039AA">
        <w:rPr>
          <w:color w:val="000000"/>
        </w:rPr>
        <w:t>BMC</w:t>
      </w:r>
      <w:r w:rsidRPr="002B608D">
        <w:rPr>
          <w:color w:val="000000"/>
        </w:rPr>
        <w:t xml:space="preserve"> Public Health. 2020;20(1):1135.</w:t>
      </w:r>
    </w:p>
    <w:p w14:paraId="0F17DA61" w14:textId="60EA01AB" w:rsidR="005B63D8" w:rsidRPr="00EE746D" w:rsidRDefault="002B608D" w:rsidP="005B63D8">
      <w:pPr>
        <w:spacing w:line="480" w:lineRule="auto"/>
        <w:rPr>
          <w:rFonts w:ascii="Times New Roman" w:hAnsi="Times New Roman" w:cs="Times New Roman"/>
        </w:rPr>
      </w:pPr>
      <w:r w:rsidRPr="002B608D">
        <w:rPr>
          <w:rFonts w:eastAsia="Times New Roman"/>
          <w:color w:val="000000"/>
        </w:rPr>
        <w:t> </w:t>
      </w:r>
    </w:p>
    <w:p w14:paraId="23B03D80" w14:textId="77777777" w:rsidR="00B85E9C" w:rsidRDefault="00662A56"/>
    <w:sectPr w:rsidR="00B85E9C" w:rsidSect="003E5A56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63D8"/>
    <w:rsid w:val="00084F69"/>
    <w:rsid w:val="000A316D"/>
    <w:rsid w:val="000F375F"/>
    <w:rsid w:val="0012418C"/>
    <w:rsid w:val="001B0157"/>
    <w:rsid w:val="00274943"/>
    <w:rsid w:val="00293541"/>
    <w:rsid w:val="002B608D"/>
    <w:rsid w:val="00301BD5"/>
    <w:rsid w:val="003039AA"/>
    <w:rsid w:val="00304894"/>
    <w:rsid w:val="00313A12"/>
    <w:rsid w:val="00313F14"/>
    <w:rsid w:val="00347F7C"/>
    <w:rsid w:val="00377AA6"/>
    <w:rsid w:val="003A204E"/>
    <w:rsid w:val="003E5A56"/>
    <w:rsid w:val="004079E9"/>
    <w:rsid w:val="00437A45"/>
    <w:rsid w:val="005756F6"/>
    <w:rsid w:val="005A4355"/>
    <w:rsid w:val="005A7CD3"/>
    <w:rsid w:val="005B63D8"/>
    <w:rsid w:val="00605DCF"/>
    <w:rsid w:val="00654678"/>
    <w:rsid w:val="00662A56"/>
    <w:rsid w:val="006830E7"/>
    <w:rsid w:val="006E6868"/>
    <w:rsid w:val="00747F40"/>
    <w:rsid w:val="007812CE"/>
    <w:rsid w:val="007D1AA7"/>
    <w:rsid w:val="00881B15"/>
    <w:rsid w:val="00895FB0"/>
    <w:rsid w:val="008B363A"/>
    <w:rsid w:val="00913305"/>
    <w:rsid w:val="00966F9F"/>
    <w:rsid w:val="009E0E76"/>
    <w:rsid w:val="00A956C1"/>
    <w:rsid w:val="00AE482F"/>
    <w:rsid w:val="00AF067F"/>
    <w:rsid w:val="00B60049"/>
    <w:rsid w:val="00BB7A4B"/>
    <w:rsid w:val="00C0708C"/>
    <w:rsid w:val="00C17E83"/>
    <w:rsid w:val="00C303E4"/>
    <w:rsid w:val="00C473AC"/>
    <w:rsid w:val="00CC0755"/>
    <w:rsid w:val="00D27D76"/>
    <w:rsid w:val="00D30CC7"/>
    <w:rsid w:val="00D31519"/>
    <w:rsid w:val="00D94533"/>
    <w:rsid w:val="00D963D7"/>
    <w:rsid w:val="00DB08D5"/>
    <w:rsid w:val="00ED7E8D"/>
    <w:rsid w:val="00F033C3"/>
    <w:rsid w:val="00F5230F"/>
    <w:rsid w:val="00F71C7D"/>
    <w:rsid w:val="00F936C1"/>
    <w:rsid w:val="00FF0ECB"/>
    <w:rsid w:val="00FF2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25217F"/>
  <w15:chartTrackingRefBased/>
  <w15:docId w15:val="{075ACE57-C3BD-3940-BB38-712151AC8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63D8"/>
    <w:rPr>
      <w:rFonts w:eastAsiaTheme="minorEastAsia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5B63D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B63D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B63D8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5B63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/>
    </w:rPr>
  </w:style>
  <w:style w:type="paragraph" w:customStyle="1" w:styleId="csl-entry">
    <w:name w:val="csl-entry"/>
    <w:basedOn w:val="Normal"/>
    <w:rsid w:val="005B63D8"/>
    <w:pPr>
      <w:spacing w:before="100" w:beforeAutospacing="1" w:after="100" w:afterAutospacing="1"/>
    </w:pPr>
    <w:rPr>
      <w:rFonts w:ascii="Times New Roman" w:hAnsi="Times New Roman" w:cs="Times New Roman"/>
      <w:lang w:val="en-NZ"/>
    </w:rPr>
  </w:style>
  <w:style w:type="character" w:styleId="Strong">
    <w:name w:val="Strong"/>
    <w:basedOn w:val="DefaultParagraphFont"/>
    <w:uiPriority w:val="22"/>
    <w:qFormat/>
    <w:rsid w:val="005B63D8"/>
    <w:rPr>
      <w:b/>
      <w:bCs/>
    </w:rPr>
  </w:style>
  <w:style w:type="table" w:styleId="PlainTable1">
    <w:name w:val="Plain Table 1"/>
    <w:basedOn w:val="TableNormal"/>
    <w:uiPriority w:val="41"/>
    <w:rsid w:val="005B63D8"/>
    <w:rPr>
      <w:sz w:val="22"/>
      <w:szCs w:val="22"/>
      <w:lang w:val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PlaceholderText">
    <w:name w:val="Placeholder Text"/>
    <w:basedOn w:val="DefaultParagraphFont"/>
    <w:uiPriority w:val="99"/>
    <w:semiHidden/>
    <w:rsid w:val="005B63D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70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6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3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3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4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3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8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1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3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9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6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4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5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9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3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1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8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4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2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1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3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8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3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9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6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7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6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8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2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3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5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5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4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4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8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8FEC5DE8-8492-2244-81E6-87A2F0C43A52}">
  <we:reference id="wa104380917" version="1.0.1.0" store="en-US" storeType="OMEX"/>
  <we:alternateReferences>
    <we:reference id="WA104380917" version="1.0.1.0" store="WA104380917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39F86CD-C4BA-AE4C-A40F-53417CBE41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1269</Words>
  <Characters>7235</Characters>
  <Application>Microsoft Office Word</Application>
  <DocSecurity>4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Reuben McGregor</dc:creator>
  <cp:keywords/>
  <dc:description/>
  <cp:lastModifiedBy>Lauren Carlton</cp:lastModifiedBy>
  <cp:revision>2</cp:revision>
  <dcterms:created xsi:type="dcterms:W3CDTF">2021-04-27T21:21:00Z</dcterms:created>
  <dcterms:modified xsi:type="dcterms:W3CDTF">2021-04-27T21:21:00Z</dcterms:modified>
</cp:coreProperties>
</file>