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0CE9" w:rsidRPr="007849FC" w:rsidRDefault="00B86FBF" w:rsidP="007849FC">
      <w:pPr>
        <w:spacing w:line="480" w:lineRule="auto"/>
        <w:outlineLvl w:val="0"/>
        <w:rPr>
          <w:rFonts w:ascii="Times New Roman" w:hAnsi="Times New Roman"/>
          <w:b/>
          <w:sz w:val="24"/>
          <w:szCs w:val="24"/>
        </w:rPr>
      </w:pPr>
      <w:bookmarkStart w:id="0" w:name="_Hlk65161299"/>
      <w:bookmarkStart w:id="1" w:name="_Hlk65849412"/>
      <w:r>
        <w:rPr>
          <w:rFonts w:ascii="Times New Roman" w:hAnsi="Times New Roman"/>
          <w:b/>
          <w:sz w:val="24"/>
          <w:szCs w:val="24"/>
        </w:rPr>
        <w:t>Estimation of delay-adjusted all-cause excess mortality in the USA: March–December 2020</w:t>
      </w:r>
      <w:bookmarkEnd w:id="0"/>
      <w:bookmarkEnd w:id="1"/>
      <w:r w:rsidR="001A0CE9">
        <w:rPr>
          <w:rFonts w:ascii="Times New Roman" w:hAnsi="Times New Roman"/>
          <w:b/>
          <w:sz w:val="24"/>
          <w:szCs w:val="24"/>
        </w:rPr>
        <w:br/>
      </w:r>
      <w:r w:rsidR="00056C43">
        <w:rPr>
          <w:rFonts w:ascii="Times New Roman" w:hAnsi="Times New Roman"/>
          <w:sz w:val="24"/>
          <w:szCs w:val="24"/>
        </w:rPr>
        <w:t>Andrei R. Akhmetzhano</w:t>
      </w:r>
      <w:r w:rsidR="00A22865">
        <w:rPr>
          <w:rFonts w:ascii="Times New Roman" w:hAnsi="Times New Roman"/>
          <w:sz w:val="24"/>
          <w:szCs w:val="24"/>
        </w:rPr>
        <w:t>v</w:t>
      </w:r>
      <w:r w:rsidR="001A0CE9">
        <w:rPr>
          <w:rFonts w:ascii="Times New Roman" w:hAnsi="Times New Roman"/>
          <w:sz w:val="24"/>
          <w:szCs w:val="24"/>
        </w:rPr>
        <w:br/>
      </w:r>
      <w:r w:rsidR="001A0CE9">
        <w:rPr>
          <w:rFonts w:ascii="Times New Roman" w:hAnsi="Times New Roman"/>
          <w:sz w:val="24"/>
          <w:szCs w:val="24"/>
        </w:rPr>
        <w:br/>
      </w:r>
      <w:r w:rsidR="001A0CE9" w:rsidRPr="001A0CE9">
        <w:rPr>
          <w:rFonts w:ascii="Times New Roman" w:hAnsi="Times New Roman"/>
          <w:b/>
          <w:sz w:val="24"/>
          <w:szCs w:val="24"/>
        </w:rPr>
        <w:t>Appendix</w:t>
      </w:r>
    </w:p>
    <w:p w:rsidR="00A22865" w:rsidRDefault="00A22865" w:rsidP="00A22865">
      <w:pPr>
        <w:spacing w:line="480" w:lineRule="auto"/>
        <w:jc w:val="center"/>
        <w:outlineLvl w:val="0"/>
        <w:rPr>
          <w:rFonts w:ascii="Times New Roman" w:hAnsi="Times New Roman"/>
          <w:sz w:val="24"/>
          <w:szCs w:val="24"/>
        </w:rPr>
      </w:pPr>
      <w:r>
        <w:rPr>
          <w:rFonts w:ascii="Times New Roman" w:hAnsi="Times New Roman"/>
          <w:sz w:val="24"/>
          <w:szCs w:val="24"/>
        </w:rPr>
        <w:br w:type="page"/>
      </w:r>
      <w:r>
        <w:rPr>
          <w:rFonts w:ascii="Times New Roman" w:hAnsi="Times New Roman"/>
          <w:noProof/>
          <w:sz w:val="24"/>
          <w:szCs w:val="24"/>
        </w:rPr>
        <w:lastRenderedPageBreak/>
        <w:drawing>
          <wp:inline distT="0" distB="0" distL="0" distR="0">
            <wp:extent cx="5334867" cy="5019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42508" cy="5026865"/>
                    </a:xfrm>
                    <a:prstGeom prst="rect">
                      <a:avLst/>
                    </a:prstGeom>
                  </pic:spPr>
                </pic:pic>
              </a:graphicData>
            </a:graphic>
          </wp:inline>
        </w:drawing>
      </w:r>
    </w:p>
    <w:p w:rsidR="00CE15A8" w:rsidRPr="00A877F2" w:rsidRDefault="00CE15A8" w:rsidP="00FD369C">
      <w:pPr>
        <w:spacing w:line="480" w:lineRule="auto"/>
        <w:rPr>
          <w:rFonts w:ascii="Times New Roman" w:hAnsi="Times New Roman"/>
          <w:sz w:val="24"/>
          <w:szCs w:val="24"/>
        </w:rPr>
      </w:pPr>
      <w:r w:rsidRPr="00A877F2">
        <w:rPr>
          <w:rFonts w:ascii="Times New Roman" w:hAnsi="Times New Roman"/>
          <w:b/>
          <w:sz w:val="24"/>
          <w:szCs w:val="24"/>
        </w:rPr>
        <w:t>Appendix Figure</w:t>
      </w:r>
      <w:r>
        <w:rPr>
          <w:rFonts w:ascii="Times New Roman" w:hAnsi="Times New Roman"/>
          <w:b/>
          <w:sz w:val="24"/>
          <w:szCs w:val="24"/>
        </w:rPr>
        <w:t xml:space="preserve"> 1</w:t>
      </w:r>
      <w:r w:rsidRPr="00A877F2">
        <w:rPr>
          <w:rFonts w:ascii="Times New Roman" w:hAnsi="Times New Roman"/>
          <w:b/>
          <w:sz w:val="24"/>
          <w:szCs w:val="24"/>
        </w:rPr>
        <w:t>.</w:t>
      </w:r>
      <w:r w:rsidRPr="00A877F2">
        <w:rPr>
          <w:rFonts w:ascii="Times New Roman" w:hAnsi="Times New Roman"/>
          <w:sz w:val="24"/>
          <w:szCs w:val="24"/>
        </w:rPr>
        <w:t xml:space="preserve"> </w:t>
      </w:r>
      <w:r w:rsidR="00FD369C">
        <w:rPr>
          <w:rFonts w:ascii="Times New Roman" w:hAnsi="Times New Roman"/>
          <w:sz w:val="24"/>
          <w:szCs w:val="24"/>
        </w:rPr>
        <w:t xml:space="preserve">The mean and standard deviation of the reporting delay distribution estimated by one of three unimodal distributions or their mixture model (Legend). The color of the point for the mixture model indicates the relative weights of the component distributions according to the spectral color palette. </w:t>
      </w:r>
    </w:p>
    <w:p w:rsidR="00A22865" w:rsidRDefault="00A22865">
      <w:pPr>
        <w:spacing w:after="0" w:line="240" w:lineRule="auto"/>
        <w:rPr>
          <w:rFonts w:ascii="Times New Roman" w:hAnsi="Times New Roman"/>
          <w:sz w:val="24"/>
          <w:szCs w:val="24"/>
        </w:rPr>
      </w:pPr>
      <w:r>
        <w:rPr>
          <w:rFonts w:ascii="Times New Roman" w:hAnsi="Times New Roman"/>
          <w:sz w:val="24"/>
          <w:szCs w:val="24"/>
        </w:rPr>
        <w:br w:type="page"/>
      </w:r>
    </w:p>
    <w:p w:rsidR="00A22865" w:rsidRDefault="00A22865" w:rsidP="00A22865">
      <w:pPr>
        <w:spacing w:after="0" w:line="240" w:lineRule="auto"/>
        <w:jc w:val="center"/>
        <w:rPr>
          <w:rFonts w:ascii="Times New Roman" w:hAnsi="Times New Roman"/>
          <w:sz w:val="24"/>
          <w:szCs w:val="24"/>
        </w:rPr>
      </w:pPr>
      <w:r>
        <w:rPr>
          <w:rFonts w:ascii="Times New Roman" w:hAnsi="Times New Roman"/>
          <w:noProof/>
          <w:sz w:val="24"/>
          <w:szCs w:val="24"/>
          <w:lang w:val="pt-BR"/>
        </w:rPr>
        <w:lastRenderedPageBreak/>
        <w:drawing>
          <wp:inline distT="0" distB="0" distL="0" distR="0" wp14:anchorId="0E760C9A" wp14:editId="61CE2EE2">
            <wp:extent cx="5091113" cy="287566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07754" cy="2885059"/>
                    </a:xfrm>
                    <a:prstGeom prst="rect">
                      <a:avLst/>
                    </a:prstGeom>
                  </pic:spPr>
                </pic:pic>
              </a:graphicData>
            </a:graphic>
          </wp:inline>
        </w:drawing>
      </w:r>
      <w:r>
        <w:rPr>
          <w:rFonts w:ascii="Times New Roman" w:hAnsi="Times New Roman"/>
          <w:sz w:val="24"/>
          <w:szCs w:val="24"/>
        </w:rPr>
        <w:br/>
      </w:r>
    </w:p>
    <w:p w:rsidR="00CE15A8" w:rsidRPr="00A877F2" w:rsidRDefault="00CE15A8" w:rsidP="00FD369C">
      <w:pPr>
        <w:spacing w:line="480" w:lineRule="auto"/>
        <w:rPr>
          <w:rFonts w:ascii="Times New Roman" w:hAnsi="Times New Roman"/>
          <w:sz w:val="24"/>
          <w:szCs w:val="24"/>
        </w:rPr>
      </w:pPr>
      <w:r w:rsidRPr="00A877F2">
        <w:rPr>
          <w:rFonts w:ascii="Times New Roman" w:hAnsi="Times New Roman"/>
          <w:b/>
          <w:sz w:val="24"/>
          <w:szCs w:val="24"/>
        </w:rPr>
        <w:t>Appendix Figure</w:t>
      </w:r>
      <w:r>
        <w:rPr>
          <w:rFonts w:ascii="Times New Roman" w:hAnsi="Times New Roman"/>
          <w:b/>
          <w:sz w:val="24"/>
          <w:szCs w:val="24"/>
        </w:rPr>
        <w:t xml:space="preserve"> 2</w:t>
      </w:r>
      <w:r w:rsidRPr="00A877F2">
        <w:rPr>
          <w:rFonts w:ascii="Times New Roman" w:hAnsi="Times New Roman"/>
          <w:b/>
          <w:sz w:val="24"/>
          <w:szCs w:val="24"/>
        </w:rPr>
        <w:t>.</w:t>
      </w:r>
      <w:r w:rsidRPr="00A877F2">
        <w:rPr>
          <w:rFonts w:ascii="Times New Roman" w:hAnsi="Times New Roman"/>
          <w:sz w:val="24"/>
          <w:szCs w:val="24"/>
        </w:rPr>
        <w:t xml:space="preserve"> </w:t>
      </w:r>
      <w:r w:rsidR="00FD369C">
        <w:rPr>
          <w:rFonts w:ascii="Times New Roman" w:hAnsi="Times New Roman"/>
          <w:sz w:val="24"/>
          <w:szCs w:val="24"/>
        </w:rPr>
        <w:t xml:space="preserve">Identified </w:t>
      </w:r>
      <w:r w:rsidR="00FD369C" w:rsidRPr="00FD369C">
        <w:rPr>
          <w:rFonts w:ascii="Times New Roman" w:hAnsi="Times New Roman"/>
          <w:i/>
          <w:sz w:val="24"/>
          <w:szCs w:val="24"/>
        </w:rPr>
        <w:t>p</w:t>
      </w:r>
      <w:r w:rsidR="00FD369C">
        <w:rPr>
          <w:rFonts w:ascii="Times New Roman" w:hAnsi="Times New Roman"/>
          <w:sz w:val="24"/>
          <w:szCs w:val="24"/>
        </w:rPr>
        <w:t>-values for deviations of the mean reporting delays of individual jurisdictions using the partial pool model with underlying lognormal distribution. North Carolina was excluded from the analysis. The error bar indicates 95% credible interval, while a thicker interior line segment shows the interquartile range of the posterior. The position of each point indicates the median value.</w:t>
      </w:r>
    </w:p>
    <w:p w:rsidR="00A22865" w:rsidRDefault="00A22865">
      <w:pPr>
        <w:spacing w:after="0" w:line="240" w:lineRule="auto"/>
        <w:rPr>
          <w:rFonts w:ascii="Times New Roman" w:hAnsi="Times New Roman"/>
          <w:sz w:val="24"/>
          <w:szCs w:val="24"/>
        </w:rPr>
      </w:pPr>
      <w:r>
        <w:rPr>
          <w:rFonts w:ascii="Times New Roman" w:hAnsi="Times New Roman"/>
          <w:sz w:val="24"/>
          <w:szCs w:val="24"/>
        </w:rPr>
        <w:br w:type="page"/>
      </w:r>
    </w:p>
    <w:p w:rsidR="000C1DF4" w:rsidRDefault="00A22865" w:rsidP="00A22865">
      <w:pPr>
        <w:spacing w:line="480" w:lineRule="auto"/>
        <w:jc w:val="center"/>
        <w:outlineLvl w:val="0"/>
        <w:rPr>
          <w:rFonts w:ascii="Times New Roman" w:hAnsi="Times New Roman"/>
          <w:sz w:val="24"/>
          <w:szCs w:val="24"/>
        </w:rPr>
      </w:pPr>
      <w:r>
        <w:rPr>
          <w:rFonts w:ascii="Times New Roman" w:hAnsi="Times New Roman"/>
          <w:noProof/>
          <w:sz w:val="24"/>
          <w:szCs w:val="24"/>
          <w:lang w:val="pt-BR"/>
        </w:rPr>
        <w:lastRenderedPageBreak/>
        <w:drawing>
          <wp:inline distT="0" distB="0" distL="0" distR="0" wp14:anchorId="4F6DAAF3" wp14:editId="3D43F99B">
            <wp:extent cx="4607317" cy="2824163"/>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23572" cy="2834127"/>
                    </a:xfrm>
                    <a:prstGeom prst="rect">
                      <a:avLst/>
                    </a:prstGeom>
                  </pic:spPr>
                </pic:pic>
              </a:graphicData>
            </a:graphic>
          </wp:inline>
        </w:drawing>
      </w:r>
    </w:p>
    <w:p w:rsidR="000C1DF4" w:rsidRDefault="00CE15A8" w:rsidP="0093302B">
      <w:pPr>
        <w:spacing w:line="480" w:lineRule="auto"/>
        <w:rPr>
          <w:rFonts w:ascii="Times New Roman" w:hAnsi="Times New Roman"/>
          <w:sz w:val="24"/>
          <w:szCs w:val="24"/>
        </w:rPr>
      </w:pPr>
      <w:r w:rsidRPr="00A877F2">
        <w:rPr>
          <w:rFonts w:ascii="Times New Roman" w:hAnsi="Times New Roman"/>
          <w:b/>
          <w:sz w:val="24"/>
          <w:szCs w:val="24"/>
        </w:rPr>
        <w:t>Appendix Figure</w:t>
      </w:r>
      <w:r>
        <w:rPr>
          <w:rFonts w:ascii="Times New Roman" w:hAnsi="Times New Roman"/>
          <w:b/>
          <w:sz w:val="24"/>
          <w:szCs w:val="24"/>
        </w:rPr>
        <w:t xml:space="preserve"> 3</w:t>
      </w:r>
      <w:r w:rsidRPr="00A877F2">
        <w:rPr>
          <w:rFonts w:ascii="Times New Roman" w:hAnsi="Times New Roman"/>
          <w:b/>
          <w:sz w:val="24"/>
          <w:szCs w:val="24"/>
        </w:rPr>
        <w:t>.</w:t>
      </w:r>
      <w:r w:rsidRPr="00A877F2">
        <w:rPr>
          <w:rFonts w:ascii="Times New Roman" w:hAnsi="Times New Roman"/>
          <w:sz w:val="24"/>
          <w:szCs w:val="24"/>
        </w:rPr>
        <w:t xml:space="preserve"> </w:t>
      </w:r>
      <w:r w:rsidR="00FD369C">
        <w:rPr>
          <w:rFonts w:ascii="Times New Roman" w:hAnsi="Times New Roman"/>
          <w:sz w:val="24"/>
          <w:szCs w:val="24"/>
        </w:rPr>
        <w:t>Nowcasted excess deaths with different cut-off times (Legend).</w:t>
      </w:r>
      <w:r w:rsidR="000C1DF4">
        <w:rPr>
          <w:rFonts w:ascii="Times New Roman" w:hAnsi="Times New Roman"/>
          <w:sz w:val="24"/>
          <w:szCs w:val="24"/>
        </w:rPr>
        <w:br w:type="page"/>
      </w:r>
    </w:p>
    <w:p w:rsidR="00B41802" w:rsidRDefault="000C1DF4" w:rsidP="00A22865">
      <w:pPr>
        <w:spacing w:line="480" w:lineRule="auto"/>
        <w:jc w:val="center"/>
        <w:outlineLvl w:val="0"/>
        <w:rPr>
          <w:rFonts w:ascii="Times New Roman" w:hAnsi="Times New Roman"/>
          <w:sz w:val="24"/>
          <w:szCs w:val="24"/>
        </w:rPr>
      </w:pPr>
      <w:r>
        <w:rPr>
          <w:rFonts w:ascii="Times New Roman" w:hAnsi="Times New Roman"/>
          <w:noProof/>
          <w:sz w:val="24"/>
          <w:szCs w:val="24"/>
        </w:rPr>
        <w:lastRenderedPageBreak/>
        <w:drawing>
          <wp:inline distT="0" distB="0" distL="0" distR="0">
            <wp:extent cx="5943600" cy="7507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4-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507605"/>
                    </a:xfrm>
                    <a:prstGeom prst="rect">
                      <a:avLst/>
                    </a:prstGeom>
                  </pic:spPr>
                </pic:pic>
              </a:graphicData>
            </a:graphic>
          </wp:inline>
        </w:drawing>
      </w:r>
    </w:p>
    <w:p w:rsidR="000C1DF4" w:rsidRDefault="000C1DF4">
      <w:pPr>
        <w:spacing w:after="0" w:line="240" w:lineRule="auto"/>
        <w:rPr>
          <w:rFonts w:ascii="Times New Roman" w:hAnsi="Times New Roman"/>
          <w:sz w:val="24"/>
          <w:szCs w:val="24"/>
        </w:rPr>
      </w:pPr>
      <w:r>
        <w:rPr>
          <w:rFonts w:ascii="Times New Roman" w:hAnsi="Times New Roman"/>
          <w:sz w:val="24"/>
          <w:szCs w:val="24"/>
        </w:rPr>
        <w:br w:type="page"/>
      </w:r>
    </w:p>
    <w:p w:rsidR="000C1DF4" w:rsidRDefault="000C1DF4" w:rsidP="000C1DF4">
      <w:pPr>
        <w:spacing w:line="480" w:lineRule="auto"/>
        <w:outlineLvl w:val="0"/>
        <w:rPr>
          <w:rFonts w:ascii="Times New Roman" w:hAnsi="Times New Roman"/>
          <w:sz w:val="24"/>
          <w:szCs w:val="24"/>
        </w:rPr>
      </w:pPr>
      <w:r>
        <w:rPr>
          <w:rFonts w:ascii="Times New Roman" w:hAnsi="Times New Roman"/>
          <w:noProof/>
          <w:sz w:val="24"/>
          <w:szCs w:val="24"/>
        </w:rPr>
        <w:lastRenderedPageBreak/>
        <w:drawing>
          <wp:inline distT="0" distB="0" distL="0" distR="0">
            <wp:extent cx="5943600" cy="7507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S4-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507605"/>
                    </a:xfrm>
                    <a:prstGeom prst="rect">
                      <a:avLst/>
                    </a:prstGeom>
                  </pic:spPr>
                </pic:pic>
              </a:graphicData>
            </a:graphic>
          </wp:inline>
        </w:drawing>
      </w:r>
    </w:p>
    <w:p w:rsidR="000C1DF4" w:rsidRDefault="000C1DF4">
      <w:pPr>
        <w:spacing w:after="0" w:line="240" w:lineRule="auto"/>
        <w:rPr>
          <w:rFonts w:ascii="Times New Roman" w:hAnsi="Times New Roman"/>
          <w:sz w:val="24"/>
          <w:szCs w:val="24"/>
        </w:rPr>
      </w:pPr>
      <w:r>
        <w:rPr>
          <w:rFonts w:ascii="Times New Roman" w:hAnsi="Times New Roman"/>
          <w:sz w:val="24"/>
          <w:szCs w:val="24"/>
        </w:rPr>
        <w:br w:type="page"/>
      </w:r>
    </w:p>
    <w:p w:rsidR="000C1DF4" w:rsidRDefault="000C1DF4" w:rsidP="000C1DF4">
      <w:pPr>
        <w:spacing w:line="480" w:lineRule="auto"/>
        <w:outlineLvl w:val="0"/>
        <w:rPr>
          <w:rFonts w:ascii="Times New Roman" w:hAnsi="Times New Roman"/>
          <w:sz w:val="24"/>
          <w:szCs w:val="24"/>
        </w:rPr>
      </w:pPr>
      <w:r>
        <w:rPr>
          <w:rFonts w:ascii="Times New Roman" w:hAnsi="Times New Roman"/>
          <w:noProof/>
          <w:sz w:val="24"/>
          <w:szCs w:val="24"/>
        </w:rPr>
        <w:lastRenderedPageBreak/>
        <w:drawing>
          <wp:inline distT="0" distB="0" distL="0" distR="0">
            <wp:extent cx="5943600" cy="75076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S4-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507605"/>
                    </a:xfrm>
                    <a:prstGeom prst="rect">
                      <a:avLst/>
                    </a:prstGeom>
                  </pic:spPr>
                </pic:pic>
              </a:graphicData>
            </a:graphic>
          </wp:inline>
        </w:drawing>
      </w:r>
    </w:p>
    <w:p w:rsidR="000C1DF4" w:rsidRDefault="000C1DF4">
      <w:pPr>
        <w:spacing w:after="0" w:line="240" w:lineRule="auto"/>
        <w:rPr>
          <w:rFonts w:ascii="Times New Roman" w:hAnsi="Times New Roman"/>
          <w:sz w:val="24"/>
          <w:szCs w:val="24"/>
        </w:rPr>
      </w:pPr>
      <w:r>
        <w:rPr>
          <w:rFonts w:ascii="Times New Roman" w:hAnsi="Times New Roman"/>
          <w:sz w:val="24"/>
          <w:szCs w:val="24"/>
        </w:rPr>
        <w:br w:type="page"/>
      </w:r>
    </w:p>
    <w:p w:rsidR="000C1DF4" w:rsidRDefault="000C1DF4" w:rsidP="000C1DF4">
      <w:pPr>
        <w:spacing w:line="480" w:lineRule="auto"/>
        <w:outlineLvl w:val="0"/>
        <w:rPr>
          <w:rFonts w:ascii="Times New Roman" w:hAnsi="Times New Roman"/>
          <w:sz w:val="24"/>
          <w:szCs w:val="24"/>
        </w:rPr>
      </w:pPr>
      <w:r>
        <w:rPr>
          <w:rFonts w:ascii="Times New Roman" w:hAnsi="Times New Roman"/>
          <w:noProof/>
          <w:sz w:val="24"/>
          <w:szCs w:val="24"/>
        </w:rPr>
        <w:lastRenderedPageBreak/>
        <w:drawing>
          <wp:inline distT="0" distB="0" distL="0" distR="0">
            <wp:extent cx="5943600" cy="3756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S4-4.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756025"/>
                    </a:xfrm>
                    <a:prstGeom prst="rect">
                      <a:avLst/>
                    </a:prstGeom>
                  </pic:spPr>
                </pic:pic>
              </a:graphicData>
            </a:graphic>
          </wp:inline>
        </w:drawing>
      </w:r>
    </w:p>
    <w:p w:rsidR="00CE15A8" w:rsidRPr="00A877F2" w:rsidRDefault="00CE15A8" w:rsidP="00FD369C">
      <w:pPr>
        <w:spacing w:line="480" w:lineRule="auto"/>
        <w:rPr>
          <w:rFonts w:ascii="Times New Roman" w:hAnsi="Times New Roman"/>
          <w:sz w:val="24"/>
          <w:szCs w:val="24"/>
        </w:rPr>
      </w:pPr>
      <w:bookmarkStart w:id="2" w:name="_GoBack"/>
      <w:r w:rsidRPr="00A877F2">
        <w:rPr>
          <w:rFonts w:ascii="Times New Roman" w:hAnsi="Times New Roman"/>
          <w:b/>
          <w:sz w:val="24"/>
          <w:szCs w:val="24"/>
        </w:rPr>
        <w:t>Appendix Figure</w:t>
      </w:r>
      <w:r>
        <w:rPr>
          <w:rFonts w:ascii="Times New Roman" w:hAnsi="Times New Roman"/>
          <w:b/>
          <w:sz w:val="24"/>
          <w:szCs w:val="24"/>
        </w:rPr>
        <w:t xml:space="preserve"> 4</w:t>
      </w:r>
      <w:r w:rsidRPr="00A877F2">
        <w:rPr>
          <w:rFonts w:ascii="Times New Roman" w:hAnsi="Times New Roman"/>
          <w:b/>
          <w:sz w:val="24"/>
          <w:szCs w:val="24"/>
        </w:rPr>
        <w:t>.</w:t>
      </w:r>
      <w:r w:rsidRPr="00A877F2">
        <w:rPr>
          <w:rFonts w:ascii="Times New Roman" w:hAnsi="Times New Roman"/>
          <w:sz w:val="24"/>
          <w:szCs w:val="24"/>
        </w:rPr>
        <w:t xml:space="preserve"> </w:t>
      </w:r>
      <w:r w:rsidR="00FD369C">
        <w:rPr>
          <w:rFonts w:ascii="Times New Roman" w:hAnsi="Times New Roman"/>
          <w:sz w:val="24"/>
          <w:szCs w:val="24"/>
        </w:rPr>
        <w:t>Nowcasted (</w:t>
      </w:r>
      <w:r w:rsidR="00D13C99">
        <w:rPr>
          <w:rFonts w:ascii="Times New Roman" w:hAnsi="Times New Roman"/>
          <w:sz w:val="24"/>
          <w:szCs w:val="24"/>
        </w:rPr>
        <w:t xml:space="preserve">black </w:t>
      </w:r>
      <w:r w:rsidR="00FD369C">
        <w:rPr>
          <w:rFonts w:ascii="Times New Roman" w:hAnsi="Times New Roman"/>
          <w:sz w:val="24"/>
          <w:szCs w:val="24"/>
        </w:rPr>
        <w:t xml:space="preserve">solid) and observed (dashed) excess deaths respectively to estimated expected deaths using historical data from 2014 to March 2020 and model developed by Weinberger and colleagues. </w:t>
      </w:r>
      <w:bookmarkStart w:id="3" w:name="_Hlk74271909"/>
      <w:r w:rsidR="00D13C99">
        <w:rPr>
          <w:rFonts w:ascii="Times New Roman" w:hAnsi="Times New Roman"/>
          <w:sz w:val="24"/>
          <w:szCs w:val="24"/>
        </w:rPr>
        <w:t>Blue s</w:t>
      </w:r>
      <w:r w:rsidR="00D13C99">
        <w:rPr>
          <w:rFonts w:ascii="Times New Roman" w:hAnsi="Times New Roman"/>
          <w:sz w:val="24"/>
          <w:szCs w:val="24"/>
        </w:rPr>
        <w:t xml:space="preserve">haded </w:t>
      </w:r>
      <w:r w:rsidR="00FD369C">
        <w:rPr>
          <w:rFonts w:ascii="Times New Roman" w:hAnsi="Times New Roman"/>
          <w:sz w:val="24"/>
          <w:szCs w:val="24"/>
        </w:rPr>
        <w:t xml:space="preserve">area shows 95% credible interval, while </w:t>
      </w:r>
      <w:r w:rsidR="00D13C99">
        <w:rPr>
          <w:rFonts w:ascii="Times New Roman" w:hAnsi="Times New Roman"/>
          <w:sz w:val="24"/>
          <w:szCs w:val="24"/>
        </w:rPr>
        <w:t xml:space="preserve">blue </w:t>
      </w:r>
      <w:r w:rsidR="00FD369C">
        <w:rPr>
          <w:rFonts w:ascii="Times New Roman" w:hAnsi="Times New Roman"/>
          <w:sz w:val="24"/>
          <w:szCs w:val="24"/>
        </w:rPr>
        <w:t xml:space="preserve">solid line indicates the median values. Thin grey lines show individual counts from the historical data. </w:t>
      </w:r>
      <w:bookmarkEnd w:id="3"/>
    </w:p>
    <w:bookmarkEnd w:id="2"/>
    <w:p w:rsidR="00A27B00" w:rsidRDefault="00A27B00">
      <w:pPr>
        <w:spacing w:after="0" w:line="240" w:lineRule="auto"/>
        <w:rPr>
          <w:rFonts w:ascii="Times New Roman" w:hAnsi="Times New Roman"/>
          <w:b/>
          <w:sz w:val="24"/>
          <w:szCs w:val="24"/>
        </w:rPr>
      </w:pPr>
      <w:r>
        <w:rPr>
          <w:rFonts w:ascii="Times New Roman" w:hAnsi="Times New Roman"/>
          <w:b/>
          <w:sz w:val="24"/>
          <w:szCs w:val="24"/>
        </w:rPr>
        <w:br w:type="page"/>
      </w:r>
    </w:p>
    <w:p w:rsidR="00312B14" w:rsidRDefault="00312B14" w:rsidP="00312B14">
      <w:pPr>
        <w:spacing w:line="480" w:lineRule="auto"/>
        <w:rPr>
          <w:rFonts w:ascii="Times New Roman" w:hAnsi="Times New Roman"/>
          <w:sz w:val="24"/>
          <w:szCs w:val="24"/>
        </w:rPr>
      </w:pPr>
      <w:r w:rsidRPr="00A877F2">
        <w:rPr>
          <w:rFonts w:ascii="Times New Roman" w:hAnsi="Times New Roman"/>
          <w:b/>
          <w:sz w:val="24"/>
          <w:szCs w:val="24"/>
        </w:rPr>
        <w:lastRenderedPageBreak/>
        <w:t>Appendix Table</w:t>
      </w:r>
      <w:r>
        <w:rPr>
          <w:rFonts w:ascii="Times New Roman" w:hAnsi="Times New Roman"/>
          <w:b/>
          <w:sz w:val="24"/>
          <w:szCs w:val="24"/>
        </w:rPr>
        <w:t xml:space="preserve"> </w:t>
      </w:r>
      <w:r w:rsidR="00BE698C">
        <w:rPr>
          <w:rFonts w:ascii="Times New Roman" w:hAnsi="Times New Roman"/>
          <w:b/>
          <w:sz w:val="24"/>
          <w:szCs w:val="24"/>
        </w:rPr>
        <w:t>1</w:t>
      </w:r>
      <w:r w:rsidRPr="00A877F2">
        <w:rPr>
          <w:rFonts w:ascii="Times New Roman" w:hAnsi="Times New Roman"/>
          <w:b/>
          <w:sz w:val="24"/>
          <w:szCs w:val="24"/>
        </w:rPr>
        <w:t>.</w:t>
      </w:r>
      <w:r w:rsidRPr="00A877F2">
        <w:rPr>
          <w:rFonts w:ascii="Times New Roman" w:hAnsi="Times New Roman"/>
          <w:sz w:val="24"/>
          <w:szCs w:val="24"/>
        </w:rPr>
        <w:t xml:space="preserve"> </w:t>
      </w:r>
      <w:r w:rsidR="00EE7E64">
        <w:rPr>
          <w:rFonts w:ascii="Times New Roman" w:hAnsi="Times New Roman"/>
          <w:sz w:val="24"/>
          <w:szCs w:val="24"/>
        </w:rPr>
        <w:t>E</w:t>
      </w:r>
      <w:r w:rsidR="00EE7E64" w:rsidRPr="009D2038">
        <w:rPr>
          <w:rFonts w:ascii="Times New Roman" w:hAnsi="Times New Roman"/>
          <w:sz w:val="24"/>
          <w:szCs w:val="24"/>
        </w:rPr>
        <w:t xml:space="preserve">xcess mortality by jurisdiction for the </w:t>
      </w:r>
      <w:r w:rsidR="00EE7E64">
        <w:rPr>
          <w:rFonts w:ascii="Times New Roman" w:hAnsi="Times New Roman"/>
          <w:sz w:val="24"/>
          <w:szCs w:val="24"/>
        </w:rPr>
        <w:t xml:space="preserve">second wave </w:t>
      </w:r>
      <w:r w:rsidR="00EE7E64" w:rsidRPr="009D2038">
        <w:rPr>
          <w:rFonts w:ascii="Times New Roman" w:hAnsi="Times New Roman"/>
          <w:sz w:val="24"/>
          <w:szCs w:val="24"/>
        </w:rPr>
        <w:t>of the COVID-19 pandemic (from</w:t>
      </w:r>
      <w:r w:rsidR="00EE7E64">
        <w:rPr>
          <w:rFonts w:ascii="Times New Roman" w:hAnsi="Times New Roman"/>
          <w:sz w:val="24"/>
          <w:szCs w:val="24"/>
        </w:rPr>
        <w:t xml:space="preserve"> September</w:t>
      </w:r>
      <w:r w:rsidR="00EE7E64" w:rsidRPr="009D2038">
        <w:rPr>
          <w:rFonts w:ascii="Times New Roman" w:hAnsi="Times New Roman"/>
          <w:sz w:val="24"/>
          <w:szCs w:val="24"/>
        </w:rPr>
        <w:t xml:space="preserve"> to December 2020</w:t>
      </w:r>
      <w:r w:rsidR="00EE7E64">
        <w:rPr>
          <w:rFonts w:ascii="Times New Roman" w:hAnsi="Times New Roman"/>
          <w:sz w:val="24"/>
          <w:szCs w:val="24"/>
        </w:rPr>
        <w:t>)</w:t>
      </w:r>
      <w:r>
        <w:rPr>
          <w:rFonts w:ascii="Times New Roman" w:hAnsi="Times New Roman"/>
          <w:sz w:val="24"/>
          <w:szCs w:val="24"/>
        </w:rPr>
        <w:t>. The numbers in parenthesis indicate the 95% credible interval.</w:t>
      </w:r>
      <w:r w:rsidR="002A670C">
        <w:rPr>
          <w:rFonts w:ascii="Times New Roman" w:hAnsi="Times New Roman"/>
          <w:sz w:val="24"/>
          <w:szCs w:val="24"/>
        </w:rPr>
        <w:t xml:space="preserve"> </w:t>
      </w:r>
      <w:bookmarkStart w:id="4" w:name="_Hlk71412408"/>
      <w:r w:rsidR="00735DEA">
        <w:rPr>
          <w:rFonts w:ascii="Times New Roman" w:hAnsi="Times New Roman"/>
          <w:sz w:val="24"/>
          <w:szCs w:val="24"/>
        </w:rPr>
        <w:t>The range shown in two columns for the excess deaths denote the range of differences between the nowcasted number of deaths and each of two thresholds: the 95th percentile and the median of the posterior for the expected number of deaths.</w:t>
      </w:r>
      <w:bookmarkEnd w:id="4"/>
      <w:r w:rsidR="00735DEA">
        <w:rPr>
          <w:rFonts w:ascii="Times New Roman" w:hAnsi="Times New Roman"/>
          <w:sz w:val="24"/>
          <w:szCs w:val="24"/>
        </w:rPr>
        <w:t xml:space="preserve">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619"/>
        <w:gridCol w:w="1801"/>
        <w:gridCol w:w="1295"/>
        <w:gridCol w:w="1548"/>
        <w:gridCol w:w="1297"/>
        <w:gridCol w:w="1800"/>
      </w:tblGrid>
      <w:tr w:rsidR="00EE7E64" w:rsidRPr="00EE7E64" w:rsidTr="002A670C">
        <w:trPr>
          <w:tblHeade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b/>
                <w:bCs/>
                <w:sz w:val="24"/>
                <w:szCs w:val="24"/>
                <w:lang w:eastAsia="zh-TW"/>
              </w:rPr>
            </w:pPr>
            <w:r w:rsidRPr="00EE7E64">
              <w:rPr>
                <w:rFonts w:ascii="Times New Roman" w:eastAsia="Times New Roman" w:hAnsi="Times New Roman"/>
                <w:b/>
                <w:bCs/>
                <w:sz w:val="24"/>
                <w:szCs w:val="24"/>
                <w:lang w:eastAsia="zh-TW"/>
              </w:rPr>
              <w:t xml:space="preserve">Jurisdiction </w:t>
            </w:r>
          </w:p>
        </w:tc>
        <w:tc>
          <w:tcPr>
            <w:tcW w:w="1771" w:type="dxa"/>
            <w:hideMark/>
          </w:tcPr>
          <w:p w:rsidR="00EE7E64" w:rsidRPr="00EE7E64" w:rsidRDefault="00EE7E64" w:rsidP="002A670C">
            <w:pPr>
              <w:spacing w:after="0" w:line="240" w:lineRule="auto"/>
              <w:jc w:val="center"/>
              <w:rPr>
                <w:rFonts w:ascii="Times New Roman" w:eastAsia="Times New Roman" w:hAnsi="Times New Roman"/>
                <w:b/>
                <w:bCs/>
                <w:sz w:val="24"/>
                <w:szCs w:val="24"/>
                <w:lang w:eastAsia="zh-TW"/>
              </w:rPr>
            </w:pPr>
            <w:r w:rsidRPr="00EE7E64">
              <w:rPr>
                <w:rFonts w:ascii="Times New Roman" w:eastAsia="Times New Roman" w:hAnsi="Times New Roman"/>
                <w:b/>
                <w:bCs/>
                <w:sz w:val="24"/>
                <w:szCs w:val="24"/>
                <w:lang w:eastAsia="zh-TW"/>
              </w:rPr>
              <w:t>Observed deaths</w:t>
            </w:r>
            <w:r>
              <w:rPr>
                <w:rFonts w:ascii="Times New Roman" w:eastAsia="Times New Roman" w:hAnsi="Times New Roman"/>
                <w:b/>
                <w:bCs/>
                <w:sz w:val="24"/>
                <w:szCs w:val="24"/>
                <w:lang w:eastAsia="zh-TW"/>
              </w:rPr>
              <w:t>, No.</w:t>
            </w:r>
          </w:p>
        </w:tc>
        <w:tc>
          <w:tcPr>
            <w:tcW w:w="1265" w:type="dxa"/>
            <w:hideMark/>
          </w:tcPr>
          <w:p w:rsidR="00EE7E64" w:rsidRPr="00EE7E64" w:rsidRDefault="00EE7E64" w:rsidP="002A670C">
            <w:pPr>
              <w:spacing w:after="0" w:line="240" w:lineRule="auto"/>
              <w:jc w:val="center"/>
              <w:rPr>
                <w:rFonts w:ascii="Times New Roman" w:eastAsia="Times New Roman" w:hAnsi="Times New Roman"/>
                <w:b/>
                <w:bCs/>
                <w:sz w:val="24"/>
                <w:szCs w:val="24"/>
                <w:lang w:eastAsia="zh-TW"/>
              </w:rPr>
            </w:pPr>
            <w:r w:rsidRPr="00EE7E64">
              <w:rPr>
                <w:rFonts w:ascii="Times New Roman" w:eastAsia="Times New Roman" w:hAnsi="Times New Roman"/>
                <w:b/>
                <w:bCs/>
                <w:sz w:val="24"/>
                <w:szCs w:val="24"/>
                <w:lang w:eastAsia="zh-TW"/>
              </w:rPr>
              <w:t>Expected deaths</w:t>
            </w:r>
            <w:r>
              <w:rPr>
                <w:rFonts w:ascii="Times New Roman" w:eastAsia="Times New Roman" w:hAnsi="Times New Roman"/>
                <w:b/>
                <w:bCs/>
                <w:sz w:val="24"/>
                <w:szCs w:val="24"/>
                <w:lang w:eastAsia="zh-TW"/>
              </w:rPr>
              <w:t>, No.</w:t>
            </w:r>
          </w:p>
        </w:tc>
        <w:tc>
          <w:tcPr>
            <w:tcW w:w="1518" w:type="dxa"/>
            <w:hideMark/>
          </w:tcPr>
          <w:p w:rsidR="00EE7E64" w:rsidRPr="00EE7E64" w:rsidRDefault="00EE7E64" w:rsidP="002A670C">
            <w:pPr>
              <w:spacing w:after="0" w:line="240" w:lineRule="auto"/>
              <w:jc w:val="center"/>
              <w:rPr>
                <w:rFonts w:ascii="Times New Roman" w:eastAsia="Times New Roman" w:hAnsi="Times New Roman"/>
                <w:b/>
                <w:bCs/>
                <w:sz w:val="24"/>
                <w:szCs w:val="24"/>
                <w:lang w:eastAsia="zh-TW"/>
              </w:rPr>
            </w:pPr>
            <w:r w:rsidRPr="00EE7E64">
              <w:rPr>
                <w:rFonts w:ascii="Times New Roman" w:eastAsia="Times New Roman" w:hAnsi="Times New Roman"/>
                <w:b/>
                <w:bCs/>
                <w:sz w:val="24"/>
                <w:szCs w:val="24"/>
                <w:lang w:eastAsia="zh-TW"/>
              </w:rPr>
              <w:t xml:space="preserve">Excess </w:t>
            </w:r>
            <w:r>
              <w:rPr>
                <w:rFonts w:ascii="Times New Roman" w:eastAsia="Times New Roman" w:hAnsi="Times New Roman"/>
                <w:b/>
                <w:bCs/>
                <w:sz w:val="24"/>
                <w:szCs w:val="24"/>
                <w:lang w:eastAsia="zh-TW"/>
              </w:rPr>
              <w:br/>
            </w:r>
            <w:r w:rsidRPr="00EE7E64">
              <w:rPr>
                <w:rFonts w:ascii="Times New Roman" w:eastAsia="Times New Roman" w:hAnsi="Times New Roman"/>
                <w:b/>
                <w:bCs/>
                <w:sz w:val="24"/>
                <w:szCs w:val="24"/>
                <w:lang w:eastAsia="zh-TW"/>
              </w:rPr>
              <w:t>deaths</w:t>
            </w:r>
            <w:r>
              <w:rPr>
                <w:rFonts w:ascii="Times New Roman" w:eastAsia="Times New Roman" w:hAnsi="Times New Roman"/>
                <w:b/>
                <w:bCs/>
                <w:sz w:val="24"/>
                <w:szCs w:val="24"/>
                <w:lang w:eastAsia="zh-TW"/>
              </w:rPr>
              <w:t>, No.</w:t>
            </w:r>
          </w:p>
        </w:tc>
        <w:tc>
          <w:tcPr>
            <w:tcW w:w="1267" w:type="dxa"/>
            <w:hideMark/>
          </w:tcPr>
          <w:p w:rsidR="00EE7E64" w:rsidRPr="00EE7E64" w:rsidRDefault="00EE7E64" w:rsidP="002A670C">
            <w:pPr>
              <w:spacing w:after="0" w:line="240" w:lineRule="auto"/>
              <w:jc w:val="center"/>
              <w:rPr>
                <w:rFonts w:ascii="Times New Roman" w:eastAsia="Times New Roman" w:hAnsi="Times New Roman"/>
                <w:b/>
                <w:bCs/>
                <w:sz w:val="24"/>
                <w:szCs w:val="24"/>
                <w:lang w:eastAsia="zh-TW"/>
              </w:rPr>
            </w:pPr>
            <w:r w:rsidRPr="00EE7E64">
              <w:rPr>
                <w:rFonts w:ascii="Times New Roman" w:eastAsia="Times New Roman" w:hAnsi="Times New Roman"/>
                <w:b/>
                <w:bCs/>
                <w:sz w:val="24"/>
                <w:szCs w:val="24"/>
                <w:lang w:eastAsia="zh-TW"/>
              </w:rPr>
              <w:t>Excess deaths, %</w:t>
            </w:r>
          </w:p>
        </w:tc>
        <w:tc>
          <w:tcPr>
            <w:tcW w:w="1755" w:type="dxa"/>
            <w:hideMark/>
          </w:tcPr>
          <w:p w:rsidR="00EE7E64" w:rsidRPr="00EE7E64" w:rsidRDefault="00EE7E64" w:rsidP="002A670C">
            <w:pPr>
              <w:spacing w:after="0" w:line="240" w:lineRule="auto"/>
              <w:jc w:val="center"/>
              <w:rPr>
                <w:rFonts w:ascii="Times New Roman" w:eastAsia="Times New Roman" w:hAnsi="Times New Roman"/>
                <w:b/>
                <w:bCs/>
                <w:sz w:val="24"/>
                <w:szCs w:val="24"/>
                <w:lang w:eastAsia="zh-TW"/>
              </w:rPr>
            </w:pPr>
            <w:r w:rsidRPr="00EE7E64">
              <w:rPr>
                <w:rFonts w:ascii="Times New Roman" w:eastAsia="Times New Roman" w:hAnsi="Times New Roman"/>
                <w:b/>
                <w:bCs/>
                <w:sz w:val="24"/>
                <w:szCs w:val="24"/>
                <w:lang w:eastAsia="zh-TW"/>
              </w:rPr>
              <w:t>Observed deaths unadjusted</w:t>
            </w:r>
            <w:r>
              <w:rPr>
                <w:rFonts w:ascii="Times New Roman" w:eastAsia="Times New Roman" w:hAnsi="Times New Roman"/>
                <w:b/>
                <w:bCs/>
                <w:sz w:val="24"/>
                <w:szCs w:val="24"/>
                <w:lang w:eastAsia="zh-TW"/>
              </w:rPr>
              <w:t>, No.</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Alabama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23342 </w:t>
            </w:r>
            <w:r>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(23261, 23429)</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17838</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4296</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5504</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24.1</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30.9</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22902</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Alaska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1858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(1831, 1890)</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1688</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12</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226</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0.7</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13.4</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1743</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Arizona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26987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(26938, 27053)</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21132</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4551</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5855</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21.5</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27.7</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26871</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Arkansas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14832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(14785, 14889)</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11234</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2643</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3598</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23.5</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32.0</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14710</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California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117387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(117297, 117520)</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93433</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21232</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23954</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22.7</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25.6</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117202</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Colorado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17598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(17559, 17650)</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14437</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2224</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3170</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15.4</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22.0</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17510</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Connecticut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10426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(10347, 10509)</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10632</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299</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800</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2.8</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7.5</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9657</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Delaware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3744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(3709, 3783)</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3215</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131</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546</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4.1</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17.0</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3577</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District of Columbia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2415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(2393, 2441)</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2236</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21</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224</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0.9</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10.0</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2356</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Florida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83524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(83416, 83648)</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72802</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8288</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10722</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11.4</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14.7</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83244</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Georgia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36168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(36052, 36288)</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30135</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4465</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6033</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14.8</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20.0</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34993</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Hawaii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4225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(4197, 4259)</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4070</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22</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242</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0.5</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5.9</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4151</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Idaho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6346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(6324, 6375)</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4915</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838</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1431</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17.0</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29.1</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6300</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Illinois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47698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(47634, 47784)</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37276</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8682</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10422</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23.3</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28.0</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47557</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Indiana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28083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(27998, 28178)</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23513</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3939</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5133</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16.8</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21.8</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27731</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lastRenderedPageBreak/>
              <w:t xml:space="preserve">Iowa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13980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(13921, 14045)</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10634</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2520</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3394</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23.7</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31.9</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13803</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Kansas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12660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(12620, 12710)</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9276</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2508</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3384</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27.0</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36.5</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12563</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Kentucky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20819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(20735, 20908)</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16808</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2834</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4011</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16.9</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23.9</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20319</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Louisiana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18978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(18889, 19071)</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16017</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1813</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2961</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11.3</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18.5</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18073</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Maine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5687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(5662, 5721)</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5384</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32</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374</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0.6</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6.9</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5626</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Maryland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20866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(20807, 20933)</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17223</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2459</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3643</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14.3</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21.2</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20718</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Massachusetts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21959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(21904, 22027)</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20250</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972</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1828</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4.8</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9.0</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21815</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Michigan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41659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(41595, 41744)</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33956</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6037</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7703</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17.8</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22.7</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41518</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Minnesota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20027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(19956, 20107)</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16393</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2574</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3634</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15.7</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22.2</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19771</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Mississippi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14321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(14263, 14387)</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10743</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2644</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3578</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24.6</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33.3</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14085</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Missouri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29817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(29703, 29933)</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22274</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6196</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7543</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27.8</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33.9</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28987</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Montana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4994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(4968, 5028)</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3600</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846</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1394</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23.5</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38.7</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4930</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Nebraska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7929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(7892, 7974)</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5697</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1547</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2232</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27.2</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39.2</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7828</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Nevada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11755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(11702, 11815)</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9200</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1701</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2555</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18.5</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27.8</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11575</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New Hampshire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4884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(4859, 4916)</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4277</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247</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626</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5.8</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14.6</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4825</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New Jersey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29264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(29204, 29339)</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25135</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3008</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4162</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12.0</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16.6</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29116</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New Mexico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8463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(8408, 8524)</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6392</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1377</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2071</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21.6</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32.4</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8208</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New York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39504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(39435, 39592)</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34380</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3810</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5157</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11.1</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15.0</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39340</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New York City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20109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(20066, 20166)</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18842</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789</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1364</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4.2</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7.2</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20005</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North Carolina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13188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(12941, 13464)</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33272</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509</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771</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1.5</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2.3</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10929</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lastRenderedPageBreak/>
              <w:t xml:space="preserve">North Dakota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4024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(3985, 4068)</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2670</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906</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1354</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33.9</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50.7</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3836</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Ohio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54856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(54726, 54993)</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41908</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11102</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12948</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26.5</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30.9</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54171</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Oklahoma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17487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(17441, 17541)</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13554</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2878</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3933</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21.2</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29.0</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17276</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Oregon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14470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(14414, 14533)</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12721</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817</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1749</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6.4</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13.7</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14257</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Pennsylvania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57211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(57077, 57352)</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45914</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9361</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11297</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20.4</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24.6</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56623</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Puerto Rico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8068</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(8016, 8122)</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10638</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22</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271</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0.2</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2.5</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7770</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Rhode Island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4200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(4172, 4232)</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3504</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267</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696</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7.6</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19.9</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4123</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South Carolina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20423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(20376, 20483)</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17776</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2134</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3139</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12.0</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17.7</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20296</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South Dakota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4475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(4441, 4516)</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2906</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1073</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1568</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36.9</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54.0</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4372</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Tennessee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34019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(33934, 34116)</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26573</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5976</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7445</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22.5</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28.0</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33746</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Texas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92516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(92350, 92685)</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71252</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18861</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21264</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26.5</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29.8</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91159</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Utah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8338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(8308, 8377)</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6706</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930</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1632</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13.9</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24.3</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8270</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Vermont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2235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(2217, 2259)</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1898</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76</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340</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4.0</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17.9</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2196</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Virginia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28563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(28490, 28646)</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24730</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2410</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3833</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9.7</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15.5</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28350</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Washington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22093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(22048, 22152)</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19790</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1258</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2431</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6.4</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12.3</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21988</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West Virginia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8907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(8809, 9007)</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7932</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431</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1028</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5.4</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13.0</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7690</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Wisconsin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24819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(24766, 24886)</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19319</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4306</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5499</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22.3</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28.5</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24696</w:t>
            </w:r>
          </w:p>
        </w:tc>
      </w:tr>
      <w:tr w:rsidR="00EE7E64" w:rsidRPr="00EE7E64" w:rsidTr="002A670C">
        <w:trPr>
          <w:tblCellSpacing w:w="15" w:type="dxa"/>
          <w:jc w:val="center"/>
        </w:trPr>
        <w:tc>
          <w:tcPr>
            <w:tcW w:w="1574" w:type="dxa"/>
            <w:hideMark/>
          </w:tcPr>
          <w:p w:rsidR="00EE7E64" w:rsidRPr="00EE7E64" w:rsidRDefault="00EE7E64" w:rsidP="00EE7E64">
            <w:pPr>
              <w:spacing w:after="0" w:line="240" w:lineRule="auto"/>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Wyoming </w:t>
            </w:r>
          </w:p>
        </w:tc>
        <w:tc>
          <w:tcPr>
            <w:tcW w:w="1771"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 xml:space="preserve">2255 </w:t>
            </w:r>
            <w:r w:rsidR="002A670C">
              <w:rPr>
                <w:rFonts w:ascii="Times New Roman" w:eastAsia="Times New Roman" w:hAnsi="Times New Roman"/>
                <w:sz w:val="24"/>
                <w:szCs w:val="24"/>
                <w:lang w:eastAsia="zh-TW"/>
              </w:rPr>
              <w:br/>
            </w:r>
            <w:r w:rsidRPr="00EE7E64">
              <w:rPr>
                <w:rFonts w:ascii="Times New Roman" w:eastAsia="Times New Roman" w:hAnsi="Times New Roman"/>
                <w:sz w:val="24"/>
                <w:szCs w:val="24"/>
                <w:lang w:eastAsia="zh-TW"/>
              </w:rPr>
              <w:t>(2236, 2280)</w:t>
            </w:r>
          </w:p>
        </w:tc>
        <w:tc>
          <w:tcPr>
            <w:tcW w:w="126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1711</w:t>
            </w:r>
          </w:p>
        </w:tc>
        <w:tc>
          <w:tcPr>
            <w:tcW w:w="1518"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203</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544</w:t>
            </w:r>
          </w:p>
        </w:tc>
        <w:tc>
          <w:tcPr>
            <w:tcW w:w="1267"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11.9</w:t>
            </w:r>
            <w:r w:rsidR="002A670C">
              <w:rPr>
                <w:rFonts w:ascii="Times New Roman" w:eastAsia="Times New Roman" w:hAnsi="Times New Roman"/>
                <w:sz w:val="24"/>
                <w:szCs w:val="24"/>
                <w:lang w:eastAsia="zh-TW"/>
              </w:rPr>
              <w:t>–</w:t>
            </w:r>
            <w:r w:rsidRPr="00EE7E64">
              <w:rPr>
                <w:rFonts w:ascii="Times New Roman" w:eastAsia="Times New Roman" w:hAnsi="Times New Roman"/>
                <w:sz w:val="24"/>
                <w:szCs w:val="24"/>
                <w:lang w:eastAsia="zh-TW"/>
              </w:rPr>
              <w:t>31.8</w:t>
            </w:r>
          </w:p>
        </w:tc>
        <w:tc>
          <w:tcPr>
            <w:tcW w:w="1755" w:type="dxa"/>
            <w:hideMark/>
          </w:tcPr>
          <w:p w:rsidR="00EE7E64" w:rsidRPr="00EE7E64" w:rsidRDefault="00EE7E64" w:rsidP="002A670C">
            <w:pPr>
              <w:spacing w:after="0" w:line="240" w:lineRule="auto"/>
              <w:jc w:val="center"/>
              <w:rPr>
                <w:rFonts w:ascii="Times New Roman" w:eastAsia="Times New Roman" w:hAnsi="Times New Roman"/>
                <w:sz w:val="24"/>
                <w:szCs w:val="24"/>
                <w:lang w:eastAsia="zh-TW"/>
              </w:rPr>
            </w:pPr>
            <w:r w:rsidRPr="00EE7E64">
              <w:rPr>
                <w:rFonts w:ascii="Times New Roman" w:eastAsia="Times New Roman" w:hAnsi="Times New Roman"/>
                <w:sz w:val="24"/>
                <w:szCs w:val="24"/>
                <w:lang w:eastAsia="zh-TW"/>
              </w:rPr>
              <w:t>2212</w:t>
            </w:r>
          </w:p>
        </w:tc>
      </w:tr>
    </w:tbl>
    <w:p w:rsidR="00EE7E64" w:rsidRPr="00EE7E64" w:rsidRDefault="00EE7E64" w:rsidP="00EE7E64">
      <w:pPr>
        <w:spacing w:after="0" w:line="240" w:lineRule="auto"/>
        <w:rPr>
          <w:rFonts w:ascii="Times New Roman" w:eastAsia="Times New Roman" w:hAnsi="Times New Roman"/>
          <w:sz w:val="24"/>
          <w:szCs w:val="24"/>
          <w:lang w:eastAsia="zh-TW"/>
        </w:rPr>
      </w:pPr>
    </w:p>
    <w:p w:rsidR="0051155F" w:rsidRDefault="0051155F">
      <w:pPr>
        <w:spacing w:after="0" w:line="240" w:lineRule="auto"/>
        <w:rPr>
          <w:rFonts w:ascii="Times New Roman" w:hAnsi="Times New Roman"/>
          <w:b/>
          <w:sz w:val="24"/>
          <w:szCs w:val="24"/>
        </w:rPr>
      </w:pPr>
    </w:p>
    <w:p w:rsidR="00312B14" w:rsidRDefault="00312B14">
      <w:pPr>
        <w:spacing w:after="0" w:line="240" w:lineRule="auto"/>
        <w:rPr>
          <w:rFonts w:ascii="Times New Roman" w:hAnsi="Times New Roman"/>
          <w:b/>
          <w:sz w:val="24"/>
          <w:szCs w:val="24"/>
        </w:rPr>
      </w:pPr>
      <w:r>
        <w:rPr>
          <w:rFonts w:ascii="Times New Roman" w:hAnsi="Times New Roman"/>
          <w:b/>
          <w:sz w:val="24"/>
          <w:szCs w:val="24"/>
        </w:rPr>
        <w:br w:type="page"/>
      </w:r>
    </w:p>
    <w:p w:rsidR="00AC3BEE" w:rsidRDefault="000A1124" w:rsidP="005B28E8">
      <w:pPr>
        <w:spacing w:line="480" w:lineRule="auto"/>
        <w:outlineLvl w:val="0"/>
        <w:rPr>
          <w:rFonts w:ascii="Times New Roman" w:hAnsi="Times New Roman"/>
          <w:sz w:val="24"/>
          <w:szCs w:val="24"/>
        </w:rPr>
      </w:pPr>
      <w:r>
        <w:rPr>
          <w:rFonts w:ascii="Times New Roman" w:hAnsi="Times New Roman"/>
          <w:b/>
          <w:sz w:val="24"/>
          <w:szCs w:val="24"/>
        </w:rPr>
        <w:lastRenderedPageBreak/>
        <w:t>Appendix text</w:t>
      </w:r>
      <w:bookmarkStart w:id="5" w:name="_Hlk61473061"/>
    </w:p>
    <w:p w:rsidR="00E43D4C" w:rsidRDefault="00CB2BE5" w:rsidP="00AC3BEE">
      <w:pPr>
        <w:spacing w:line="480" w:lineRule="auto"/>
        <w:outlineLvl w:val="0"/>
        <w:rPr>
          <w:rFonts w:ascii="Times New Roman" w:hAnsi="Times New Roman"/>
          <w:sz w:val="24"/>
          <w:szCs w:val="24"/>
        </w:rPr>
      </w:pPr>
      <w:r>
        <w:rPr>
          <w:rFonts w:ascii="Times New Roman" w:hAnsi="Times New Roman"/>
          <w:i/>
          <w:sz w:val="24"/>
          <w:szCs w:val="24"/>
        </w:rPr>
        <w:t>Nowcasting</w:t>
      </w:r>
      <w:r w:rsidR="00833EC9">
        <w:rPr>
          <w:rFonts w:ascii="Times New Roman" w:hAnsi="Times New Roman"/>
          <w:i/>
          <w:sz w:val="24"/>
          <w:szCs w:val="24"/>
        </w:rPr>
        <w:t xml:space="preserve"> procedure</w:t>
      </w:r>
      <w:r w:rsidR="0093302B">
        <w:rPr>
          <w:rFonts w:ascii="Times New Roman" w:hAnsi="Times New Roman"/>
          <w:sz w:val="24"/>
          <w:szCs w:val="24"/>
        </w:rPr>
        <w:br/>
      </w:r>
      <w:r w:rsidR="006E2FF5">
        <w:rPr>
          <w:rFonts w:ascii="Times New Roman" w:hAnsi="Times New Roman"/>
          <w:sz w:val="24"/>
          <w:szCs w:val="24"/>
        </w:rPr>
        <w:t xml:space="preserve">We use non-parametric estimation for nowcasting of the </w:t>
      </w:r>
      <w:r w:rsidR="0093302B">
        <w:rPr>
          <w:rFonts w:ascii="Times New Roman" w:hAnsi="Times New Roman"/>
          <w:sz w:val="24"/>
          <w:szCs w:val="24"/>
        </w:rPr>
        <w:t>weekly death counts</w:t>
      </w:r>
      <w:r w:rsidR="006E2FF5">
        <w:rPr>
          <w:rFonts w:ascii="Times New Roman" w:hAnsi="Times New Roman"/>
          <w:sz w:val="24"/>
          <w:szCs w:val="24"/>
        </w:rPr>
        <w:t xml:space="preserve">. The nowcasted deaths </w:t>
      </w:r>
      <w:r w:rsidR="0093302B">
        <w:rPr>
          <w:rFonts w:ascii="Times New Roman" w:hAnsi="Times New Roman"/>
          <w:sz w:val="24"/>
          <w:szCs w:val="24"/>
        </w:rPr>
        <w:t>are sampled from the negative binomial distribution with the mean</w:t>
      </w:r>
      <w:r w:rsidR="00AC3BEE">
        <w:rPr>
          <w:rFonts w:ascii="Times New Roman" w:hAnsi="Times New Roman"/>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
        <w:gridCol w:w="7650"/>
        <w:gridCol w:w="1000"/>
      </w:tblGrid>
      <w:tr w:rsidR="00E43D4C" w:rsidRPr="001071C8" w:rsidTr="00CD2A87">
        <w:trPr>
          <w:jc w:val="center"/>
        </w:trPr>
        <w:tc>
          <w:tcPr>
            <w:tcW w:w="360" w:type="dxa"/>
          </w:tcPr>
          <w:p w:rsidR="00E43D4C" w:rsidRPr="001071C8" w:rsidRDefault="00E43D4C" w:rsidP="00CD2A87"/>
        </w:tc>
        <w:tc>
          <w:tcPr>
            <w:tcW w:w="7650" w:type="dxa"/>
          </w:tcPr>
          <w:p w:rsidR="00E43D4C" w:rsidRPr="001071C8" w:rsidRDefault="007A76EA" w:rsidP="00CD2A87">
            <m:oMathPara>
              <m:oMath>
                <m:sSubSup>
                  <m:sSubSupPr>
                    <m:ctrlPr>
                      <w:rPr>
                        <w:rFonts w:ascii="Cambria Math" w:hAnsi="Cambria Math"/>
                        <w:i/>
                        <w:sz w:val="24"/>
                        <w:szCs w:val="24"/>
                      </w:rPr>
                    </m:ctrlPr>
                  </m:sSubSupPr>
                  <m:e>
                    <m:r>
                      <w:rPr>
                        <w:rFonts w:ascii="Cambria Math" w:hAnsi="Cambria Math"/>
                        <w:sz w:val="24"/>
                        <w:szCs w:val="24"/>
                      </w:rPr>
                      <m:t>d</m:t>
                    </m:r>
                  </m:e>
                  <m:sub>
                    <m:r>
                      <w:rPr>
                        <w:rFonts w:ascii="Cambria Math" w:hAnsi="Cambria Math"/>
                        <w:sz w:val="24"/>
                        <w:szCs w:val="24"/>
                      </w:rPr>
                      <m:t>w</m:t>
                    </m:r>
                  </m:sub>
                  <m:sup>
                    <m:r>
                      <w:rPr>
                        <w:rFonts w:ascii="Cambria Math" w:hAnsi="Cambria Math"/>
                        <w:sz w:val="24"/>
                        <w:szCs w:val="24"/>
                      </w:rPr>
                      <m:t>(S,j)</m:t>
                    </m:r>
                  </m:sup>
                </m:sSub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j</m:t>
                        </m:r>
                      </m:sub>
                    </m:sSub>
                    <m:d>
                      <m:dPr>
                        <m:shp m:val="match"/>
                        <m:ctrlPr>
                          <w:rPr>
                            <w:rFonts w:ascii="Cambria Math" w:hAnsi="Cambria Math"/>
                            <w:i/>
                            <w:sz w:val="24"/>
                            <w:szCs w:val="24"/>
                          </w:rPr>
                        </m:ctrlPr>
                      </m:dPr>
                      <m:e>
                        <m:r>
                          <w:rPr>
                            <w:rFonts w:ascii="Cambria Math" w:hAnsi="Cambria Math"/>
                            <w:sz w:val="24"/>
                            <w:szCs w:val="24"/>
                          </w:rPr>
                          <m:t>T</m:t>
                        </m:r>
                        <m:d>
                          <m:dPr>
                            <m:ctrlPr>
                              <w:rPr>
                                <w:rFonts w:ascii="Cambria Math" w:hAnsi="Cambria Math"/>
                                <w:i/>
                                <w:sz w:val="24"/>
                                <w:szCs w:val="24"/>
                              </w:rPr>
                            </m:ctrlPr>
                          </m:dPr>
                          <m:e>
                            <m:r>
                              <w:rPr>
                                <w:rFonts w:ascii="Cambria Math" w:hAnsi="Cambria Math"/>
                                <w:sz w:val="24"/>
                                <w:szCs w:val="24"/>
                              </w:rPr>
                              <m:t>S</m:t>
                            </m:r>
                          </m:e>
                        </m:d>
                        <m:r>
                          <w:rPr>
                            <w:rFonts w:ascii="Cambria Math" w:hAnsi="Cambria Math"/>
                            <w:sz w:val="24"/>
                            <w:szCs w:val="24"/>
                          </w:rPr>
                          <m:t>-w;</m:t>
                        </m:r>
                        <m:d>
                          <m:dPr>
                            <m:begChr m:val="{"/>
                            <m:endChr m:val="}"/>
                            <m:shp m:val="match"/>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j</m:t>
                                </m:r>
                              </m:sub>
                            </m:sSub>
                            <m:d>
                              <m:dPr>
                                <m:ctrlPr>
                                  <w:rPr>
                                    <w:rFonts w:ascii="Cambria Math" w:hAnsi="Cambria Math"/>
                                    <w:i/>
                                    <w:sz w:val="24"/>
                                    <w:szCs w:val="24"/>
                                  </w:rPr>
                                </m:ctrlPr>
                              </m:dPr>
                              <m:e>
                                <m:r>
                                  <w:rPr>
                                    <w:rFonts w:ascii="Cambria Math" w:hAnsi="Cambria Math"/>
                                    <w:sz w:val="24"/>
                                    <w:szCs w:val="24"/>
                                  </w:rPr>
                                  <m:t>d</m:t>
                                </m:r>
                              </m:e>
                            </m:d>
                          </m:e>
                        </m:d>
                      </m:e>
                    </m:d>
                  </m:num>
                  <m:den>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j</m:t>
                        </m:r>
                      </m:sub>
                    </m:sSub>
                    <m:d>
                      <m:dPr>
                        <m:shp m:val="match"/>
                        <m:ctrlPr>
                          <w:rPr>
                            <w:rFonts w:ascii="Cambria Math" w:hAnsi="Cambria Math"/>
                            <w:i/>
                            <w:sz w:val="24"/>
                            <w:szCs w:val="24"/>
                          </w:rPr>
                        </m:ctrlPr>
                      </m:dPr>
                      <m:e>
                        <m:r>
                          <w:rPr>
                            <w:rFonts w:ascii="Cambria Math" w:hAnsi="Cambria Math"/>
                            <w:sz w:val="24"/>
                            <w:szCs w:val="24"/>
                          </w:rPr>
                          <m:t>T</m:t>
                        </m:r>
                        <m:d>
                          <m:dPr>
                            <m:ctrlPr>
                              <w:rPr>
                                <w:rFonts w:ascii="Cambria Math" w:hAnsi="Cambria Math"/>
                                <w:i/>
                                <w:sz w:val="24"/>
                                <w:szCs w:val="24"/>
                              </w:rPr>
                            </m:ctrlPr>
                          </m:dPr>
                          <m:e>
                            <m:r>
                              <w:rPr>
                                <w:rFonts w:ascii="Cambria Math" w:hAnsi="Cambria Math"/>
                                <w:sz w:val="24"/>
                                <w:szCs w:val="24"/>
                              </w:rPr>
                              <m:t>S</m:t>
                            </m:r>
                          </m:e>
                        </m:d>
                        <m:r>
                          <w:rPr>
                            <w:rFonts w:ascii="Cambria Math" w:hAnsi="Cambria Math"/>
                            <w:sz w:val="24"/>
                            <w:szCs w:val="24"/>
                          </w:rPr>
                          <m:t>-w;</m:t>
                        </m:r>
                        <m:d>
                          <m:dPr>
                            <m:begChr m:val="{"/>
                            <m:endChr m:val="}"/>
                            <m:shp m:val="match"/>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j</m:t>
                                </m:r>
                              </m:sub>
                            </m:sSub>
                            <m:d>
                              <m:dPr>
                                <m:ctrlPr>
                                  <w:rPr>
                                    <w:rFonts w:ascii="Cambria Math" w:hAnsi="Cambria Math"/>
                                    <w:i/>
                                    <w:sz w:val="24"/>
                                    <w:szCs w:val="24"/>
                                  </w:rPr>
                                </m:ctrlPr>
                              </m:dPr>
                              <m:e>
                                <m:r>
                                  <w:rPr>
                                    <w:rFonts w:ascii="Cambria Math" w:hAnsi="Cambria Math"/>
                                    <w:sz w:val="24"/>
                                    <w:szCs w:val="24"/>
                                  </w:rPr>
                                  <m:t>d</m:t>
                                </m:r>
                              </m:e>
                            </m:d>
                          </m:e>
                        </m:d>
                      </m:e>
                    </m:d>
                  </m:den>
                </m:f>
                <m:r>
                  <w:rPr>
                    <w:rFonts w:ascii="Cambria Math" w:hAnsi="Cambria Math"/>
                    <w:sz w:val="24"/>
                    <w:szCs w:val="24"/>
                  </w:rPr>
                  <m:t>,</m:t>
                </m:r>
              </m:oMath>
            </m:oMathPara>
          </w:p>
        </w:tc>
        <w:tc>
          <w:tcPr>
            <w:tcW w:w="1000" w:type="dxa"/>
            <w:vAlign w:val="center"/>
          </w:tcPr>
          <w:p w:rsidR="00E43D4C" w:rsidRPr="001071C8" w:rsidRDefault="00E43D4C" w:rsidP="00CD2A87">
            <w:pPr>
              <w:jc w:val="center"/>
            </w:pPr>
          </w:p>
        </w:tc>
      </w:tr>
    </w:tbl>
    <w:p w:rsidR="00446B72" w:rsidRDefault="006E2FF5" w:rsidP="00E43D4C">
      <w:pPr>
        <w:spacing w:before="240" w:line="480" w:lineRule="auto"/>
        <w:outlineLvl w:val="0"/>
        <w:rPr>
          <w:rFonts w:ascii="Times New Roman" w:hAnsi="Times New Roman"/>
          <w:sz w:val="24"/>
          <w:szCs w:val="24"/>
        </w:rPr>
      </w:pPr>
      <w:r>
        <w:rPr>
          <w:rFonts w:ascii="Times New Roman" w:hAnsi="Times New Roman"/>
          <w:sz w:val="24"/>
          <w:szCs w:val="24"/>
        </w:rPr>
        <w:t xml:space="preserve">and shape </w:t>
      </w:r>
      <m:oMath>
        <m:sSubSup>
          <m:sSubSupPr>
            <m:ctrlPr>
              <w:rPr>
                <w:rFonts w:ascii="Cambria Math" w:hAnsi="Cambria Math"/>
                <w:i/>
                <w:sz w:val="24"/>
                <w:szCs w:val="24"/>
              </w:rPr>
            </m:ctrlPr>
          </m:sSubSupPr>
          <m:e>
            <m:r>
              <w:rPr>
                <w:rFonts w:ascii="Cambria Math" w:hAnsi="Cambria Math"/>
                <w:sz w:val="24"/>
                <w:szCs w:val="24"/>
              </w:rPr>
              <m:t>d</m:t>
            </m:r>
          </m:e>
          <m:sub>
            <m:r>
              <w:rPr>
                <w:rFonts w:ascii="Cambria Math" w:hAnsi="Cambria Math"/>
                <w:sz w:val="24"/>
                <w:szCs w:val="24"/>
              </w:rPr>
              <m:t>w</m:t>
            </m:r>
          </m:sub>
          <m:sup>
            <m:r>
              <w:rPr>
                <w:rFonts w:ascii="Cambria Math" w:hAnsi="Cambria Math"/>
                <w:sz w:val="24"/>
                <w:szCs w:val="24"/>
              </w:rPr>
              <m:t>(S,j)</m:t>
            </m:r>
          </m:sup>
        </m:sSubSup>
      </m:oMath>
      <w:r>
        <w:rPr>
          <w:rFonts w:ascii="Times New Roman" w:hAnsi="Times New Roman"/>
          <w:sz w:val="24"/>
          <w:szCs w:val="24"/>
        </w:rPr>
        <w:t xml:space="preserve">. </w:t>
      </w:r>
      <w:r w:rsidR="00AC3BEE">
        <w:rPr>
          <w:rFonts w:ascii="Times New Roman" w:hAnsi="Times New Roman"/>
          <w:sz w:val="24"/>
          <w:szCs w:val="24"/>
        </w:rPr>
        <w:t xml:space="preserve">This is equivalent to the failure-counting definition of the negative binomial distribution with the number of “failures” equal to </w:t>
      </w:r>
      <m:oMath>
        <m:sSubSup>
          <m:sSubSupPr>
            <m:ctrlPr>
              <w:rPr>
                <w:rFonts w:ascii="Cambria Math" w:hAnsi="Cambria Math"/>
                <w:i/>
                <w:sz w:val="24"/>
                <w:szCs w:val="24"/>
              </w:rPr>
            </m:ctrlPr>
          </m:sSubSupPr>
          <m:e>
            <m:r>
              <w:rPr>
                <w:rFonts w:ascii="Cambria Math" w:hAnsi="Cambria Math"/>
                <w:sz w:val="24"/>
                <w:szCs w:val="24"/>
              </w:rPr>
              <m:t>d</m:t>
            </m:r>
          </m:e>
          <m:sub>
            <m:r>
              <w:rPr>
                <w:rFonts w:ascii="Cambria Math" w:hAnsi="Cambria Math"/>
                <w:sz w:val="24"/>
                <w:szCs w:val="24"/>
              </w:rPr>
              <m:t>w</m:t>
            </m:r>
          </m:sub>
          <m:sup>
            <m:r>
              <w:rPr>
                <w:rFonts w:ascii="Cambria Math" w:hAnsi="Cambria Math"/>
                <w:sz w:val="24"/>
                <w:szCs w:val="24"/>
              </w:rPr>
              <m:t>(S,j)</m:t>
            </m:r>
          </m:sup>
        </m:sSubSup>
      </m:oMath>
      <w:r w:rsidR="00AC3BEE">
        <w:rPr>
          <w:rFonts w:ascii="Times New Roman" w:hAnsi="Times New Roman"/>
          <w:sz w:val="24"/>
          <w:szCs w:val="24"/>
        </w:rPr>
        <w:t xml:space="preserve"> and probability of “success” equal to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j</m:t>
            </m:r>
          </m:sub>
        </m:sSub>
        <m:d>
          <m:dPr>
            <m:shp m:val="match"/>
            <m:ctrlPr>
              <w:rPr>
                <w:rFonts w:ascii="Cambria Math" w:hAnsi="Cambria Math"/>
                <w:i/>
                <w:sz w:val="24"/>
                <w:szCs w:val="24"/>
              </w:rPr>
            </m:ctrlPr>
          </m:dPr>
          <m:e>
            <m:r>
              <w:rPr>
                <w:rFonts w:ascii="Cambria Math" w:hAnsi="Cambria Math"/>
                <w:sz w:val="24"/>
                <w:szCs w:val="24"/>
              </w:rPr>
              <m:t>T</m:t>
            </m:r>
            <m:d>
              <m:dPr>
                <m:ctrlPr>
                  <w:rPr>
                    <w:rFonts w:ascii="Cambria Math" w:hAnsi="Cambria Math"/>
                    <w:i/>
                    <w:sz w:val="24"/>
                    <w:szCs w:val="24"/>
                  </w:rPr>
                </m:ctrlPr>
              </m:dPr>
              <m:e>
                <m:r>
                  <w:rPr>
                    <w:rFonts w:ascii="Cambria Math" w:hAnsi="Cambria Math"/>
                    <w:sz w:val="24"/>
                    <w:szCs w:val="24"/>
                  </w:rPr>
                  <m:t>S</m:t>
                </m:r>
              </m:e>
            </m:d>
            <m:r>
              <w:rPr>
                <w:rFonts w:ascii="Cambria Math" w:hAnsi="Cambria Math"/>
                <w:sz w:val="24"/>
                <w:szCs w:val="24"/>
              </w:rPr>
              <m:t>-w;</m:t>
            </m:r>
            <m:d>
              <m:dPr>
                <m:begChr m:val="{"/>
                <m:endChr m:val="}"/>
                <m:shp m:val="match"/>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j</m:t>
                    </m:r>
                  </m:sub>
                </m:sSub>
                <m:d>
                  <m:dPr>
                    <m:ctrlPr>
                      <w:rPr>
                        <w:rFonts w:ascii="Cambria Math" w:hAnsi="Cambria Math"/>
                        <w:i/>
                        <w:sz w:val="24"/>
                        <w:szCs w:val="24"/>
                      </w:rPr>
                    </m:ctrlPr>
                  </m:dPr>
                  <m:e>
                    <m:r>
                      <w:rPr>
                        <w:rFonts w:ascii="Cambria Math" w:hAnsi="Cambria Math"/>
                        <w:sz w:val="24"/>
                        <w:szCs w:val="24"/>
                      </w:rPr>
                      <m:t>d</m:t>
                    </m:r>
                  </m:e>
                </m:d>
              </m:e>
            </m:d>
          </m:e>
        </m:d>
      </m:oMath>
      <w:r w:rsidR="00AC3BEE">
        <w:rPr>
          <w:rFonts w:ascii="Times New Roman" w:hAnsi="Times New Roman"/>
          <w:sz w:val="24"/>
          <w:szCs w:val="24"/>
        </w:rPr>
        <w:t>.</w:t>
      </w:r>
      <w:bookmarkEnd w:id="5"/>
      <w:r w:rsidR="00446B72">
        <w:rPr>
          <w:rFonts w:ascii="Times New Roman" w:hAnsi="Times New Roman"/>
          <w:sz w:val="24"/>
          <w:szCs w:val="24"/>
        </w:rPr>
        <w:br/>
      </w:r>
    </w:p>
    <w:p w:rsidR="00CD2A87" w:rsidRDefault="00446B72" w:rsidP="00AC3BEE">
      <w:pPr>
        <w:spacing w:line="480" w:lineRule="auto"/>
        <w:outlineLvl w:val="0"/>
        <w:rPr>
          <w:rFonts w:ascii="Times New Roman" w:hAnsi="Times New Roman"/>
          <w:sz w:val="24"/>
          <w:szCs w:val="24"/>
        </w:rPr>
      </w:pPr>
      <w:r>
        <w:rPr>
          <w:rFonts w:ascii="Times New Roman" w:hAnsi="Times New Roman"/>
          <w:i/>
          <w:sz w:val="24"/>
          <w:szCs w:val="24"/>
        </w:rPr>
        <w:t>Expected excess deaths</w:t>
      </w:r>
      <w:r>
        <w:rPr>
          <w:rFonts w:ascii="Times New Roman" w:hAnsi="Times New Roman"/>
          <w:sz w:val="24"/>
          <w:szCs w:val="24"/>
        </w:rPr>
        <w:br/>
        <w:t>To calculate expected deaths</w:t>
      </w:r>
      <w:r w:rsidR="006D616D">
        <w:rPr>
          <w:rFonts w:ascii="Times New Roman" w:hAnsi="Times New Roman"/>
          <w:sz w:val="24"/>
          <w:szCs w:val="24"/>
        </w:rPr>
        <w:t xml:space="preserve"> </w:t>
      </w:r>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d</m:t>
                </m:r>
              </m:e>
            </m:acc>
          </m:e>
          <m:sub>
            <m:r>
              <w:rPr>
                <w:rFonts w:ascii="Cambria Math" w:hAnsi="Cambria Math"/>
                <w:sz w:val="24"/>
                <w:szCs w:val="24"/>
              </w:rPr>
              <m:t>w</m:t>
            </m:r>
          </m:sub>
          <m:sup>
            <m:d>
              <m:dPr>
                <m:ctrlPr>
                  <w:rPr>
                    <w:rFonts w:ascii="Cambria Math" w:hAnsi="Cambria Math"/>
                    <w:i/>
                    <w:sz w:val="24"/>
                    <w:szCs w:val="24"/>
                  </w:rPr>
                </m:ctrlPr>
              </m:dPr>
              <m:e>
                <m:r>
                  <w:rPr>
                    <w:rFonts w:ascii="Cambria Math" w:hAnsi="Cambria Math"/>
                    <w:sz w:val="24"/>
                    <w:szCs w:val="24"/>
                  </w:rPr>
                  <m:t>y,j</m:t>
                </m:r>
              </m:e>
            </m:d>
          </m:sup>
        </m:sSubSup>
      </m:oMath>
      <w:r w:rsidR="005E05B7">
        <w:rPr>
          <w:rFonts w:ascii="Times New Roman" w:hAnsi="Times New Roman"/>
          <w:sz w:val="24"/>
          <w:szCs w:val="24"/>
        </w:rPr>
        <w:t xml:space="preserve"> for calendar year </w:t>
      </w:r>
      <m:oMath>
        <m:r>
          <w:rPr>
            <w:rFonts w:ascii="Cambria Math" w:hAnsi="Cambria Math"/>
            <w:sz w:val="24"/>
            <w:szCs w:val="24"/>
          </w:rPr>
          <m:t>y</m:t>
        </m:r>
      </m:oMath>
      <w:r w:rsidR="005E05B7">
        <w:rPr>
          <w:rFonts w:ascii="Times New Roman" w:hAnsi="Times New Roman"/>
          <w:sz w:val="24"/>
          <w:szCs w:val="24"/>
        </w:rPr>
        <w:t>,</w:t>
      </w:r>
      <w:r>
        <w:rPr>
          <w:rFonts w:ascii="Times New Roman" w:hAnsi="Times New Roman"/>
          <w:sz w:val="24"/>
          <w:szCs w:val="24"/>
        </w:rPr>
        <w:t xml:space="preserve"> </w:t>
      </w:r>
      <w:r w:rsidR="005E05B7">
        <w:rPr>
          <w:rFonts w:ascii="Times New Roman" w:hAnsi="Times New Roman"/>
          <w:sz w:val="24"/>
          <w:szCs w:val="24"/>
        </w:rPr>
        <w:t xml:space="preserve">week </w:t>
      </w:r>
      <m:oMath>
        <m:r>
          <w:rPr>
            <w:rFonts w:ascii="Cambria Math" w:hAnsi="Cambria Math"/>
            <w:sz w:val="24"/>
            <w:szCs w:val="24"/>
          </w:rPr>
          <m:t>w</m:t>
        </m:r>
      </m:oMath>
      <w:r w:rsidR="005E05B7">
        <w:rPr>
          <w:rFonts w:ascii="Times New Roman" w:hAnsi="Times New Roman"/>
          <w:sz w:val="24"/>
          <w:szCs w:val="24"/>
        </w:rPr>
        <w:t xml:space="preserve">, and jurisdiction </w:t>
      </w:r>
      <m:oMath>
        <m:r>
          <w:rPr>
            <w:rFonts w:ascii="Cambria Math" w:hAnsi="Cambria Math"/>
            <w:sz w:val="24"/>
            <w:szCs w:val="24"/>
          </w:rPr>
          <m:t>j</m:t>
        </m:r>
      </m:oMath>
      <w:r w:rsidR="005E05B7">
        <w:rPr>
          <w:rFonts w:ascii="Times New Roman" w:hAnsi="Times New Roman"/>
          <w:sz w:val="24"/>
          <w:szCs w:val="24"/>
        </w:rPr>
        <w:t xml:space="preserve">, </w:t>
      </w:r>
      <w:r>
        <w:rPr>
          <w:rFonts w:ascii="Times New Roman" w:hAnsi="Times New Roman"/>
          <w:sz w:val="24"/>
          <w:szCs w:val="24"/>
        </w:rPr>
        <w:t xml:space="preserve">we used a previously developed model of Weinberger and colleagues </w:t>
      </w:r>
      <w:r w:rsidR="00B500EA">
        <w:rPr>
          <w:rFonts w:ascii="Times New Roman" w:hAnsi="Times New Roman"/>
          <w:sz w:val="24"/>
          <w:szCs w:val="24"/>
        </w:rPr>
        <w:t>[</w:t>
      </w:r>
      <w:r w:rsidRPr="00B500EA">
        <w:rPr>
          <w:rFonts w:ascii="Times New Roman" w:hAnsi="Times New Roman"/>
          <w:color w:val="00B0F0"/>
          <w:sz w:val="24"/>
          <w:szCs w:val="24"/>
        </w:rPr>
        <w:fldChar w:fldCharType="begin"/>
      </w:r>
      <w:r w:rsidRPr="00B500EA">
        <w:rPr>
          <w:rFonts w:ascii="Times New Roman" w:hAnsi="Times New Roman"/>
          <w:color w:val="00B0F0"/>
          <w:sz w:val="24"/>
          <w:szCs w:val="24"/>
        </w:rPr>
        <w:instrText xml:space="preserve"> REF _Ref65235093 \r \h </w:instrText>
      </w:r>
      <w:r w:rsidR="00B500EA" w:rsidRPr="00B500EA">
        <w:rPr>
          <w:rFonts w:ascii="Times New Roman" w:hAnsi="Times New Roman"/>
          <w:color w:val="00B0F0"/>
          <w:sz w:val="24"/>
          <w:szCs w:val="24"/>
        </w:rPr>
        <w:instrText xml:space="preserve"> \* MERGEFORMAT </w:instrText>
      </w:r>
      <w:r w:rsidRPr="00B500EA">
        <w:rPr>
          <w:rFonts w:ascii="Times New Roman" w:hAnsi="Times New Roman"/>
          <w:color w:val="00B0F0"/>
          <w:sz w:val="24"/>
          <w:szCs w:val="24"/>
        </w:rPr>
      </w:r>
      <w:r w:rsidRPr="00B500EA">
        <w:rPr>
          <w:rFonts w:ascii="Times New Roman" w:hAnsi="Times New Roman"/>
          <w:color w:val="00B0F0"/>
          <w:sz w:val="24"/>
          <w:szCs w:val="24"/>
        </w:rPr>
        <w:fldChar w:fldCharType="separate"/>
      </w:r>
      <w:r w:rsidR="005B28E8">
        <w:rPr>
          <w:rFonts w:ascii="Times New Roman" w:hAnsi="Times New Roman"/>
          <w:color w:val="00B0F0"/>
          <w:sz w:val="24"/>
          <w:szCs w:val="24"/>
        </w:rPr>
        <w:t>S1</w:t>
      </w:r>
      <w:r w:rsidRPr="00B500EA">
        <w:rPr>
          <w:rFonts w:ascii="Times New Roman" w:hAnsi="Times New Roman"/>
          <w:color w:val="00B0F0"/>
          <w:sz w:val="24"/>
          <w:szCs w:val="24"/>
        </w:rPr>
        <w:fldChar w:fldCharType="end"/>
      </w:r>
      <w:r w:rsidR="00B500EA">
        <w:rPr>
          <w:rFonts w:ascii="Times New Roman" w:hAnsi="Times New Roman"/>
          <w:sz w:val="24"/>
          <w:szCs w:val="24"/>
        </w:rPr>
        <w:t>]</w:t>
      </w:r>
      <w:r w:rsidR="006D616D">
        <w:rPr>
          <w:rFonts w:ascii="Times New Roman" w:hAnsi="Times New Roman"/>
          <w:sz w:val="24"/>
          <w:szCs w:val="24"/>
        </w:rPr>
        <w:t xml:space="preserve"> that follows Poisson </w:t>
      </w:r>
      <w:r w:rsidR="005E05B7">
        <w:rPr>
          <w:rFonts w:ascii="Times New Roman" w:hAnsi="Times New Roman"/>
          <w:sz w:val="24"/>
          <w:szCs w:val="24"/>
        </w:rPr>
        <w:t>likelihood</w:t>
      </w:r>
      <w:r w:rsidR="006D616D">
        <w:rPr>
          <w:rFonts w:ascii="Times New Roman" w:hAnsi="Times New Roman"/>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
        <w:gridCol w:w="7650"/>
        <w:gridCol w:w="1000"/>
      </w:tblGrid>
      <w:tr w:rsidR="00CD2A87" w:rsidRPr="001071C8" w:rsidTr="00CD2A87">
        <w:trPr>
          <w:jc w:val="center"/>
        </w:trPr>
        <w:tc>
          <w:tcPr>
            <w:tcW w:w="360" w:type="dxa"/>
          </w:tcPr>
          <w:p w:rsidR="00CD2A87" w:rsidRPr="001071C8" w:rsidRDefault="00CD2A87" w:rsidP="00CD2A87">
            <w:pPr>
              <w:spacing w:line="360" w:lineRule="auto"/>
            </w:pPr>
          </w:p>
        </w:tc>
        <w:tc>
          <w:tcPr>
            <w:tcW w:w="7650" w:type="dxa"/>
          </w:tcPr>
          <w:p w:rsidR="00CD2A87" w:rsidRPr="001071C8" w:rsidRDefault="007A76EA" w:rsidP="00CD2A87">
            <w:pPr>
              <w:spacing w:line="360" w:lineRule="auto"/>
            </w:pPr>
            <m:oMathPara>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d</m:t>
                        </m:r>
                      </m:e>
                    </m:acc>
                  </m:e>
                  <m:sub>
                    <m:r>
                      <w:rPr>
                        <w:rFonts w:ascii="Cambria Math" w:hAnsi="Cambria Math"/>
                        <w:sz w:val="24"/>
                        <w:szCs w:val="24"/>
                      </w:rPr>
                      <m:t>w</m:t>
                    </m:r>
                  </m:sub>
                  <m:sup>
                    <m:d>
                      <m:dPr>
                        <m:ctrlPr>
                          <w:rPr>
                            <w:rFonts w:ascii="Cambria Math" w:hAnsi="Cambria Math"/>
                            <w:i/>
                            <w:sz w:val="24"/>
                            <w:szCs w:val="24"/>
                          </w:rPr>
                        </m:ctrlPr>
                      </m:dPr>
                      <m:e>
                        <m:r>
                          <w:rPr>
                            <w:rFonts w:ascii="Cambria Math" w:hAnsi="Cambria Math"/>
                            <w:sz w:val="24"/>
                            <w:szCs w:val="24"/>
                          </w:rPr>
                          <m:t>y,j</m:t>
                        </m:r>
                      </m:e>
                    </m:d>
                  </m:sup>
                </m:sSubSup>
                <m:r>
                  <w:rPr>
                    <w:rFonts w:ascii="Cambria Math" w:hAnsi="Cambria Math"/>
                    <w:sz w:val="24"/>
                    <w:szCs w:val="24"/>
                  </w:rPr>
                  <m:t xml:space="preserve"> ~ </m:t>
                </m:r>
                <m:r>
                  <m:rPr>
                    <m:sty m:val="p"/>
                  </m:rPr>
                  <w:rPr>
                    <w:rFonts w:ascii="Cambria Math" w:hAnsi="Cambria Math"/>
                    <w:sz w:val="24"/>
                    <w:szCs w:val="24"/>
                  </w:rPr>
                  <m:t>Poisson</m:t>
                </m:r>
                <m:d>
                  <m:dPr>
                    <m:shp m:val="match"/>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λ</m:t>
                        </m:r>
                      </m:e>
                      <m:sub>
                        <m:r>
                          <w:rPr>
                            <w:rFonts w:ascii="Cambria Math" w:hAnsi="Cambria Math"/>
                            <w:sz w:val="24"/>
                            <w:szCs w:val="24"/>
                          </w:rPr>
                          <m:t>w</m:t>
                        </m:r>
                      </m:sub>
                      <m:sup>
                        <m:d>
                          <m:dPr>
                            <m:ctrlPr>
                              <w:rPr>
                                <w:rFonts w:ascii="Cambria Math" w:hAnsi="Cambria Math"/>
                                <w:i/>
                                <w:sz w:val="24"/>
                                <w:szCs w:val="24"/>
                              </w:rPr>
                            </m:ctrlPr>
                          </m:dPr>
                          <m:e>
                            <m:r>
                              <w:rPr>
                                <w:rFonts w:ascii="Cambria Math" w:hAnsi="Cambria Math"/>
                                <w:sz w:val="24"/>
                                <w:szCs w:val="24"/>
                              </w:rPr>
                              <m:t>y,j</m:t>
                            </m:r>
                          </m:e>
                        </m:d>
                      </m:sup>
                    </m:sSubSup>
                  </m:e>
                </m:d>
                <m:r>
                  <w:rPr>
                    <w:rFonts w:ascii="Cambria Math" w:hAnsi="Cambria Math"/>
                    <w:sz w:val="24"/>
                    <w:szCs w:val="24"/>
                  </w:rPr>
                  <m:t>,</m:t>
                </m:r>
                <m:r>
                  <m:rPr>
                    <m:sty m:val="p"/>
                  </m:rPr>
                  <w:rPr>
                    <w:rFonts w:ascii="Times New Roman" w:hAnsi="Times New Roman"/>
                    <w:sz w:val="24"/>
                    <w:szCs w:val="24"/>
                  </w:rPr>
                  <w:br/>
                </m:r>
              </m:oMath>
              <m:oMath>
                <m:func>
                  <m:funcPr>
                    <m:ctrlPr>
                      <w:rPr>
                        <w:rFonts w:ascii="Cambria Math" w:hAnsi="Cambria Math"/>
                        <w:i/>
                        <w:sz w:val="24"/>
                        <w:szCs w:val="24"/>
                      </w:rPr>
                    </m:ctrlPr>
                  </m:funcPr>
                  <m:fName>
                    <m:r>
                      <m:rPr>
                        <m:sty m:val="p"/>
                      </m:rPr>
                      <w:rPr>
                        <w:rFonts w:ascii="Cambria Math" w:hAnsi="Cambria Math"/>
                        <w:sz w:val="24"/>
                        <w:szCs w:val="24"/>
                      </w:rPr>
                      <m:t>log</m:t>
                    </m:r>
                  </m:fName>
                  <m:e>
                    <m:d>
                      <m:dPr>
                        <m:shp m:val="match"/>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λ</m:t>
                            </m:r>
                          </m:e>
                          <m:sub>
                            <m:r>
                              <w:rPr>
                                <w:rFonts w:ascii="Cambria Math" w:hAnsi="Cambria Math"/>
                                <w:sz w:val="24"/>
                                <w:szCs w:val="24"/>
                              </w:rPr>
                              <m:t>w</m:t>
                            </m:r>
                          </m:sub>
                          <m:sup>
                            <m:d>
                              <m:dPr>
                                <m:ctrlPr>
                                  <w:rPr>
                                    <w:rFonts w:ascii="Cambria Math" w:hAnsi="Cambria Math"/>
                                    <w:i/>
                                    <w:sz w:val="24"/>
                                    <w:szCs w:val="24"/>
                                  </w:rPr>
                                </m:ctrlPr>
                              </m:dPr>
                              <m:e>
                                <m:r>
                                  <w:rPr>
                                    <w:rFonts w:ascii="Cambria Math" w:hAnsi="Cambria Math"/>
                                    <w:sz w:val="24"/>
                                    <w:szCs w:val="24"/>
                                  </w:rPr>
                                  <m:t>y,j</m:t>
                                </m:r>
                              </m:e>
                            </m:d>
                          </m:sup>
                        </m:sSubSup>
                      </m:e>
                    </m:d>
                  </m:e>
                </m:fun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func>
                  <m:funcPr>
                    <m:ctrlPr>
                      <w:rPr>
                        <w:rFonts w:ascii="Cambria Math" w:hAnsi="Cambria Math"/>
                        <w:i/>
                        <w:sz w:val="24"/>
                        <w:szCs w:val="24"/>
                      </w:rPr>
                    </m:ctrlPr>
                  </m:funcPr>
                  <m:fName>
                    <m:r>
                      <m:rPr>
                        <m:sty m:val="p"/>
                      </m:rPr>
                      <w:rPr>
                        <w:rFonts w:ascii="Cambria Math" w:hAnsi="Cambria Math"/>
                        <w:sz w:val="24"/>
                        <w:szCs w:val="24"/>
                      </w:rPr>
                      <m:t>sin</m:t>
                    </m:r>
                  </m:fName>
                  <m:e>
                    <m:d>
                      <m:dPr>
                        <m:ctrlPr>
                          <w:rPr>
                            <w:rFonts w:ascii="Cambria Math" w:hAnsi="Cambria Math"/>
                            <w:i/>
                            <w:sz w:val="24"/>
                            <w:szCs w:val="24"/>
                          </w:rPr>
                        </m:ctrlPr>
                      </m:dPr>
                      <m:e>
                        <m:sSub>
                          <m:sSubPr>
                            <m:ctrlPr>
                              <w:rPr>
                                <w:rFonts w:ascii="Cambria Math" w:hAnsi="Cambria Math"/>
                                <w:i/>
                                <w:sz w:val="24"/>
                                <w:szCs w:val="24"/>
                              </w:rPr>
                            </m:ctrlPr>
                          </m:sSubPr>
                          <m:e>
                            <m:r>
                              <m:rPr>
                                <m:sty m:val="p"/>
                              </m:rPr>
                              <w:rPr>
                                <w:rFonts w:ascii="Cambria Math" w:hAnsi="Cambria Math"/>
                                <w:sz w:val="24"/>
                                <w:szCs w:val="24"/>
                              </w:rPr>
                              <m:t>Θ</m:t>
                            </m:r>
                          </m:e>
                          <m:sub>
                            <m:r>
                              <w:rPr>
                                <w:rFonts w:ascii="Cambria Math" w:hAnsi="Cambria Math"/>
                                <w:sz w:val="24"/>
                                <w:szCs w:val="24"/>
                              </w:rPr>
                              <m:t>w</m:t>
                            </m:r>
                          </m:sub>
                        </m:sSub>
                      </m:e>
                    </m:d>
                  </m:e>
                </m:fun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2</m:t>
                    </m:r>
                  </m:sub>
                </m:sSub>
                <m:func>
                  <m:funcPr>
                    <m:ctrlPr>
                      <w:rPr>
                        <w:rFonts w:ascii="Cambria Math" w:hAnsi="Cambria Math"/>
                        <w:i/>
                        <w:sz w:val="24"/>
                        <w:szCs w:val="24"/>
                      </w:rPr>
                    </m:ctrlPr>
                  </m:funcPr>
                  <m:fName>
                    <m:r>
                      <m:rPr>
                        <m:sty m:val="p"/>
                      </m:rPr>
                      <w:rPr>
                        <w:rFonts w:ascii="Cambria Math" w:hAnsi="Cambria Math"/>
                        <w:sz w:val="24"/>
                        <w:szCs w:val="24"/>
                      </w:rPr>
                      <m:t>cos</m:t>
                    </m:r>
                  </m:fName>
                  <m:e>
                    <m:d>
                      <m:dPr>
                        <m:ctrlPr>
                          <w:rPr>
                            <w:rFonts w:ascii="Cambria Math" w:hAnsi="Cambria Math"/>
                            <w:i/>
                            <w:sz w:val="24"/>
                            <w:szCs w:val="24"/>
                          </w:rPr>
                        </m:ctrlPr>
                      </m:dPr>
                      <m:e>
                        <m:sSub>
                          <m:sSubPr>
                            <m:ctrlPr>
                              <w:rPr>
                                <w:rFonts w:ascii="Cambria Math" w:hAnsi="Cambria Math"/>
                                <w:i/>
                                <w:sz w:val="24"/>
                                <w:szCs w:val="24"/>
                              </w:rPr>
                            </m:ctrlPr>
                          </m:sSubPr>
                          <m:e>
                            <m:r>
                              <m:rPr>
                                <m:sty m:val="p"/>
                              </m:rPr>
                              <w:rPr>
                                <w:rFonts w:ascii="Cambria Math" w:hAnsi="Cambria Math"/>
                                <w:sz w:val="24"/>
                                <w:szCs w:val="24"/>
                              </w:rPr>
                              <m:t>Θ</m:t>
                            </m:r>
                          </m:e>
                          <m:sub>
                            <m:r>
                              <w:rPr>
                                <w:rFonts w:ascii="Cambria Math" w:hAnsi="Cambria Math"/>
                                <w:sz w:val="24"/>
                                <w:szCs w:val="24"/>
                              </w:rPr>
                              <m:t>w</m:t>
                            </m:r>
                          </m:sub>
                        </m:sSub>
                      </m:e>
                    </m:d>
                  </m:e>
                </m:func>
                <m:r>
                  <w:rPr>
                    <w:rFonts w:ascii="Cambria Math" w:hAnsi="Cambria Math"/>
                    <w:sz w:val="24"/>
                    <w:szCs w:val="24"/>
                  </w:rPr>
                  <m:t>+</m:t>
                </m:r>
                <m:r>
                  <m:rPr>
                    <m:sty m:val="p"/>
                  </m:rPr>
                  <w:rPr>
                    <w:rFonts w:ascii="Cambria Math" w:hAnsi="Cambria Math"/>
                    <w:sz w:val="24"/>
                    <w:szCs w:val="24"/>
                  </w:rPr>
                  <w:br/>
                </m:r>
              </m:oMath>
              <m:oMath>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3</m:t>
                    </m:r>
                  </m:sub>
                </m:sSub>
                <m:func>
                  <m:funcPr>
                    <m:ctrlPr>
                      <w:rPr>
                        <w:rFonts w:ascii="Cambria Math" w:hAnsi="Cambria Math"/>
                        <w:i/>
                        <w:sz w:val="24"/>
                        <w:szCs w:val="24"/>
                      </w:rPr>
                    </m:ctrlPr>
                  </m:funcPr>
                  <m:fName>
                    <m:r>
                      <m:rPr>
                        <m:sty m:val="p"/>
                      </m:rPr>
                      <w:rPr>
                        <w:rFonts w:ascii="Cambria Math" w:hAnsi="Cambria Math"/>
                        <w:sz w:val="24"/>
                        <w:szCs w:val="24"/>
                      </w:rPr>
                      <m:t>sin</m:t>
                    </m:r>
                  </m:fName>
                  <m:e>
                    <m:d>
                      <m:dPr>
                        <m:ctrlPr>
                          <w:rPr>
                            <w:rFonts w:ascii="Cambria Math" w:hAnsi="Cambria Math"/>
                            <w:i/>
                            <w:sz w:val="24"/>
                            <w:szCs w:val="24"/>
                          </w:rPr>
                        </m:ctrlPr>
                      </m:dPr>
                      <m:e>
                        <m:f>
                          <m:fPr>
                            <m:type m:val="lin"/>
                            <m:ctrlPr>
                              <w:rPr>
                                <w:rFonts w:ascii="Cambria Math" w:hAnsi="Cambria Math"/>
                                <w:i/>
                                <w:sz w:val="24"/>
                                <w:szCs w:val="24"/>
                              </w:rPr>
                            </m:ctrlPr>
                          </m:fPr>
                          <m:num>
                            <m:sSub>
                              <m:sSubPr>
                                <m:ctrlPr>
                                  <w:rPr>
                                    <w:rFonts w:ascii="Cambria Math" w:hAnsi="Cambria Math"/>
                                    <w:i/>
                                    <w:sz w:val="24"/>
                                    <w:szCs w:val="24"/>
                                  </w:rPr>
                                </m:ctrlPr>
                              </m:sSubPr>
                              <m:e>
                                <m:r>
                                  <m:rPr>
                                    <m:sty m:val="p"/>
                                  </m:rPr>
                                  <w:rPr>
                                    <w:rFonts w:ascii="Cambria Math" w:hAnsi="Cambria Math"/>
                                    <w:sz w:val="24"/>
                                    <w:szCs w:val="24"/>
                                  </w:rPr>
                                  <m:t>Θ</m:t>
                                </m:r>
                              </m:e>
                              <m:sub>
                                <m:r>
                                  <w:rPr>
                                    <w:rFonts w:ascii="Cambria Math" w:hAnsi="Cambria Math"/>
                                    <w:sz w:val="24"/>
                                    <w:szCs w:val="24"/>
                                  </w:rPr>
                                  <m:t>w</m:t>
                                </m:r>
                              </m:sub>
                            </m:sSub>
                          </m:num>
                          <m:den>
                            <m:r>
                              <w:rPr>
                                <w:rFonts w:ascii="Cambria Math" w:hAnsi="Cambria Math"/>
                                <w:sz w:val="24"/>
                                <w:szCs w:val="24"/>
                              </w:rPr>
                              <m:t>2</m:t>
                            </m:r>
                          </m:den>
                        </m:f>
                      </m:e>
                    </m:d>
                  </m:e>
                </m:fun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4</m:t>
                    </m:r>
                  </m:sub>
                </m:sSub>
                <m:func>
                  <m:funcPr>
                    <m:ctrlPr>
                      <w:rPr>
                        <w:rFonts w:ascii="Cambria Math" w:hAnsi="Cambria Math"/>
                        <w:i/>
                        <w:sz w:val="24"/>
                        <w:szCs w:val="24"/>
                      </w:rPr>
                    </m:ctrlPr>
                  </m:funcPr>
                  <m:fName>
                    <m:r>
                      <m:rPr>
                        <m:sty m:val="p"/>
                      </m:rPr>
                      <w:rPr>
                        <w:rFonts w:ascii="Cambria Math" w:hAnsi="Cambria Math"/>
                        <w:sz w:val="24"/>
                        <w:szCs w:val="24"/>
                      </w:rPr>
                      <m:t>cos</m:t>
                    </m:r>
                  </m:fName>
                  <m:e>
                    <m:d>
                      <m:dPr>
                        <m:ctrlPr>
                          <w:rPr>
                            <w:rFonts w:ascii="Cambria Math" w:hAnsi="Cambria Math"/>
                            <w:i/>
                            <w:sz w:val="24"/>
                            <w:szCs w:val="24"/>
                          </w:rPr>
                        </m:ctrlPr>
                      </m:dPr>
                      <m:e>
                        <m:f>
                          <m:fPr>
                            <m:type m:val="lin"/>
                            <m:ctrlPr>
                              <w:rPr>
                                <w:rFonts w:ascii="Cambria Math" w:hAnsi="Cambria Math"/>
                                <w:i/>
                                <w:sz w:val="24"/>
                                <w:szCs w:val="24"/>
                              </w:rPr>
                            </m:ctrlPr>
                          </m:fPr>
                          <m:num>
                            <m:sSub>
                              <m:sSubPr>
                                <m:ctrlPr>
                                  <w:rPr>
                                    <w:rFonts w:ascii="Cambria Math" w:hAnsi="Cambria Math"/>
                                    <w:sz w:val="24"/>
                                    <w:szCs w:val="24"/>
                                  </w:rPr>
                                </m:ctrlPr>
                              </m:sSubPr>
                              <m:e>
                                <m:r>
                                  <m:rPr>
                                    <m:sty m:val="p"/>
                                  </m:rPr>
                                  <w:rPr>
                                    <w:rFonts w:ascii="Cambria Math" w:hAnsi="Cambria Math"/>
                                    <w:sz w:val="24"/>
                                    <w:szCs w:val="24"/>
                                  </w:rPr>
                                  <m:t>Θ</m:t>
                                </m:r>
                                <m:ctrlPr>
                                  <w:rPr>
                                    <w:rFonts w:ascii="Cambria Math" w:hAnsi="Cambria Math"/>
                                    <w:i/>
                                    <w:sz w:val="24"/>
                                    <w:szCs w:val="24"/>
                                  </w:rPr>
                                </m:ctrlPr>
                              </m:e>
                              <m:sub>
                                <m:r>
                                  <w:rPr>
                                    <w:rFonts w:ascii="Cambria Math" w:hAnsi="Cambria Math"/>
                                    <w:sz w:val="24"/>
                                    <w:szCs w:val="24"/>
                                  </w:rPr>
                                  <m:t>w</m:t>
                                </m:r>
                              </m:sub>
                            </m:sSub>
                          </m:num>
                          <m:den>
                            <m:r>
                              <w:rPr>
                                <w:rFonts w:ascii="Cambria Math" w:hAnsi="Cambria Math"/>
                                <w:sz w:val="24"/>
                                <w:szCs w:val="24"/>
                              </w:rPr>
                              <m:t>2</m:t>
                            </m:r>
                          </m:den>
                        </m:f>
                      </m:e>
                    </m:d>
                  </m:e>
                </m:func>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γ</m:t>
                    </m:r>
                  </m:e>
                  <m:sup>
                    <m:d>
                      <m:dPr>
                        <m:ctrlPr>
                          <w:rPr>
                            <w:rFonts w:ascii="Cambria Math" w:hAnsi="Cambria Math"/>
                            <w:i/>
                            <w:sz w:val="24"/>
                            <w:szCs w:val="24"/>
                          </w:rPr>
                        </m:ctrlPr>
                      </m:dPr>
                      <m:e>
                        <m:r>
                          <w:rPr>
                            <w:rFonts w:ascii="Cambria Math" w:hAnsi="Cambria Math"/>
                            <w:sz w:val="24"/>
                            <w:szCs w:val="24"/>
                          </w:rPr>
                          <m:t>y,j</m:t>
                        </m:r>
                      </m:e>
                    </m:d>
                  </m:sup>
                </m:sSup>
                <m:r>
                  <w:rPr>
                    <w:rFonts w:ascii="Cambria Math" w:hAnsi="Cambria Math"/>
                    <w:sz w:val="24"/>
                    <w:szCs w:val="24"/>
                  </w:rPr>
                  <m:t>,</m:t>
                </m:r>
                <m:r>
                  <m:rPr>
                    <m:sty m:val="p"/>
                  </m:rPr>
                  <w:rPr>
                    <w:rFonts w:ascii="Cambria Math" w:hAnsi="Cambria Math"/>
                    <w:sz w:val="24"/>
                    <w:szCs w:val="24"/>
                  </w:rPr>
                  <w:br/>
                </m:r>
              </m:oMath>
              <m:oMath>
                <m:sSub>
                  <m:sSubPr>
                    <m:ctrlPr>
                      <w:rPr>
                        <w:rFonts w:ascii="Cambria Math" w:hAnsi="Cambria Math"/>
                        <w:i/>
                        <w:sz w:val="24"/>
                        <w:szCs w:val="24"/>
                      </w:rPr>
                    </m:ctrlPr>
                  </m:sSubPr>
                  <m:e>
                    <m:r>
                      <m:rPr>
                        <m:sty m:val="p"/>
                      </m:rPr>
                      <w:rPr>
                        <w:rFonts w:ascii="Cambria Math" w:hAnsi="Cambria Math"/>
                        <w:sz w:val="24"/>
                        <w:szCs w:val="24"/>
                      </w:rPr>
                      <m:t>Θ</m:t>
                    </m:r>
                    <m:ctrlPr>
                      <w:rPr>
                        <w:rFonts w:ascii="Cambria Math" w:hAnsi="Cambria Math"/>
                        <w:sz w:val="24"/>
                        <w:szCs w:val="24"/>
                      </w:rPr>
                    </m:ctrlPr>
                  </m:e>
                  <m:sub>
                    <m:r>
                      <w:rPr>
                        <w:rFonts w:ascii="Cambria Math" w:hAnsi="Cambria Math"/>
                        <w:sz w:val="24"/>
                        <w:szCs w:val="24"/>
                      </w:rPr>
                      <m:t>w</m:t>
                    </m:r>
                  </m:sub>
                </m:sSub>
                <m:r>
                  <w:rPr>
                    <w:rFonts w:ascii="Cambria Math" w:hAnsi="Cambria Math"/>
                    <w:sz w:val="24"/>
                    <w:szCs w:val="24"/>
                  </w:rPr>
                  <m:t>=2⋅π⋅</m:t>
                </m:r>
                <m:f>
                  <m:fPr>
                    <m:type m:val="lin"/>
                    <m:ctrlPr>
                      <w:rPr>
                        <w:rFonts w:ascii="Cambria Math" w:hAnsi="Cambria Math"/>
                        <w:i/>
                        <w:sz w:val="24"/>
                        <w:szCs w:val="24"/>
                      </w:rPr>
                    </m:ctrlPr>
                  </m:fPr>
                  <m:num>
                    <m:r>
                      <w:rPr>
                        <w:rFonts w:ascii="Cambria Math" w:hAnsi="Cambria Math"/>
                        <w:sz w:val="24"/>
                        <w:szCs w:val="24"/>
                      </w:rPr>
                      <m:t>w</m:t>
                    </m:r>
                  </m:num>
                  <m:den>
                    <m:r>
                      <w:rPr>
                        <w:rFonts w:ascii="Cambria Math" w:hAnsi="Cambria Math"/>
                        <w:sz w:val="24"/>
                        <w:szCs w:val="24"/>
                      </w:rPr>
                      <m:t>52.1775</m:t>
                    </m:r>
                  </m:den>
                </m:f>
                <m:r>
                  <w:rPr>
                    <w:rFonts w:ascii="Cambria Math" w:hAnsi="Cambria Math"/>
                    <w:sz w:val="24"/>
                    <w:szCs w:val="24"/>
                  </w:rPr>
                  <m:t>,  y=</m:t>
                </m:r>
                <m:d>
                  <m:dPr>
                    <m:begChr m:val="{"/>
                    <m:endChr m:val="}"/>
                    <m:ctrlPr>
                      <w:rPr>
                        <w:rFonts w:ascii="Cambria Math" w:hAnsi="Cambria Math"/>
                        <w:i/>
                        <w:sz w:val="24"/>
                        <w:szCs w:val="24"/>
                      </w:rPr>
                    </m:ctrlPr>
                  </m:dPr>
                  <m:e>
                    <m:r>
                      <w:rPr>
                        <w:rFonts w:ascii="Cambria Math" w:hAnsi="Cambria Math"/>
                        <w:sz w:val="24"/>
                        <w:szCs w:val="24"/>
                      </w:rPr>
                      <m:t>2014…2020</m:t>
                    </m:r>
                  </m:e>
                </m:d>
                <m:r>
                  <w:rPr>
                    <w:rFonts w:ascii="Cambria Math" w:hAnsi="Cambria Math"/>
                    <w:sz w:val="24"/>
                    <w:szCs w:val="24"/>
                  </w:rPr>
                  <m:t>.</m:t>
                </m:r>
              </m:oMath>
            </m:oMathPara>
          </w:p>
        </w:tc>
        <w:tc>
          <w:tcPr>
            <w:tcW w:w="1000" w:type="dxa"/>
            <w:vAlign w:val="center"/>
          </w:tcPr>
          <w:p w:rsidR="00CD2A87" w:rsidRPr="001071C8" w:rsidRDefault="00CD2A87" w:rsidP="00CD2A87">
            <w:pPr>
              <w:spacing w:line="360" w:lineRule="auto"/>
              <w:jc w:val="center"/>
            </w:pPr>
          </w:p>
        </w:tc>
      </w:tr>
    </w:tbl>
    <w:p w:rsidR="00B500EA" w:rsidRDefault="00833EC9" w:rsidP="005B28E8">
      <w:pPr>
        <w:spacing w:line="480" w:lineRule="auto"/>
        <w:outlineLvl w:val="0"/>
        <w:rPr>
          <w:rFonts w:ascii="Times New Roman" w:hAnsi="Times New Roman"/>
          <w:b/>
          <w:sz w:val="24"/>
          <w:szCs w:val="24"/>
        </w:rPr>
      </w:pPr>
      <w:r w:rsidRPr="00306A87">
        <w:rPr>
          <w:rFonts w:ascii="Cambria" w:hAnsi="Cambria"/>
          <w:sz w:val="24"/>
        </w:rPr>
        <w:t xml:space="preserve">where </w:t>
      </w:r>
      <m:oMath>
        <m:sSup>
          <m:sSupPr>
            <m:ctrlPr>
              <w:rPr>
                <w:rFonts w:ascii="Cambria Math" w:hAnsi="Cambria Math"/>
                <w:i/>
                <w:sz w:val="24"/>
              </w:rPr>
            </m:ctrlPr>
          </m:sSupPr>
          <m:e>
            <m:r>
              <w:rPr>
                <w:rFonts w:ascii="Cambria Math" w:hAnsi="Cambria Math"/>
                <w:sz w:val="24"/>
              </w:rPr>
              <m:t>γ</m:t>
            </m:r>
          </m:e>
          <m:sup>
            <m:d>
              <m:dPr>
                <m:ctrlPr>
                  <w:rPr>
                    <w:rFonts w:ascii="Cambria Math" w:hAnsi="Cambria Math"/>
                    <w:i/>
                    <w:sz w:val="24"/>
                  </w:rPr>
                </m:ctrlPr>
              </m:dPr>
              <m:e>
                <m:r>
                  <w:rPr>
                    <w:rFonts w:ascii="Cambria Math" w:hAnsi="Cambria Math"/>
                    <w:sz w:val="24"/>
                  </w:rPr>
                  <m:t>y,j</m:t>
                </m:r>
              </m:e>
            </m:d>
          </m:sup>
        </m:sSup>
      </m:oMath>
      <w:r w:rsidRPr="00306A87">
        <w:rPr>
          <w:rFonts w:ascii="Cambria" w:hAnsi="Cambria"/>
          <w:sz w:val="24"/>
        </w:rPr>
        <w:t xml:space="preserve"> is a year- and jurisdiction-specific random effect, cosine and sine terms describe the seasonality </w:t>
      </w:r>
      <w:proofErr w:type="gramStart"/>
      <w:r w:rsidRPr="00306A87">
        <w:rPr>
          <w:rFonts w:ascii="Cambria" w:hAnsi="Cambria"/>
          <w:sz w:val="24"/>
        </w:rPr>
        <w:t>effect.</w:t>
      </w:r>
      <w:proofErr w:type="gramEnd"/>
      <w:r>
        <w:rPr>
          <w:rFonts w:ascii="Cambria" w:hAnsi="Cambria"/>
          <w:sz w:val="24"/>
        </w:rPr>
        <w:t xml:space="preserve"> </w:t>
      </w:r>
      <w:r w:rsidR="005E05B7">
        <w:rPr>
          <w:rFonts w:ascii="Times New Roman" w:hAnsi="Times New Roman"/>
          <w:sz w:val="24"/>
          <w:szCs w:val="24"/>
        </w:rPr>
        <w:t xml:space="preserve">We did not perform the </w:t>
      </w:r>
      <w:r w:rsidR="006D616D">
        <w:rPr>
          <w:rFonts w:ascii="Times New Roman" w:hAnsi="Times New Roman"/>
          <w:sz w:val="24"/>
          <w:szCs w:val="24"/>
        </w:rPr>
        <w:t>adjust</w:t>
      </w:r>
      <w:r w:rsidR="005E05B7">
        <w:rPr>
          <w:rFonts w:ascii="Times New Roman" w:hAnsi="Times New Roman"/>
          <w:sz w:val="24"/>
          <w:szCs w:val="24"/>
        </w:rPr>
        <w:t xml:space="preserve">ment for the reporting delay because of historical data covering the time period from 2014 through March 2020. We also did </w:t>
      </w:r>
      <w:r w:rsidR="005E05B7">
        <w:rPr>
          <w:rFonts w:ascii="Times New Roman" w:hAnsi="Times New Roman"/>
          <w:sz w:val="24"/>
          <w:szCs w:val="24"/>
        </w:rPr>
        <w:lastRenderedPageBreak/>
        <w:t xml:space="preserve">not adjust the time series to the influenza confirmed cases as it was done in </w:t>
      </w:r>
      <w:r w:rsidR="00B500EA">
        <w:rPr>
          <w:rFonts w:ascii="Times New Roman" w:hAnsi="Times New Roman"/>
          <w:sz w:val="24"/>
          <w:szCs w:val="24"/>
        </w:rPr>
        <w:t>[</w:t>
      </w:r>
      <w:r w:rsidR="005E05B7" w:rsidRPr="00B500EA">
        <w:rPr>
          <w:rFonts w:ascii="Times New Roman" w:hAnsi="Times New Roman"/>
          <w:color w:val="00B0F0"/>
          <w:sz w:val="24"/>
          <w:szCs w:val="24"/>
        </w:rPr>
        <w:fldChar w:fldCharType="begin"/>
      </w:r>
      <w:r w:rsidR="005E05B7" w:rsidRPr="00B500EA">
        <w:rPr>
          <w:rFonts w:ascii="Times New Roman" w:hAnsi="Times New Roman"/>
          <w:color w:val="00B0F0"/>
          <w:sz w:val="24"/>
          <w:szCs w:val="24"/>
        </w:rPr>
        <w:instrText xml:space="preserve"> REF _Ref65235093 \r \h  \* MERGEFORMAT </w:instrText>
      </w:r>
      <w:r w:rsidR="005E05B7" w:rsidRPr="00B500EA">
        <w:rPr>
          <w:rFonts w:ascii="Times New Roman" w:hAnsi="Times New Roman"/>
          <w:color w:val="00B0F0"/>
          <w:sz w:val="24"/>
          <w:szCs w:val="24"/>
        </w:rPr>
      </w:r>
      <w:r w:rsidR="005E05B7" w:rsidRPr="00B500EA">
        <w:rPr>
          <w:rFonts w:ascii="Times New Roman" w:hAnsi="Times New Roman"/>
          <w:color w:val="00B0F0"/>
          <w:sz w:val="24"/>
          <w:szCs w:val="24"/>
        </w:rPr>
        <w:fldChar w:fldCharType="separate"/>
      </w:r>
      <w:r w:rsidR="005B28E8">
        <w:rPr>
          <w:rFonts w:ascii="Times New Roman" w:hAnsi="Times New Roman"/>
          <w:color w:val="00B0F0"/>
          <w:sz w:val="24"/>
          <w:szCs w:val="24"/>
        </w:rPr>
        <w:t>S1</w:t>
      </w:r>
      <w:r w:rsidR="005E05B7" w:rsidRPr="00B500EA">
        <w:rPr>
          <w:rFonts w:ascii="Times New Roman" w:hAnsi="Times New Roman"/>
          <w:color w:val="00B0F0"/>
          <w:sz w:val="24"/>
          <w:szCs w:val="24"/>
        </w:rPr>
        <w:fldChar w:fldCharType="end"/>
      </w:r>
      <w:r w:rsidR="00B500EA">
        <w:rPr>
          <w:rFonts w:ascii="Times New Roman" w:hAnsi="Times New Roman"/>
          <w:sz w:val="24"/>
          <w:szCs w:val="24"/>
        </w:rPr>
        <w:t>]</w:t>
      </w:r>
      <w:r w:rsidR="005E05B7">
        <w:rPr>
          <w:rFonts w:ascii="Times New Roman" w:hAnsi="Times New Roman"/>
          <w:sz w:val="24"/>
          <w:szCs w:val="24"/>
        </w:rPr>
        <w:t>.</w:t>
      </w:r>
    </w:p>
    <w:p w:rsidR="005F0E33" w:rsidRPr="00CB2BE5" w:rsidRDefault="005F0E33" w:rsidP="005F0E33">
      <w:pPr>
        <w:spacing w:line="480" w:lineRule="auto"/>
        <w:outlineLvl w:val="0"/>
        <w:rPr>
          <w:rFonts w:ascii="Times New Roman" w:hAnsi="Times New Roman"/>
          <w:sz w:val="24"/>
          <w:szCs w:val="24"/>
        </w:rPr>
      </w:pPr>
      <w:r w:rsidRPr="00A877F2">
        <w:rPr>
          <w:rFonts w:ascii="Times New Roman" w:hAnsi="Times New Roman"/>
          <w:b/>
          <w:sz w:val="24"/>
          <w:szCs w:val="24"/>
        </w:rPr>
        <w:t>References</w:t>
      </w:r>
      <w:r>
        <w:rPr>
          <w:rFonts w:ascii="Times New Roman" w:hAnsi="Times New Roman"/>
          <w:b/>
          <w:sz w:val="24"/>
          <w:szCs w:val="24"/>
        </w:rPr>
        <w:t xml:space="preserve"> </w:t>
      </w:r>
    </w:p>
    <w:p w:rsidR="00446B72" w:rsidRPr="00446B72" w:rsidRDefault="00446B72" w:rsidP="00446B72">
      <w:pPr>
        <w:pStyle w:val="ListParagraph"/>
        <w:numPr>
          <w:ilvl w:val="0"/>
          <w:numId w:val="2"/>
        </w:numPr>
        <w:spacing w:line="480" w:lineRule="auto"/>
        <w:rPr>
          <w:rFonts w:ascii="Times New Roman" w:hAnsi="Times New Roman"/>
          <w:sz w:val="24"/>
          <w:szCs w:val="24"/>
          <w:lang w:val="pt-BR"/>
        </w:rPr>
      </w:pPr>
      <w:bookmarkStart w:id="6" w:name="_Ref64288897"/>
      <w:bookmarkStart w:id="7" w:name="_Ref65235093"/>
      <w:r w:rsidRPr="00446B72">
        <w:rPr>
          <w:rFonts w:ascii="Times New Roman" w:hAnsi="Times New Roman"/>
          <w:sz w:val="24"/>
          <w:szCs w:val="24"/>
        </w:rPr>
        <w:t>Weinberger DM, Chen J, Cohen T, Crawford FW, Mostashari F, Olson D, et al. Estimation of excess deaths associated with the COVID-19 pandemic in the United States, March to May 2020. JAMA Int Med. 2020;180(10):1336–44. (doi:</w:t>
      </w:r>
      <w:hyperlink r:id="rId15" w:history="1">
        <w:r w:rsidRPr="00446B72">
          <w:rPr>
            <w:rStyle w:val="Hyperlink"/>
            <w:rFonts w:ascii="Times New Roman" w:hAnsi="Times New Roman"/>
            <w:sz w:val="24"/>
            <w:szCs w:val="24"/>
          </w:rPr>
          <w:t>10.1001/jamainternmed.2020.3391</w:t>
        </w:r>
      </w:hyperlink>
      <w:r w:rsidRPr="00446B72">
        <w:rPr>
          <w:rFonts w:ascii="Times New Roman" w:hAnsi="Times New Roman"/>
          <w:sz w:val="24"/>
          <w:szCs w:val="24"/>
        </w:rPr>
        <w:t>)</w:t>
      </w:r>
      <w:bookmarkEnd w:id="6"/>
      <w:bookmarkEnd w:id="7"/>
    </w:p>
    <w:sectPr w:rsidR="00446B72" w:rsidRPr="00446B72" w:rsidSect="00A94B8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76EA" w:rsidRDefault="007A76EA" w:rsidP="00C4151C">
      <w:pPr>
        <w:spacing w:after="0" w:line="240" w:lineRule="auto"/>
      </w:pPr>
      <w:r>
        <w:separator/>
      </w:r>
    </w:p>
  </w:endnote>
  <w:endnote w:type="continuationSeparator" w:id="0">
    <w:p w:rsidR="007A76EA" w:rsidRDefault="007A76EA" w:rsidP="00C41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76EA" w:rsidRDefault="007A76EA" w:rsidP="00C4151C">
      <w:pPr>
        <w:spacing w:after="0" w:line="240" w:lineRule="auto"/>
      </w:pPr>
      <w:r>
        <w:separator/>
      </w:r>
    </w:p>
  </w:footnote>
  <w:footnote w:type="continuationSeparator" w:id="0">
    <w:p w:rsidR="007A76EA" w:rsidRDefault="007A76EA" w:rsidP="00C415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927B8D"/>
    <w:multiLevelType w:val="hybridMultilevel"/>
    <w:tmpl w:val="797AA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78B7DB8"/>
    <w:multiLevelType w:val="hybridMultilevel"/>
    <w:tmpl w:val="882095C0"/>
    <w:lvl w:ilvl="0" w:tplc="4E685A5A">
      <w:start w:val="1"/>
      <w:numFmt w:val="decimal"/>
      <w:lvlText w:val="S%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802"/>
    <w:rsid w:val="00000AE5"/>
    <w:rsid w:val="000013CF"/>
    <w:rsid w:val="00004F0A"/>
    <w:rsid w:val="00014BE1"/>
    <w:rsid w:val="00042109"/>
    <w:rsid w:val="00056C43"/>
    <w:rsid w:val="00062BD3"/>
    <w:rsid w:val="0006634A"/>
    <w:rsid w:val="000752FC"/>
    <w:rsid w:val="00085E40"/>
    <w:rsid w:val="000944EC"/>
    <w:rsid w:val="00097275"/>
    <w:rsid w:val="000A1124"/>
    <w:rsid w:val="000C1DF4"/>
    <w:rsid w:val="000D0EBE"/>
    <w:rsid w:val="000D6219"/>
    <w:rsid w:val="000E5A23"/>
    <w:rsid w:val="000E780B"/>
    <w:rsid w:val="000F25EF"/>
    <w:rsid w:val="000F6191"/>
    <w:rsid w:val="000F7475"/>
    <w:rsid w:val="00102F3E"/>
    <w:rsid w:val="00104610"/>
    <w:rsid w:val="001071C8"/>
    <w:rsid w:val="00112D06"/>
    <w:rsid w:val="00191DC2"/>
    <w:rsid w:val="001A0CE9"/>
    <w:rsid w:val="001A1D9B"/>
    <w:rsid w:val="001D3FD9"/>
    <w:rsid w:val="001E35C4"/>
    <w:rsid w:val="001F2EAB"/>
    <w:rsid w:val="001F4741"/>
    <w:rsid w:val="002025B0"/>
    <w:rsid w:val="00211E59"/>
    <w:rsid w:val="00233FFE"/>
    <w:rsid w:val="00266134"/>
    <w:rsid w:val="00270BE5"/>
    <w:rsid w:val="00275463"/>
    <w:rsid w:val="00280FEF"/>
    <w:rsid w:val="002979A5"/>
    <w:rsid w:val="002A670C"/>
    <w:rsid w:val="002B0E18"/>
    <w:rsid w:val="002C5565"/>
    <w:rsid w:val="002C6E23"/>
    <w:rsid w:val="002C76DA"/>
    <w:rsid w:val="002E5318"/>
    <w:rsid w:val="002E7A70"/>
    <w:rsid w:val="00305744"/>
    <w:rsid w:val="00312B14"/>
    <w:rsid w:val="00321332"/>
    <w:rsid w:val="00352F91"/>
    <w:rsid w:val="00371E89"/>
    <w:rsid w:val="0038499F"/>
    <w:rsid w:val="003A3C3A"/>
    <w:rsid w:val="003A48F1"/>
    <w:rsid w:val="003A793E"/>
    <w:rsid w:val="003D3717"/>
    <w:rsid w:val="003E147A"/>
    <w:rsid w:val="003E2489"/>
    <w:rsid w:val="003F5206"/>
    <w:rsid w:val="003F54E6"/>
    <w:rsid w:val="004074DB"/>
    <w:rsid w:val="00426162"/>
    <w:rsid w:val="00427DF9"/>
    <w:rsid w:val="00427F3A"/>
    <w:rsid w:val="00433410"/>
    <w:rsid w:val="00442DD0"/>
    <w:rsid w:val="00442F51"/>
    <w:rsid w:val="00446B72"/>
    <w:rsid w:val="00451011"/>
    <w:rsid w:val="004515EF"/>
    <w:rsid w:val="00457CB5"/>
    <w:rsid w:val="004656F2"/>
    <w:rsid w:val="004678E3"/>
    <w:rsid w:val="004713EA"/>
    <w:rsid w:val="00477541"/>
    <w:rsid w:val="004855A8"/>
    <w:rsid w:val="004B21BF"/>
    <w:rsid w:val="004C5E47"/>
    <w:rsid w:val="004C7701"/>
    <w:rsid w:val="004D1F57"/>
    <w:rsid w:val="004D7D7A"/>
    <w:rsid w:val="004E4FF4"/>
    <w:rsid w:val="004F2DCF"/>
    <w:rsid w:val="004F64B8"/>
    <w:rsid w:val="0051155F"/>
    <w:rsid w:val="00525D83"/>
    <w:rsid w:val="00532C52"/>
    <w:rsid w:val="005401D5"/>
    <w:rsid w:val="005414EE"/>
    <w:rsid w:val="0056160E"/>
    <w:rsid w:val="005748A4"/>
    <w:rsid w:val="00587B2B"/>
    <w:rsid w:val="005948F7"/>
    <w:rsid w:val="005952F6"/>
    <w:rsid w:val="005B28E8"/>
    <w:rsid w:val="005B37FE"/>
    <w:rsid w:val="005E05B7"/>
    <w:rsid w:val="005E3D4F"/>
    <w:rsid w:val="005F0E33"/>
    <w:rsid w:val="005F30BF"/>
    <w:rsid w:val="00601280"/>
    <w:rsid w:val="006078E8"/>
    <w:rsid w:val="00612419"/>
    <w:rsid w:val="00623A2C"/>
    <w:rsid w:val="00624CDF"/>
    <w:rsid w:val="006265F6"/>
    <w:rsid w:val="006407BB"/>
    <w:rsid w:val="00643172"/>
    <w:rsid w:val="00646F27"/>
    <w:rsid w:val="00647325"/>
    <w:rsid w:val="0066082E"/>
    <w:rsid w:val="0066351C"/>
    <w:rsid w:val="00670AA0"/>
    <w:rsid w:val="00680BE3"/>
    <w:rsid w:val="006816E5"/>
    <w:rsid w:val="00687324"/>
    <w:rsid w:val="006A676C"/>
    <w:rsid w:val="006B37A6"/>
    <w:rsid w:val="006C157E"/>
    <w:rsid w:val="006C27DB"/>
    <w:rsid w:val="006D616D"/>
    <w:rsid w:val="006E2FF5"/>
    <w:rsid w:val="006F05A8"/>
    <w:rsid w:val="007056EB"/>
    <w:rsid w:val="0070723E"/>
    <w:rsid w:val="00711CDC"/>
    <w:rsid w:val="007129E6"/>
    <w:rsid w:val="00727E36"/>
    <w:rsid w:val="00730412"/>
    <w:rsid w:val="00735DEA"/>
    <w:rsid w:val="0076002B"/>
    <w:rsid w:val="007849FC"/>
    <w:rsid w:val="00786754"/>
    <w:rsid w:val="00792CD1"/>
    <w:rsid w:val="00793254"/>
    <w:rsid w:val="007A2172"/>
    <w:rsid w:val="007A76EA"/>
    <w:rsid w:val="007B3FF8"/>
    <w:rsid w:val="007B7AD9"/>
    <w:rsid w:val="007D3D99"/>
    <w:rsid w:val="007E018C"/>
    <w:rsid w:val="007E3C78"/>
    <w:rsid w:val="007F1E40"/>
    <w:rsid w:val="00833EC9"/>
    <w:rsid w:val="008405D9"/>
    <w:rsid w:val="0084373A"/>
    <w:rsid w:val="00853DF5"/>
    <w:rsid w:val="00860CC6"/>
    <w:rsid w:val="0088023E"/>
    <w:rsid w:val="00892A97"/>
    <w:rsid w:val="008A1C33"/>
    <w:rsid w:val="008A5988"/>
    <w:rsid w:val="008C47DC"/>
    <w:rsid w:val="008C4F4F"/>
    <w:rsid w:val="008C6540"/>
    <w:rsid w:val="008D6DE8"/>
    <w:rsid w:val="0093302B"/>
    <w:rsid w:val="00936F46"/>
    <w:rsid w:val="00946AB6"/>
    <w:rsid w:val="00956755"/>
    <w:rsid w:val="00964E89"/>
    <w:rsid w:val="00967D87"/>
    <w:rsid w:val="00997973"/>
    <w:rsid w:val="009E3FB1"/>
    <w:rsid w:val="009F1599"/>
    <w:rsid w:val="009F389A"/>
    <w:rsid w:val="00A03B54"/>
    <w:rsid w:val="00A0650D"/>
    <w:rsid w:val="00A11FC1"/>
    <w:rsid w:val="00A17E91"/>
    <w:rsid w:val="00A22865"/>
    <w:rsid w:val="00A232C0"/>
    <w:rsid w:val="00A24B69"/>
    <w:rsid w:val="00A27B00"/>
    <w:rsid w:val="00A3380A"/>
    <w:rsid w:val="00A36683"/>
    <w:rsid w:val="00A57A02"/>
    <w:rsid w:val="00A7206F"/>
    <w:rsid w:val="00A75F13"/>
    <w:rsid w:val="00A877F2"/>
    <w:rsid w:val="00A93315"/>
    <w:rsid w:val="00A94B83"/>
    <w:rsid w:val="00AA2D4D"/>
    <w:rsid w:val="00AC3BEE"/>
    <w:rsid w:val="00AC415E"/>
    <w:rsid w:val="00AD4A58"/>
    <w:rsid w:val="00B2594C"/>
    <w:rsid w:val="00B41802"/>
    <w:rsid w:val="00B43FE6"/>
    <w:rsid w:val="00B45853"/>
    <w:rsid w:val="00B500EA"/>
    <w:rsid w:val="00B57BA4"/>
    <w:rsid w:val="00B81E3B"/>
    <w:rsid w:val="00B86FBF"/>
    <w:rsid w:val="00B943DF"/>
    <w:rsid w:val="00B95BE7"/>
    <w:rsid w:val="00B95C43"/>
    <w:rsid w:val="00BA03B9"/>
    <w:rsid w:val="00BE0F54"/>
    <w:rsid w:val="00BE698C"/>
    <w:rsid w:val="00C05FA3"/>
    <w:rsid w:val="00C161DB"/>
    <w:rsid w:val="00C20AB6"/>
    <w:rsid w:val="00C21D23"/>
    <w:rsid w:val="00C23EBB"/>
    <w:rsid w:val="00C4151C"/>
    <w:rsid w:val="00C45C06"/>
    <w:rsid w:val="00C70C8A"/>
    <w:rsid w:val="00C7476E"/>
    <w:rsid w:val="00C9359D"/>
    <w:rsid w:val="00C955D2"/>
    <w:rsid w:val="00CA606C"/>
    <w:rsid w:val="00CB2BE5"/>
    <w:rsid w:val="00CB676D"/>
    <w:rsid w:val="00CB74C0"/>
    <w:rsid w:val="00CC0C5B"/>
    <w:rsid w:val="00CD2214"/>
    <w:rsid w:val="00CD2A87"/>
    <w:rsid w:val="00CE073F"/>
    <w:rsid w:val="00CE15A8"/>
    <w:rsid w:val="00D06D8E"/>
    <w:rsid w:val="00D13C99"/>
    <w:rsid w:val="00D30667"/>
    <w:rsid w:val="00D41397"/>
    <w:rsid w:val="00D44808"/>
    <w:rsid w:val="00D645A7"/>
    <w:rsid w:val="00D74BB1"/>
    <w:rsid w:val="00D847D7"/>
    <w:rsid w:val="00D96019"/>
    <w:rsid w:val="00DA16FE"/>
    <w:rsid w:val="00DA1BF2"/>
    <w:rsid w:val="00DA2839"/>
    <w:rsid w:val="00DB1FFE"/>
    <w:rsid w:val="00DB3743"/>
    <w:rsid w:val="00DC0526"/>
    <w:rsid w:val="00DC5990"/>
    <w:rsid w:val="00DD46C7"/>
    <w:rsid w:val="00DD49FB"/>
    <w:rsid w:val="00DD6217"/>
    <w:rsid w:val="00DD6652"/>
    <w:rsid w:val="00DE41F0"/>
    <w:rsid w:val="00E02D6B"/>
    <w:rsid w:val="00E1605C"/>
    <w:rsid w:val="00E2122B"/>
    <w:rsid w:val="00E405F9"/>
    <w:rsid w:val="00E41356"/>
    <w:rsid w:val="00E43907"/>
    <w:rsid w:val="00E43D4C"/>
    <w:rsid w:val="00E74040"/>
    <w:rsid w:val="00E763A6"/>
    <w:rsid w:val="00E76DE3"/>
    <w:rsid w:val="00EA322E"/>
    <w:rsid w:val="00EB017B"/>
    <w:rsid w:val="00EC75EE"/>
    <w:rsid w:val="00EE7E64"/>
    <w:rsid w:val="00EF1C37"/>
    <w:rsid w:val="00F04E02"/>
    <w:rsid w:val="00F06A9F"/>
    <w:rsid w:val="00F31287"/>
    <w:rsid w:val="00F35B44"/>
    <w:rsid w:val="00F4278E"/>
    <w:rsid w:val="00F64551"/>
    <w:rsid w:val="00F66DDF"/>
    <w:rsid w:val="00F724FA"/>
    <w:rsid w:val="00F77EF5"/>
    <w:rsid w:val="00FC1C6D"/>
    <w:rsid w:val="00FD369C"/>
    <w:rsid w:val="00FE2D7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8A659"/>
  <w15:chartTrackingRefBased/>
  <w15:docId w15:val="{577DCC1D-5450-4E0B-9C65-2BC700D8B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6DD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1802"/>
    <w:pPr>
      <w:ind w:left="720"/>
      <w:contextualSpacing/>
    </w:pPr>
  </w:style>
  <w:style w:type="table" w:styleId="TableGrid">
    <w:name w:val="Table Grid"/>
    <w:basedOn w:val="TableNormal"/>
    <w:uiPriority w:val="39"/>
    <w:rsid w:val="00860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151C"/>
    <w:pPr>
      <w:tabs>
        <w:tab w:val="center" w:pos="4680"/>
        <w:tab w:val="right" w:pos="9360"/>
      </w:tabs>
    </w:pPr>
  </w:style>
  <w:style w:type="character" w:customStyle="1" w:styleId="HeaderChar">
    <w:name w:val="Header Char"/>
    <w:basedOn w:val="DefaultParagraphFont"/>
    <w:link w:val="Header"/>
    <w:uiPriority w:val="99"/>
    <w:rsid w:val="00C4151C"/>
    <w:rPr>
      <w:sz w:val="22"/>
      <w:szCs w:val="22"/>
    </w:rPr>
  </w:style>
  <w:style w:type="paragraph" w:styleId="Footer">
    <w:name w:val="footer"/>
    <w:basedOn w:val="Normal"/>
    <w:link w:val="FooterChar"/>
    <w:uiPriority w:val="99"/>
    <w:unhideWhenUsed/>
    <w:rsid w:val="00C4151C"/>
    <w:pPr>
      <w:tabs>
        <w:tab w:val="center" w:pos="4680"/>
        <w:tab w:val="right" w:pos="9360"/>
      </w:tabs>
    </w:pPr>
  </w:style>
  <w:style w:type="character" w:customStyle="1" w:styleId="FooterChar">
    <w:name w:val="Footer Char"/>
    <w:basedOn w:val="DefaultParagraphFont"/>
    <w:link w:val="Footer"/>
    <w:uiPriority w:val="99"/>
    <w:rsid w:val="00C4151C"/>
    <w:rPr>
      <w:sz w:val="22"/>
      <w:szCs w:val="22"/>
    </w:rPr>
  </w:style>
  <w:style w:type="paragraph" w:styleId="DocumentMap">
    <w:name w:val="Document Map"/>
    <w:basedOn w:val="Normal"/>
    <w:link w:val="DocumentMapChar"/>
    <w:uiPriority w:val="99"/>
    <w:semiHidden/>
    <w:unhideWhenUsed/>
    <w:rsid w:val="00DD46C7"/>
    <w:rPr>
      <w:rFonts w:ascii="Tahoma" w:hAnsi="Tahoma" w:cs="Tahoma"/>
      <w:sz w:val="16"/>
      <w:szCs w:val="16"/>
    </w:rPr>
  </w:style>
  <w:style w:type="character" w:customStyle="1" w:styleId="DocumentMapChar">
    <w:name w:val="Document Map Char"/>
    <w:basedOn w:val="DefaultParagraphFont"/>
    <w:link w:val="DocumentMap"/>
    <w:uiPriority w:val="99"/>
    <w:semiHidden/>
    <w:rsid w:val="00DD46C7"/>
    <w:rPr>
      <w:rFonts w:ascii="Tahoma" w:hAnsi="Tahoma" w:cs="Tahoma"/>
      <w:sz w:val="16"/>
      <w:szCs w:val="16"/>
    </w:rPr>
  </w:style>
  <w:style w:type="paragraph" w:styleId="BalloonText">
    <w:name w:val="Balloon Text"/>
    <w:basedOn w:val="Normal"/>
    <w:link w:val="BalloonTextChar"/>
    <w:uiPriority w:val="99"/>
    <w:semiHidden/>
    <w:unhideWhenUsed/>
    <w:rsid w:val="00CB67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76D"/>
    <w:rPr>
      <w:rFonts w:ascii="Tahoma" w:hAnsi="Tahoma" w:cs="Tahoma"/>
      <w:sz w:val="16"/>
      <w:szCs w:val="16"/>
    </w:rPr>
  </w:style>
  <w:style w:type="character" w:styleId="CommentReference">
    <w:name w:val="annotation reference"/>
    <w:basedOn w:val="DefaultParagraphFont"/>
    <w:uiPriority w:val="99"/>
    <w:semiHidden/>
    <w:unhideWhenUsed/>
    <w:rsid w:val="008A1C33"/>
    <w:rPr>
      <w:sz w:val="16"/>
      <w:szCs w:val="16"/>
    </w:rPr>
  </w:style>
  <w:style w:type="paragraph" w:styleId="CommentText">
    <w:name w:val="annotation text"/>
    <w:basedOn w:val="Normal"/>
    <w:link w:val="CommentTextChar"/>
    <w:uiPriority w:val="99"/>
    <w:semiHidden/>
    <w:unhideWhenUsed/>
    <w:rsid w:val="008A1C33"/>
    <w:rPr>
      <w:sz w:val="20"/>
      <w:szCs w:val="20"/>
    </w:rPr>
  </w:style>
  <w:style w:type="character" w:customStyle="1" w:styleId="CommentTextChar">
    <w:name w:val="Comment Text Char"/>
    <w:basedOn w:val="DefaultParagraphFont"/>
    <w:link w:val="CommentText"/>
    <w:uiPriority w:val="99"/>
    <w:semiHidden/>
    <w:rsid w:val="008A1C33"/>
  </w:style>
  <w:style w:type="paragraph" w:styleId="CommentSubject">
    <w:name w:val="annotation subject"/>
    <w:basedOn w:val="CommentText"/>
    <w:next w:val="CommentText"/>
    <w:link w:val="CommentSubjectChar"/>
    <w:uiPriority w:val="99"/>
    <w:semiHidden/>
    <w:unhideWhenUsed/>
    <w:rsid w:val="008A1C33"/>
    <w:rPr>
      <w:b/>
      <w:bCs/>
    </w:rPr>
  </w:style>
  <w:style w:type="character" w:customStyle="1" w:styleId="CommentSubjectChar">
    <w:name w:val="Comment Subject Char"/>
    <w:basedOn w:val="CommentTextChar"/>
    <w:link w:val="CommentSubject"/>
    <w:uiPriority w:val="99"/>
    <w:semiHidden/>
    <w:rsid w:val="008A1C33"/>
    <w:rPr>
      <w:b/>
      <w:bCs/>
    </w:rPr>
  </w:style>
  <w:style w:type="character" w:styleId="LineNumber">
    <w:name w:val="line number"/>
    <w:basedOn w:val="DefaultParagraphFont"/>
    <w:uiPriority w:val="99"/>
    <w:semiHidden/>
    <w:unhideWhenUsed/>
    <w:rsid w:val="00A94B83"/>
  </w:style>
  <w:style w:type="character" w:styleId="Hyperlink">
    <w:name w:val="Hyperlink"/>
    <w:basedOn w:val="DefaultParagraphFont"/>
    <w:uiPriority w:val="99"/>
    <w:unhideWhenUsed/>
    <w:rsid w:val="00191DC2"/>
    <w:rPr>
      <w:color w:val="0563C1" w:themeColor="hyperlink"/>
      <w:u w:val="single"/>
    </w:rPr>
  </w:style>
  <w:style w:type="character" w:styleId="UnresolvedMention">
    <w:name w:val="Unresolved Mention"/>
    <w:basedOn w:val="DefaultParagraphFont"/>
    <w:uiPriority w:val="99"/>
    <w:semiHidden/>
    <w:unhideWhenUsed/>
    <w:rsid w:val="00E41356"/>
    <w:rPr>
      <w:color w:val="605E5C"/>
      <w:shd w:val="clear" w:color="auto" w:fill="E1DFDD"/>
    </w:rPr>
  </w:style>
  <w:style w:type="character" w:styleId="PlaceholderText">
    <w:name w:val="Placeholder Text"/>
    <w:basedOn w:val="DefaultParagraphFont"/>
    <w:uiPriority w:val="99"/>
    <w:semiHidden/>
    <w:rsid w:val="004D7D7A"/>
    <w:rPr>
      <w:color w:val="808080"/>
    </w:rPr>
  </w:style>
  <w:style w:type="paragraph" w:styleId="Caption">
    <w:name w:val="caption"/>
    <w:basedOn w:val="Normal"/>
    <w:next w:val="Normal"/>
    <w:uiPriority w:val="35"/>
    <w:unhideWhenUsed/>
    <w:qFormat/>
    <w:rsid w:val="000A1124"/>
    <w:pPr>
      <w:spacing w:line="240" w:lineRule="auto"/>
    </w:pPr>
    <w:rPr>
      <w:i/>
      <w:iCs/>
      <w:color w:val="44546A" w:themeColor="text2"/>
      <w:sz w:val="18"/>
      <w:szCs w:val="18"/>
    </w:rPr>
  </w:style>
  <w:style w:type="character" w:styleId="Emphasis">
    <w:name w:val="Emphasis"/>
    <w:basedOn w:val="DefaultParagraphFont"/>
    <w:uiPriority w:val="20"/>
    <w:qFormat/>
    <w:rsid w:val="00C23EBB"/>
    <w:rPr>
      <w:i/>
      <w:iCs/>
    </w:rPr>
  </w:style>
  <w:style w:type="character" w:styleId="FollowedHyperlink">
    <w:name w:val="FollowedHyperlink"/>
    <w:basedOn w:val="DefaultParagraphFont"/>
    <w:uiPriority w:val="99"/>
    <w:semiHidden/>
    <w:unhideWhenUsed/>
    <w:rsid w:val="007E3C7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378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yperlink" Target="http://dx.doi.org/10.1001/jamainternmed.2020.3391" TargetMode="Externa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B794D-D8CC-4396-B2B0-A442E0151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3577</TotalTime>
  <Pages>13</Pages>
  <Words>1053</Words>
  <Characters>6004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CDC</Company>
  <LinksUpToDate>false</LinksUpToDate>
  <CharactersWithSpaces>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Huntington - hiv6</dc:creator>
  <cp:keywords/>
  <dc:description/>
  <cp:lastModifiedBy>Andrei Akhmetzhanov</cp:lastModifiedBy>
  <cp:revision>59</cp:revision>
  <cp:lastPrinted>2011-05-13T14:17:00Z</cp:lastPrinted>
  <dcterms:created xsi:type="dcterms:W3CDTF">2021-01-13T09:31:00Z</dcterms:created>
  <dcterms:modified xsi:type="dcterms:W3CDTF">2021-06-10T18:46:00Z</dcterms:modified>
</cp:coreProperties>
</file>