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CC" w:rsidRPr="00F55E56" w:rsidRDefault="00165ACC" w:rsidP="00165ACC">
      <w:pPr>
        <w:spacing w:after="0" w:line="360" w:lineRule="auto"/>
        <w:jc w:val="both"/>
        <w:rPr>
          <w:rFonts w:ascii="Times" w:hAnsi="Times" w:cs="Tahoma"/>
          <w:b/>
          <w:lang w:val="en-GB"/>
        </w:rPr>
      </w:pPr>
      <w:r w:rsidRPr="00F55E56">
        <w:rPr>
          <w:rFonts w:ascii="Times" w:hAnsi="Times" w:cs="Tahoma"/>
          <w:b/>
          <w:lang w:val="en-GB"/>
        </w:rPr>
        <w:t xml:space="preserve">Supplementary material </w:t>
      </w:r>
    </w:p>
    <w:p w:rsidR="00165ACC" w:rsidRPr="00F55E56" w:rsidRDefault="00165ACC" w:rsidP="00165ACC">
      <w:pPr>
        <w:spacing w:after="0" w:line="360" w:lineRule="auto"/>
        <w:jc w:val="both"/>
        <w:rPr>
          <w:rFonts w:ascii="Times" w:hAnsi="Times" w:cs="Tahoma"/>
          <w:sz w:val="20"/>
          <w:lang w:val="en-GB"/>
        </w:rPr>
      </w:pPr>
    </w:p>
    <w:p w:rsidR="00165ACC" w:rsidRPr="00F55E56" w:rsidRDefault="00165ACC" w:rsidP="00165ACC">
      <w:pPr>
        <w:pStyle w:val="Legenda"/>
        <w:keepNext/>
        <w:rPr>
          <w:rFonts w:ascii="Times" w:hAnsi="Times" w:cs="Tahoma"/>
          <w:i w:val="0"/>
          <w:lang w:val="en-GB"/>
        </w:rPr>
      </w:pPr>
      <w:r w:rsidRPr="00F55E56">
        <w:rPr>
          <w:rFonts w:ascii="Times" w:hAnsi="Times" w:cs="Tahoma"/>
          <w:i w:val="0"/>
          <w:lang w:val="en-GB"/>
        </w:rPr>
        <w:t>Supplementary table S1. Multivariate model on COVID-19 symptoms among SINAVE notified cases, Portugal, March-April 2020 (n= 11 442)</w:t>
      </w: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3686"/>
        <w:gridCol w:w="4111"/>
        <w:gridCol w:w="1949"/>
      </w:tblGrid>
      <w:tr w:rsidR="00165ACC" w:rsidRPr="00F55E56" w:rsidTr="0099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rPr>
                <w:rFonts w:ascii="Times" w:hAnsi="Times" w:cs="Tahoma"/>
                <w:sz w:val="18"/>
              </w:rPr>
            </w:pPr>
            <w:proofErr w:type="spellStart"/>
            <w:r w:rsidRPr="00F55E56">
              <w:rPr>
                <w:rFonts w:ascii="Times" w:hAnsi="Times" w:cs="Tahoma"/>
                <w:sz w:val="18"/>
              </w:rPr>
              <w:t>Symptoms</w:t>
            </w:r>
            <w:proofErr w:type="spellEnd"/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OR</w:t>
            </w:r>
            <w:r w:rsidRPr="00F55E56">
              <w:rPr>
                <w:rFonts w:ascii="Times" w:hAnsi="Times" w:cs="Tahoma"/>
                <w:sz w:val="18"/>
                <w:vertAlign w:val="superscript"/>
                <w:lang w:val="en-GB"/>
              </w:rPr>
              <w:t xml:space="preserve"> </w:t>
            </w:r>
            <w:r w:rsidRPr="00F55E56">
              <w:rPr>
                <w:rFonts w:ascii="Times" w:hAnsi="Times" w:cs="Tahoma"/>
                <w:sz w:val="18"/>
                <w:lang w:val="en-GB"/>
              </w:rPr>
              <w:t>(95% CI)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p value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General</w:t>
            </w:r>
          </w:p>
        </w:tc>
        <w:tc>
          <w:tcPr>
            <w:tcW w:w="2109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</w:rPr>
            </w:pPr>
          </w:p>
        </w:tc>
        <w:tc>
          <w:tcPr>
            <w:tcW w:w="1000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b w:val="0"/>
                <w:sz w:val="18"/>
              </w:rPr>
            </w:pPr>
            <w:proofErr w:type="spellStart"/>
            <w:r w:rsidRPr="00F55E56">
              <w:rPr>
                <w:rFonts w:ascii="Times" w:hAnsi="Times" w:cs="Tahoma"/>
                <w:b w:val="0"/>
                <w:sz w:val="18"/>
              </w:rPr>
              <w:t>Fever</w:t>
            </w:r>
            <w:proofErr w:type="spellEnd"/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b/>
                <w:sz w:val="18"/>
              </w:rPr>
              <w:t>1.93</w:t>
            </w:r>
            <w:r w:rsidRPr="00F55E56">
              <w:rPr>
                <w:rFonts w:ascii="Times" w:hAnsi="Times" w:cs="Tahoma"/>
                <w:sz w:val="18"/>
              </w:rPr>
              <w:t xml:space="preserve"> (1.75-2.14)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b w:val="0"/>
                <w:sz w:val="18"/>
              </w:rPr>
            </w:pPr>
            <w:proofErr w:type="spellStart"/>
            <w:r w:rsidRPr="00F55E56">
              <w:rPr>
                <w:rFonts w:ascii="Times" w:hAnsi="Times" w:cs="Tahoma"/>
                <w:b w:val="0"/>
                <w:sz w:val="18"/>
              </w:rPr>
              <w:t>Myalgia</w:t>
            </w:r>
            <w:proofErr w:type="spellEnd"/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b/>
                <w:sz w:val="18"/>
              </w:rPr>
              <w:t>1.66</w:t>
            </w:r>
            <w:r w:rsidRPr="00F55E56">
              <w:rPr>
                <w:rFonts w:ascii="Times" w:hAnsi="Times" w:cs="Tahoma"/>
                <w:sz w:val="18"/>
              </w:rPr>
              <w:t xml:space="preserve"> (1.48-1.86)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b w:val="0"/>
                <w:sz w:val="18"/>
              </w:rPr>
            </w:pPr>
            <w:r w:rsidRPr="00F55E56">
              <w:rPr>
                <w:rFonts w:ascii="Times" w:hAnsi="Times" w:cs="Tahoma"/>
                <w:b w:val="0"/>
                <w:sz w:val="18"/>
              </w:rPr>
              <w:t>Fatigue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b/>
                <w:sz w:val="18"/>
                <w:lang w:val="en-GB"/>
              </w:rPr>
              <w:t>1.37</w:t>
            </w:r>
            <w:r w:rsidRPr="00F55E56">
              <w:rPr>
                <w:rFonts w:ascii="Times" w:hAnsi="Times" w:cs="Tahoma"/>
                <w:sz w:val="18"/>
                <w:lang w:val="en-GB"/>
              </w:rPr>
              <w:t xml:space="preserve"> (1.23-1.53)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b w:val="0"/>
                <w:sz w:val="18"/>
              </w:rPr>
            </w:pPr>
            <w:proofErr w:type="spellStart"/>
            <w:r w:rsidRPr="00F55E56">
              <w:rPr>
                <w:rFonts w:ascii="Times" w:hAnsi="Times" w:cs="Tahoma"/>
                <w:b w:val="0"/>
                <w:sz w:val="18"/>
              </w:rPr>
              <w:t>Headache</w:t>
            </w:r>
            <w:proofErr w:type="spellEnd"/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b/>
                <w:sz w:val="18"/>
              </w:rPr>
              <w:t>1.31</w:t>
            </w:r>
            <w:r w:rsidRPr="00F55E56">
              <w:rPr>
                <w:rFonts w:ascii="Times" w:hAnsi="Times" w:cs="Tahoma"/>
                <w:sz w:val="18"/>
              </w:rPr>
              <w:t xml:space="preserve"> (1.17-1.46)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</w:rPr>
            </w:pPr>
            <w:proofErr w:type="spellStart"/>
            <w:r w:rsidRPr="00F55E56">
              <w:rPr>
                <w:rFonts w:ascii="Times" w:hAnsi="Times" w:cs="Tahoma"/>
                <w:sz w:val="18"/>
              </w:rPr>
              <w:t>Respiratory</w:t>
            </w:r>
            <w:proofErr w:type="spellEnd"/>
          </w:p>
        </w:tc>
        <w:tc>
          <w:tcPr>
            <w:tcW w:w="2109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  <w:lang w:val="en-GB"/>
              </w:rPr>
            </w:pPr>
          </w:p>
        </w:tc>
        <w:tc>
          <w:tcPr>
            <w:tcW w:w="1000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b w:val="0"/>
                <w:sz w:val="18"/>
                <w:lang w:val="en-GB"/>
              </w:rPr>
            </w:pPr>
            <w:r w:rsidRPr="00F55E56">
              <w:rPr>
                <w:rFonts w:ascii="Times" w:hAnsi="Times" w:cs="Tahoma"/>
                <w:b w:val="0"/>
                <w:sz w:val="18"/>
                <w:lang w:val="en-GB"/>
              </w:rPr>
              <w:t>Cough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b/>
                <w:sz w:val="18"/>
                <w:lang w:val="en-GB"/>
              </w:rPr>
              <w:t>0.75</w:t>
            </w:r>
            <w:r w:rsidRPr="00F55E56">
              <w:rPr>
                <w:rFonts w:ascii="Times" w:hAnsi="Times" w:cs="Tahoma"/>
                <w:sz w:val="18"/>
                <w:lang w:val="en-GB"/>
              </w:rPr>
              <w:t xml:space="preserve"> (0.67-0.84)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b w:val="0"/>
                <w:sz w:val="18"/>
                <w:lang w:val="en-GB"/>
              </w:rPr>
              <w:t xml:space="preserve"> Sore throat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  <w:lang w:val="en-GB"/>
              </w:rPr>
            </w:pPr>
            <w:r w:rsidRPr="00F55E56">
              <w:rPr>
                <w:rFonts w:ascii="Times" w:hAnsi="Times" w:cs="Tahoma"/>
                <w:b/>
                <w:sz w:val="18"/>
                <w:lang w:val="en-GB"/>
              </w:rPr>
              <w:t xml:space="preserve">0.63 </w:t>
            </w:r>
            <w:r w:rsidRPr="00F55E56">
              <w:rPr>
                <w:rFonts w:ascii="Times" w:hAnsi="Times" w:cs="Tahoma"/>
                <w:sz w:val="18"/>
                <w:lang w:val="en-GB"/>
              </w:rPr>
              <w:t>(0.56-0.71)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Gastrointestinal</w:t>
            </w:r>
          </w:p>
        </w:tc>
        <w:tc>
          <w:tcPr>
            <w:tcW w:w="2109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  <w:lang w:val="en-GB"/>
              </w:rPr>
            </w:pPr>
          </w:p>
        </w:tc>
        <w:tc>
          <w:tcPr>
            <w:tcW w:w="1000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proofErr w:type="spellStart"/>
            <w:r w:rsidRPr="00F55E56">
              <w:rPr>
                <w:rFonts w:ascii="Times" w:hAnsi="Times" w:cs="Tahoma"/>
                <w:b w:val="0"/>
                <w:sz w:val="18"/>
              </w:rPr>
              <w:t>Diarrhea</w:t>
            </w:r>
            <w:proofErr w:type="spellEnd"/>
          </w:p>
        </w:tc>
        <w:tc>
          <w:tcPr>
            <w:tcW w:w="2109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  <w:lang w:val="en-GB"/>
              </w:rPr>
            </w:pPr>
            <w:r w:rsidRPr="00F55E56">
              <w:rPr>
                <w:rFonts w:ascii="Times" w:hAnsi="Times" w:cs="Tahoma"/>
                <w:b/>
                <w:sz w:val="18"/>
                <w:lang w:val="en-GB"/>
              </w:rPr>
              <w:t xml:space="preserve">1.36 </w:t>
            </w:r>
            <w:r w:rsidRPr="00F55E56">
              <w:rPr>
                <w:rFonts w:ascii="Times" w:hAnsi="Times" w:cs="Tahoma"/>
                <w:sz w:val="18"/>
                <w:lang w:val="en-GB"/>
              </w:rPr>
              <w:t>(1.17-1.57)</w:t>
            </w:r>
          </w:p>
        </w:tc>
        <w:tc>
          <w:tcPr>
            <w:tcW w:w="1000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</w:tbl>
    <w:p w:rsidR="00165ACC" w:rsidRPr="00F55E56" w:rsidRDefault="00165ACC" w:rsidP="00165ACC">
      <w:pPr>
        <w:rPr>
          <w:rFonts w:ascii="Times" w:hAnsi="Times" w:cs="Tahoma"/>
          <w:b/>
          <w:lang w:val="en-GB"/>
        </w:rPr>
      </w:pPr>
    </w:p>
    <w:p w:rsidR="00165ACC" w:rsidRPr="00F55E56" w:rsidRDefault="00165ACC" w:rsidP="00165ACC">
      <w:pPr>
        <w:rPr>
          <w:rFonts w:ascii="Times" w:hAnsi="Times"/>
          <w:iCs/>
          <w:color w:val="44546A" w:themeColor="text2"/>
          <w:sz w:val="18"/>
          <w:szCs w:val="18"/>
          <w:lang w:val="en-GB"/>
        </w:rPr>
      </w:pPr>
      <w:r w:rsidRPr="00F55E56">
        <w:rPr>
          <w:rFonts w:ascii="Times" w:hAnsi="Times"/>
          <w:i/>
          <w:lang w:val="en-GB"/>
        </w:rPr>
        <w:br w:type="page"/>
      </w:r>
    </w:p>
    <w:p w:rsidR="00165ACC" w:rsidRPr="00F55E56" w:rsidRDefault="00165ACC" w:rsidP="00165ACC">
      <w:pPr>
        <w:pStyle w:val="Legenda"/>
        <w:keepNext/>
        <w:rPr>
          <w:rFonts w:ascii="Times" w:hAnsi="Times" w:cs="Tahoma"/>
          <w:i w:val="0"/>
          <w:lang w:val="en-GB"/>
        </w:rPr>
      </w:pPr>
      <w:r w:rsidRPr="00F55E56">
        <w:rPr>
          <w:rFonts w:ascii="Times" w:hAnsi="Times" w:cs="Tahoma"/>
          <w:i w:val="0"/>
          <w:lang w:val="en-GB"/>
        </w:rPr>
        <w:lastRenderedPageBreak/>
        <w:t xml:space="preserve">Supplementary table S2. </w:t>
      </w:r>
      <w:bookmarkStart w:id="0" w:name="_GoBack"/>
      <w:r w:rsidRPr="00F55E56">
        <w:rPr>
          <w:rFonts w:ascii="Times" w:hAnsi="Times" w:cs="Tahoma"/>
          <w:i w:val="0"/>
          <w:lang w:val="en-GB"/>
        </w:rPr>
        <w:t>Groups comparison COVID-19 notified cases and study’s sample, Portugal, March-April 2020.</w:t>
      </w:r>
      <w:bookmarkEnd w:id="0"/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3071"/>
        <w:gridCol w:w="3427"/>
        <w:gridCol w:w="1624"/>
        <w:gridCol w:w="1624"/>
      </w:tblGrid>
      <w:tr w:rsidR="00165ACC" w:rsidRPr="00F55E56" w:rsidTr="0099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Characteristics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Population</w:t>
            </w:r>
          </w:p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n = 51 726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Sample</w:t>
            </w:r>
          </w:p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n = 11 442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p value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Age (years)</w:t>
            </w:r>
          </w:p>
        </w:tc>
        <w:tc>
          <w:tcPr>
            <w:tcW w:w="1758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b/>
                <w:sz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lang w:val="en-GB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Mean± SD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48.54</w:t>
            </w:r>
            <w:r w:rsidRPr="00F55E56">
              <w:rPr>
                <w:rFonts w:ascii="Times" w:hAnsi="Times" w:cs="Tahoma"/>
                <w:sz w:val="18"/>
                <w:lang w:val="en-GB"/>
              </w:rPr>
              <w:t>±21.70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44.87</w:t>
            </w:r>
            <w:r w:rsidRPr="00F55E56">
              <w:rPr>
                <w:rFonts w:ascii="Times" w:hAnsi="Times" w:cs="Tahoma"/>
                <w:sz w:val="18"/>
                <w:lang w:val="en-GB"/>
              </w:rPr>
              <w:t>±22.22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Sex n (%)</w:t>
            </w:r>
          </w:p>
        </w:tc>
        <w:tc>
          <w:tcPr>
            <w:tcW w:w="1758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Male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21 455 (41.49)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4 922 (43.02)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0.003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Female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30 248 (58.51)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6 520 (56.98)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Comorbidities n (%)</w:t>
            </w:r>
          </w:p>
        </w:tc>
        <w:tc>
          <w:tcPr>
            <w:tcW w:w="1758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No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11 989 (57.36)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7 030 (61.44)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Yes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8 911 (42.64)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4 412 (38.56)</w:t>
            </w: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Health region n (%)</w:t>
            </w:r>
          </w:p>
        </w:tc>
        <w:tc>
          <w:tcPr>
            <w:tcW w:w="1758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  <w:tc>
          <w:tcPr>
            <w:tcW w:w="833" w:type="pct"/>
            <w:shd w:val="clear" w:color="auto" w:fill="002060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North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23 225 (46.79)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5 007 (43.76)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proofErr w:type="spellStart"/>
            <w:r w:rsidRPr="00F55E56">
              <w:rPr>
                <w:rFonts w:ascii="Times" w:hAnsi="Times" w:cs="Tahoma"/>
                <w:sz w:val="18"/>
                <w:lang w:val="en-GB"/>
              </w:rPr>
              <w:t>Center</w:t>
            </w:r>
            <w:proofErr w:type="spellEnd"/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7 033 (14.17)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1 636 (14.30)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0.721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Lisbon and Tagus Valley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15 675 (31.58)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3 262 (28.51)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proofErr w:type="spellStart"/>
            <w:r w:rsidRPr="00F55E56">
              <w:rPr>
                <w:rFonts w:ascii="Times" w:hAnsi="Times" w:cs="Tahoma"/>
                <w:sz w:val="18"/>
                <w:lang w:val="en-GB"/>
              </w:rPr>
              <w:t>Alentejo</w:t>
            </w:r>
            <w:proofErr w:type="spellEnd"/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1 142 (2.30)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398 (3.48)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Algarve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1 666 (3.36)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944 (8.25)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</w:rPr>
              <w:t>&lt;0.001</w:t>
            </w:r>
          </w:p>
        </w:tc>
      </w:tr>
      <w:tr w:rsidR="00165ACC" w:rsidRPr="00F55E56" w:rsidTr="0099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Madeira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520 (1.05)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</w:rPr>
              <w:t>115 (1.01)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0.001</w:t>
            </w:r>
          </w:p>
        </w:tc>
      </w:tr>
      <w:tr w:rsidR="00165ACC" w:rsidRPr="00F55E56" w:rsidTr="0099664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right"/>
              <w:rPr>
                <w:rFonts w:ascii="Times" w:hAnsi="Times" w:cs="Tahoma"/>
                <w:sz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lang w:val="en-GB"/>
              </w:rPr>
              <w:t>Azores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375 (0.76)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bCs/>
                <w:color w:val="000000"/>
                <w:sz w:val="18"/>
                <w:szCs w:val="18"/>
                <w:lang w:val="en-GB"/>
              </w:rPr>
              <w:t>80 (0.70)</w:t>
            </w:r>
          </w:p>
        </w:tc>
        <w:tc>
          <w:tcPr>
            <w:tcW w:w="833" w:type="pct"/>
            <w:vAlign w:val="center"/>
          </w:tcPr>
          <w:p w:rsidR="00165ACC" w:rsidRPr="00F55E56" w:rsidRDefault="00165ACC" w:rsidP="009966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ahoma"/>
                <w:sz w:val="18"/>
                <w:szCs w:val="18"/>
                <w:lang w:val="en-GB"/>
              </w:rPr>
            </w:pPr>
            <w:r w:rsidRPr="00F55E56">
              <w:rPr>
                <w:rFonts w:ascii="Times" w:hAnsi="Times" w:cs="Tahoma"/>
                <w:sz w:val="18"/>
                <w:szCs w:val="18"/>
                <w:lang w:val="en-GB"/>
              </w:rPr>
              <w:t>0.007</w:t>
            </w:r>
          </w:p>
        </w:tc>
      </w:tr>
    </w:tbl>
    <w:p w:rsidR="00165ACC" w:rsidRPr="00F55E56" w:rsidRDefault="00165ACC" w:rsidP="00165ACC">
      <w:pPr>
        <w:spacing w:after="0" w:line="360" w:lineRule="auto"/>
        <w:jc w:val="both"/>
        <w:rPr>
          <w:rFonts w:ascii="Times" w:hAnsi="Times" w:cs="Arial"/>
          <w:b/>
          <w:lang w:val="en-GB"/>
        </w:rPr>
      </w:pPr>
    </w:p>
    <w:p w:rsidR="00641C3C" w:rsidRPr="00F55E56" w:rsidRDefault="00641C3C">
      <w:pPr>
        <w:rPr>
          <w:rFonts w:ascii="Times" w:hAnsi="Times"/>
        </w:rPr>
      </w:pPr>
    </w:p>
    <w:sectPr w:rsidR="00641C3C" w:rsidRPr="00F55E56" w:rsidSect="001810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CC"/>
    <w:rsid w:val="00165ACC"/>
    <w:rsid w:val="00641C3C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84DE-DB4E-48B3-B553-4A56D0F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CC"/>
    <w:pPr>
      <w:spacing w:after="16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165AC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65A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1032</Characters>
  <Application>Microsoft Office Word</Application>
  <DocSecurity>0</DocSecurity>
  <Lines>8</Lines>
  <Paragraphs>2</Paragraphs>
  <ScaleCrop>false</ScaleCrop>
  <Company>SNS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2020-08-03T10:08:00Z</dcterms:created>
  <dcterms:modified xsi:type="dcterms:W3CDTF">2020-08-26T14:28:00Z</dcterms:modified>
</cp:coreProperties>
</file>