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5534" w:type="pct"/>
        <w:tblInd w:w="-51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122"/>
        <w:gridCol w:w="1718"/>
        <w:gridCol w:w="517"/>
        <w:gridCol w:w="7128"/>
        <w:gridCol w:w="1672"/>
      </w:tblGrid>
      <w:tr w:rsidR="00D8602F" w:rsidRPr="008469D3" w:rsidTr="00836A40">
        <w:trPr>
          <w:trHeight w:val="288"/>
        </w:trPr>
        <w:tc>
          <w:tcPr>
            <w:tcW w:w="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tcMar>
              <w:left w:w="57" w:type="dxa"/>
              <w:right w:w="57" w:type="dxa"/>
            </w:tcMar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FFFFFF" w:themeColor="background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Section &amp; Topic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No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Item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:rsidR="00D8602F" w:rsidRPr="008469D3" w:rsidRDefault="00D8602F" w:rsidP="00D8602F">
            <w:pPr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Reported on page #</w:t>
            </w:r>
          </w:p>
        </w:tc>
      </w:tr>
      <w:tr w:rsidR="00D8602F" w:rsidRPr="005320D9" w:rsidTr="00836A40">
        <w:trPr>
          <w:trHeight w:val="20"/>
        </w:trPr>
        <w:tc>
          <w:tcPr>
            <w:tcW w:w="1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5320D9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8"/>
                <w:lang w:val="en-GB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rPr>
                <w:rFonts w:cstheme="minorHAnsi"/>
                <w:b/>
                <w:color w:val="5B9BD5" w:themeColor="accent1"/>
                <w:sz w:val="8"/>
                <w:lang w:val="en-GB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02F" w:rsidRPr="005320D9" w:rsidRDefault="00D8602F" w:rsidP="00D8602F">
            <w:pPr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TITLE OR ABSTRACT</w:t>
            </w:r>
          </w:p>
        </w:tc>
        <w:tc>
          <w:tcPr>
            <w:tcW w:w="517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7128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167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Identification as a study of diagnostic accuracy using at least one measure of accuracy</w:t>
            </w:r>
          </w:p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(such as sensitivity, specificity, predictive values, or AUC)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406DBB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Page 1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ABSTRACT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Structured summary of study design, methods, results, and conclusions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406DBB" w:rsidRDefault="00406DBB" w:rsidP="0004245A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 w:rsidRPr="00885592">
              <w:rPr>
                <w:rFonts w:cstheme="minorHAnsi" w:hint="eastAsia"/>
                <w:color w:val="000000" w:themeColor="text1"/>
                <w:sz w:val="18"/>
                <w:lang w:val="en-GB"/>
              </w:rPr>
              <w:t>P</w:t>
            </w:r>
            <w:r w:rsidRPr="00885592">
              <w:rPr>
                <w:rFonts w:cstheme="minorHAnsi"/>
                <w:color w:val="000000" w:themeColor="text1"/>
                <w:sz w:val="18"/>
                <w:lang w:val="en-GB"/>
              </w:rPr>
              <w:t>age</w:t>
            </w:r>
            <w:r w:rsidR="0004245A">
              <w:rPr>
                <w:rFonts w:cstheme="minorHAnsi"/>
                <w:color w:val="000000" w:themeColor="text1"/>
                <w:sz w:val="18"/>
                <w:lang w:val="en-GB"/>
              </w:rPr>
              <w:t xml:space="preserve"> </w:t>
            </w:r>
            <w:r w:rsidR="00616EB9">
              <w:rPr>
                <w:rFonts w:cstheme="minorHAnsi"/>
                <w:color w:val="000000" w:themeColor="text1"/>
                <w:sz w:val="18"/>
                <w:lang w:val="en-GB"/>
              </w:rPr>
              <w:t>3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INTRODUCTION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85592" w:rsidRDefault="00885592" w:rsidP="00616EB9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 xml:space="preserve">Page </w:t>
            </w:r>
            <w:r w:rsidR="00616EB9"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4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4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Study objectives and hypotheses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885592" w:rsidP="0004245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 xml:space="preserve">Page </w:t>
            </w:r>
            <w:r w:rsidR="0004245A"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5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METHODS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Study design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5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data collection was planned before the index test and reference standard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were performed (prospective study) or after (retrospective study)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423236" w:rsidP="00616EB9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Page </w:t>
            </w:r>
            <w:r w:rsidR="00616EB9"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  <w:r w:rsidR="0004245A">
              <w:rPr>
                <w:rFonts w:cstheme="minorHAnsi"/>
                <w:color w:val="000000" w:themeColor="text1"/>
                <w:sz w:val="18"/>
                <w:lang w:val="en-GB"/>
              </w:rPr>
              <w:t>-</w:t>
            </w:r>
            <w:r w:rsidR="00753D5C">
              <w:rPr>
                <w:rFonts w:asciiTheme="minorEastAsia" w:eastAsiaTheme="minorEastAsia" w:hAnsiTheme="minorEastAsia" w:cstheme="minorHAnsi" w:hint="eastAsia"/>
                <w:color w:val="000000" w:themeColor="text1"/>
                <w:sz w:val="18"/>
                <w:lang w:val="en-GB" w:eastAsia="zh-CN"/>
              </w:rPr>
              <w:t>8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6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Eligibility criteria 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2F71F4" w:rsidRDefault="002F71F4" w:rsidP="00616EB9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Page 5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7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On what basis potentially eligible participants were identified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6F5A7D" w:rsidP="00616EB9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Page 5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8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E669BE" w:rsidRDefault="0004245A" w:rsidP="00D8602F">
            <w:pPr>
              <w:tabs>
                <w:tab w:val="left" w:pos="527"/>
              </w:tabs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 w:rsidRPr="0004245A"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Page 5</w:t>
            </w:r>
            <w:r w:rsidR="00753D5C"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-6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9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E669BE" w:rsidRDefault="00E669BE" w:rsidP="00D8602F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P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age 5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methods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10a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Index test, in sufficient detail to allow replication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E669BE" w:rsidRDefault="00E669BE" w:rsidP="00D8602F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P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age 6</w:t>
            </w:r>
            <w:r w:rsidR="00AF452F"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-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7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10b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Reference standard, in sufficient detail to allow replication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E669BE" w:rsidRDefault="00E669BE" w:rsidP="00D8602F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P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age 6</w:t>
            </w:r>
            <w:r w:rsidR="00AF452F"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-</w:t>
            </w:r>
            <w:r w:rsidR="00753D5C"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8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11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E669BE" w:rsidRDefault="00E669BE" w:rsidP="00836A40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P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age</w:t>
            </w:r>
            <w:r w:rsidR="00836A40"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 xml:space="preserve"> 4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12a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index test,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E669BE" w:rsidRDefault="00E669BE" w:rsidP="00D8602F">
            <w:pPr>
              <w:rPr>
                <w:rFonts w:eastAsiaTheme="minorEastAsia" w:cstheme="minorHAnsi"/>
                <w:sz w:val="18"/>
                <w:lang w:val="en-GB" w:eastAsia="zh-CN"/>
              </w:rPr>
            </w:pPr>
            <w:r>
              <w:rPr>
                <w:rFonts w:eastAsiaTheme="minorEastAsia" w:cstheme="minorHAnsi" w:hint="eastAsia"/>
                <w:sz w:val="18"/>
                <w:lang w:val="en-GB" w:eastAsia="zh-CN"/>
              </w:rPr>
              <w:t>P</w:t>
            </w:r>
            <w:r>
              <w:rPr>
                <w:rFonts w:eastAsiaTheme="minorEastAsia" w:cstheme="minorHAnsi"/>
                <w:sz w:val="18"/>
                <w:lang w:val="en-GB" w:eastAsia="zh-CN"/>
              </w:rPr>
              <w:t xml:space="preserve">age </w:t>
            </w:r>
            <w:r w:rsidR="00753D5C">
              <w:rPr>
                <w:rFonts w:eastAsiaTheme="minorEastAsia" w:cstheme="minorHAnsi" w:hint="eastAsia"/>
                <w:sz w:val="18"/>
                <w:lang w:val="en-GB" w:eastAsia="zh-CN"/>
              </w:rPr>
              <w:t>6-7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12b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reference standard,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E669BE" w:rsidRDefault="00E669BE" w:rsidP="00836A40">
            <w:pPr>
              <w:rPr>
                <w:rFonts w:eastAsiaTheme="minorEastAsia" w:cstheme="minorHAnsi"/>
                <w:sz w:val="18"/>
                <w:lang w:val="en-GB" w:eastAsia="zh-CN"/>
              </w:rPr>
            </w:pPr>
            <w:r>
              <w:rPr>
                <w:rFonts w:eastAsiaTheme="minorEastAsia" w:cstheme="minorHAnsi" w:hint="eastAsia"/>
                <w:sz w:val="18"/>
                <w:lang w:val="en-GB" w:eastAsia="zh-CN"/>
              </w:rPr>
              <w:t>P</w:t>
            </w:r>
            <w:r>
              <w:rPr>
                <w:rFonts w:eastAsiaTheme="minorEastAsia" w:cstheme="minorHAnsi"/>
                <w:sz w:val="18"/>
                <w:lang w:val="en-GB" w:eastAsia="zh-CN"/>
              </w:rPr>
              <w:t>age</w:t>
            </w:r>
            <w:r w:rsidR="0004245A">
              <w:rPr>
                <w:rFonts w:eastAsiaTheme="minorEastAsia" w:cstheme="minorHAnsi"/>
                <w:sz w:val="18"/>
                <w:lang w:val="en-GB" w:eastAsia="zh-CN"/>
              </w:rPr>
              <w:t xml:space="preserve"> </w:t>
            </w:r>
            <w:r w:rsidR="00753D5C">
              <w:rPr>
                <w:rFonts w:eastAsiaTheme="minorEastAsia" w:cstheme="minorHAnsi" w:hint="eastAsia"/>
                <w:sz w:val="18"/>
                <w:lang w:val="en-GB" w:eastAsia="zh-CN"/>
              </w:rPr>
              <w:t>6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13a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reference standard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performers/readers of the index test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E669BE" w:rsidRDefault="0004245A" w:rsidP="0004245A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 w:hint="eastAsia"/>
                <w:sz w:val="18"/>
                <w:lang w:val="en-GB" w:eastAsia="zh-CN"/>
              </w:rPr>
              <w:t>N</w:t>
            </w:r>
            <w:r>
              <w:rPr>
                <w:rFonts w:eastAsiaTheme="minorEastAsia" w:cstheme="minorHAnsi"/>
                <w:sz w:val="18"/>
                <w:lang w:val="en-GB" w:eastAsia="zh-CN"/>
              </w:rPr>
              <w:t>A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13b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index test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assessors of the reference standard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04245A" w:rsidP="0004245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sz w:val="18"/>
                <w:lang w:val="en-GB" w:eastAsia="zh-CN"/>
              </w:rPr>
              <w:t>N</w:t>
            </w:r>
            <w:r>
              <w:rPr>
                <w:rFonts w:eastAsiaTheme="minorEastAsia" w:cstheme="minorHAnsi"/>
                <w:sz w:val="18"/>
                <w:lang w:val="en-GB" w:eastAsia="zh-CN"/>
              </w:rPr>
              <w:t>A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Analysis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14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BB1E55" w:rsidP="0004245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P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 xml:space="preserve">age </w:t>
            </w:r>
            <w:r w:rsidR="00836A40"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7</w:t>
            </w:r>
            <w:r w:rsidR="00753D5C"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-8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15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C813E2" w:rsidRDefault="0004245A" w:rsidP="0004245A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 w:hint="eastAsia"/>
                <w:sz w:val="18"/>
                <w:lang w:val="en-GB" w:eastAsia="zh-CN"/>
              </w:rPr>
              <w:t>N</w:t>
            </w:r>
            <w:r>
              <w:rPr>
                <w:rFonts w:eastAsiaTheme="minorEastAsia" w:cstheme="minorHAnsi"/>
                <w:sz w:val="18"/>
                <w:lang w:val="en-GB" w:eastAsia="zh-CN"/>
              </w:rPr>
              <w:t>A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16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missing data on the index test and reference standard were handled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AF452F" w:rsidRDefault="00AF452F" w:rsidP="0004245A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P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 xml:space="preserve">age </w:t>
            </w:r>
            <w:r w:rsidR="0004245A"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5</w:t>
            </w:r>
          </w:p>
        </w:tc>
      </w:tr>
      <w:tr w:rsidR="00D8602F" w:rsidRPr="008469D3" w:rsidTr="00836A40">
        <w:trPr>
          <w:trHeight w:val="187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17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AF452F" w:rsidRDefault="00753D5C" w:rsidP="00D8602F">
            <w:pPr>
              <w:rPr>
                <w:rFonts w:eastAsiaTheme="minorEastAsia" w:cstheme="minorHAnsi"/>
                <w:sz w:val="18"/>
                <w:lang w:val="en-GB" w:eastAsia="zh-CN"/>
              </w:rPr>
            </w:pPr>
            <w:r w:rsidRPr="00753D5C">
              <w:rPr>
                <w:rFonts w:eastAsiaTheme="minorEastAsia" w:cstheme="minorHAnsi"/>
                <w:sz w:val="18"/>
                <w:lang w:val="en-GB" w:eastAsia="zh-CN"/>
              </w:rPr>
              <w:t>Page 7-8</w:t>
            </w:r>
          </w:p>
        </w:tc>
      </w:tr>
      <w:tr w:rsidR="00836A40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36A40" w:rsidRPr="008469D3" w:rsidRDefault="00836A40" w:rsidP="00836A40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836A40" w:rsidRPr="008469D3" w:rsidRDefault="00836A40" w:rsidP="00836A40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836A40" w:rsidRPr="0046212E" w:rsidRDefault="00836A40" w:rsidP="00836A40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18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836A40" w:rsidRPr="008469D3" w:rsidRDefault="00836A40" w:rsidP="00836A40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Intended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sample size and how it was determined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836A40" w:rsidRPr="00C813E2" w:rsidRDefault="0004245A" w:rsidP="00836A40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 w:hint="eastAsia"/>
                <w:sz w:val="18"/>
                <w:lang w:val="en-GB" w:eastAsia="zh-CN"/>
              </w:rPr>
              <w:t>N</w:t>
            </w:r>
            <w:r>
              <w:rPr>
                <w:rFonts w:eastAsiaTheme="minorEastAsia" w:cstheme="minorHAnsi"/>
                <w:sz w:val="18"/>
                <w:lang w:val="en-GB" w:eastAsia="zh-CN"/>
              </w:rPr>
              <w:t>A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eastAsia="Times New Roman"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8469D3">
              <w:rPr>
                <w:rFonts w:eastAsia="Times New Roman" w:cstheme="minorHAnsi"/>
                <w:color w:val="000000" w:themeColor="text1"/>
                <w:sz w:val="18"/>
                <w:lang w:val="en-GB"/>
              </w:rPr>
              <w:br w:type="page"/>
            </w: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RESULTS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19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Flow of participants, using a diagram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AF452F" w:rsidRDefault="00A46EBD" w:rsidP="00CD4B30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 xml:space="preserve">Page </w:t>
            </w: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2</w:t>
            </w: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1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,</w:t>
            </w: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 xml:space="preserve"> </w:t>
            </w:r>
            <w:r w:rsidR="00AF452F"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F</w:t>
            </w:r>
            <w:r w:rsidR="00AF452F"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igure 1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20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Baseline demographic and clinical characteristics of participants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AF452F" w:rsidRDefault="00A46EBD" w:rsidP="00D8602F">
            <w:pPr>
              <w:rPr>
                <w:rFonts w:eastAsiaTheme="minorEastAsia" w:cstheme="minorHAnsi"/>
                <w:color w:val="000000" w:themeColor="text1"/>
                <w:sz w:val="18"/>
                <w:lang w:eastAsia="zh-CN"/>
              </w:rPr>
            </w:pP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 xml:space="preserve">Page 19, </w:t>
            </w:r>
            <w:r w:rsidR="00AF452F">
              <w:rPr>
                <w:rFonts w:eastAsiaTheme="minorEastAsia" w:cstheme="minorHAnsi"/>
                <w:color w:val="000000" w:themeColor="text1"/>
                <w:sz w:val="18"/>
                <w:lang w:eastAsia="zh-CN"/>
              </w:rPr>
              <w:t>Table 1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21a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AF452F" w:rsidRDefault="00A46EBD" w:rsidP="00D8602F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 xml:space="preserve">Page 19, </w:t>
            </w:r>
            <w:r w:rsidR="00AF452F"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T</w:t>
            </w:r>
            <w:r w:rsidR="00AF452F"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able 1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21b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Distribution of</w:t>
            </w:r>
            <w:r w:rsidRPr="008469D3">
              <w:rPr>
                <w:rFonts w:cstheme="minorHAnsi"/>
                <w:color w:val="FF0000"/>
                <w:sz w:val="18"/>
                <w:lang w:val="en-GB"/>
              </w:rPr>
              <w:t xml:space="preserve">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alternative diagnoses in those without the target condition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B81F38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Appebdix</w:t>
            </w:r>
            <w:r w:rsidR="00AF452F"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 xml:space="preserve"> 1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22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AF452F" w:rsidRDefault="00136ABD" w:rsidP="00B81F38">
            <w:pPr>
              <w:rPr>
                <w:rFonts w:eastAsiaTheme="minorEastAsia" w:cstheme="minorHAnsi"/>
                <w:sz w:val="18"/>
                <w:lang w:val="en-GB" w:eastAsia="zh-CN"/>
              </w:rPr>
            </w:pPr>
            <w:r>
              <w:rPr>
                <w:rFonts w:eastAsiaTheme="minorEastAsia" w:cstheme="minorHAnsi"/>
                <w:color w:val="000000" w:themeColor="text1"/>
                <w:sz w:val="18"/>
                <w:lang w:eastAsia="zh-CN"/>
              </w:rPr>
              <w:t xml:space="preserve">Page </w:t>
            </w:r>
            <w:r w:rsidR="00753D5C">
              <w:rPr>
                <w:rFonts w:eastAsiaTheme="minorEastAsia" w:cstheme="minorHAnsi" w:hint="eastAsia"/>
                <w:color w:val="000000" w:themeColor="text1"/>
                <w:sz w:val="18"/>
                <w:lang w:eastAsia="zh-CN"/>
              </w:rPr>
              <w:t>6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results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23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Cross tabulation of the index test results (or their distribution)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by the results of the reference standard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Default="00AF452F" w:rsidP="00B81F38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 xml:space="preserve">Page </w:t>
            </w:r>
            <w:r w:rsidR="00753D5C"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20</w:t>
            </w:r>
            <w:r w:rsidR="00B81F38"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 xml:space="preserve">, </w:t>
            </w: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T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 xml:space="preserve">able </w:t>
            </w:r>
            <w:r w:rsidR="00B81F38"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2</w:t>
            </w:r>
          </w:p>
          <w:p w:rsidR="00B81F38" w:rsidRPr="00AF452F" w:rsidRDefault="00B81F38" w:rsidP="00B81F38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Page 2</w:t>
            </w:r>
            <w:r w:rsidR="00753D5C"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3</w:t>
            </w: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, Figure 3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24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Default="00AF452F" w:rsidP="00B81F38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 xml:space="preserve">Page </w:t>
            </w:r>
            <w:r w:rsidR="00A46EBD"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20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,</w:t>
            </w:r>
            <w:r w:rsidR="00B81F38"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 xml:space="preserve"> </w:t>
            </w: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T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able 2</w:t>
            </w:r>
            <w:r w:rsidR="003C18E9"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 xml:space="preserve">, </w:t>
            </w:r>
          </w:p>
          <w:p w:rsidR="00B81F38" w:rsidRPr="008469D3" w:rsidRDefault="00B81F38" w:rsidP="00B81F38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Page 2</w:t>
            </w:r>
            <w:r w:rsidR="00A46EBD"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3</w:t>
            </w: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, Figure 3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25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AF452F" w:rsidRDefault="00B81F38" w:rsidP="002C6992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NA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DISCUSSION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26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Study limitations, </w:t>
            </w:r>
            <w:r w:rsidRPr="008469D3">
              <w:rPr>
                <w:rFonts w:cstheme="minorHAnsi"/>
                <w:sz w:val="18"/>
                <w:lang w:val="en-GB"/>
              </w:rPr>
              <w:t>including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sources of potential bias, statistical uncertainty, and generalisability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AF452F" w:rsidRDefault="00AF452F" w:rsidP="00B81F38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Page</w:t>
            </w:r>
            <w:r w:rsidR="003C18E9"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 xml:space="preserve"> 1</w:t>
            </w:r>
            <w:r w:rsidR="00A46EBD"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2</w:t>
            </w:r>
            <w:r w:rsidR="003C18E9"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-1</w:t>
            </w:r>
            <w:r w:rsidR="00A46EBD"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3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27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AF452F" w:rsidRDefault="00AF452F" w:rsidP="00B81F38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P</w:t>
            </w:r>
            <w:r w:rsidR="003C18E9"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 xml:space="preserve">age </w:t>
            </w:r>
            <w:r w:rsidR="00A46EBD"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1</w:t>
            </w:r>
            <w:r w:rsidR="00A46EBD"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2</w:t>
            </w:r>
            <w:r w:rsidR="00A46EBD"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-1</w:t>
            </w:r>
            <w:r w:rsidR="00A46EBD"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3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OTHER INFORMATION</w:t>
            </w: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28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Registration number and name of registry</w:t>
            </w:r>
            <w:r w:rsidR="0094435B">
              <w:rPr>
                <w:rFonts w:cstheme="minorHAnsi"/>
                <w:color w:val="000000" w:themeColor="text1"/>
                <w:sz w:val="18"/>
                <w:lang w:val="en-GB"/>
              </w:rPr>
              <w:t>.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2C2C7F" w:rsidRDefault="007E5004" w:rsidP="00B81F38">
            <w:pP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NA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29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Where the full study protocol can be accessed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:rsidR="00D8602F" w:rsidRPr="002C2C7F" w:rsidRDefault="00DC1C32" w:rsidP="00D8602F">
            <w:pPr>
              <w:rPr>
                <w:rFonts w:eastAsiaTheme="minorEastAsia" w:cstheme="minorHAnsi"/>
                <w:color w:val="000000" w:themeColor="text1"/>
                <w:sz w:val="18"/>
                <w:lang w:eastAsia="zh-CN"/>
              </w:rPr>
            </w:pPr>
            <w:r>
              <w:rPr>
                <w:rFonts w:eastAsiaTheme="minorEastAsia" w:cstheme="minorHAnsi"/>
                <w:color w:val="000000" w:themeColor="text1"/>
                <w:sz w:val="18"/>
                <w:lang w:eastAsia="zh-CN"/>
              </w:rPr>
              <w:t>Web appendix</w:t>
            </w:r>
            <w:r w:rsidR="002C2C7F">
              <w:rPr>
                <w:rFonts w:eastAsiaTheme="minorEastAsia" w:cstheme="minorHAnsi"/>
                <w:color w:val="000000" w:themeColor="text1"/>
                <w:sz w:val="18"/>
                <w:lang w:eastAsia="zh-CN"/>
              </w:rPr>
              <w:t xml:space="preserve"> </w:t>
            </w:r>
          </w:p>
        </w:tc>
      </w:tr>
      <w:tr w:rsidR="00D8602F" w:rsidRPr="008469D3" w:rsidTr="00836A40"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18" w:type="dxa"/>
            <w:tcBorders>
              <w:top w:val="dotted" w:sz="6" w:space="0" w:color="5B9BD5" w:themeColor="accent1"/>
              <w:left w:val="nil"/>
              <w:bottom w:val="nil"/>
              <w:right w:val="dotted" w:sz="6" w:space="0" w:color="5B9BD5" w:themeColor="accent1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7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dotted" w:sz="6" w:space="0" w:color="5B9BD5" w:themeColor="accent1"/>
            </w:tcBorders>
          </w:tcPr>
          <w:p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30</w:t>
            </w:r>
          </w:p>
        </w:tc>
        <w:tc>
          <w:tcPr>
            <w:tcW w:w="7128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Sources of funding and other support; role of funders</w:t>
            </w:r>
          </w:p>
        </w:tc>
        <w:tc>
          <w:tcPr>
            <w:tcW w:w="167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:rsidR="00D8602F" w:rsidRPr="008469D3" w:rsidRDefault="002C2C7F" w:rsidP="00DC1C32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P</w:t>
            </w:r>
            <w:r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 xml:space="preserve">age </w:t>
            </w:r>
            <w:r w:rsidR="00B81F38">
              <w:rPr>
                <w:rFonts w:eastAsiaTheme="minorEastAsia" w:cstheme="minorHAnsi"/>
                <w:color w:val="000000" w:themeColor="text1"/>
                <w:sz w:val="18"/>
                <w:lang w:val="en-GB" w:eastAsia="zh-CN"/>
              </w:rPr>
              <w:t>1</w:t>
            </w:r>
            <w:r w:rsidR="00A46EBD">
              <w:rPr>
                <w:rFonts w:eastAsiaTheme="minorEastAsia" w:cstheme="minorHAnsi" w:hint="eastAsia"/>
                <w:color w:val="000000" w:themeColor="text1"/>
                <w:sz w:val="18"/>
                <w:lang w:val="en-GB" w:eastAsia="zh-CN"/>
              </w:rPr>
              <w:t>4</w:t>
            </w:r>
            <w:bookmarkStart w:id="0" w:name="_GoBack"/>
            <w:bookmarkEnd w:id="0"/>
          </w:p>
        </w:tc>
      </w:tr>
      <w:tr w:rsidR="00D8602F" w:rsidRPr="005320D9" w:rsidTr="00836A40">
        <w:trPr>
          <w:trHeight w:val="70"/>
        </w:trPr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jc w:val="center"/>
              <w:rPr>
                <w:rFonts w:cstheme="minorHAnsi"/>
                <w:b/>
                <w:sz w:val="8"/>
                <w:lang w:val="en-GB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02F" w:rsidRPr="005320D9" w:rsidRDefault="00D8602F" w:rsidP="00D8602F">
            <w:pPr>
              <w:rPr>
                <w:rFonts w:cstheme="minorHAnsi"/>
                <w:color w:val="000000" w:themeColor="text1"/>
                <w:sz w:val="8"/>
              </w:rPr>
            </w:pPr>
          </w:p>
        </w:tc>
      </w:tr>
    </w:tbl>
    <w:p w:rsidR="008469D3" w:rsidRPr="008469D3" w:rsidRDefault="008469D3" w:rsidP="0018414D">
      <w:pPr>
        <w:rPr>
          <w:caps/>
          <w:color w:val="000000" w:themeColor="text1"/>
          <w:spacing w:val="15"/>
          <w:sz w:val="28"/>
          <w:szCs w:val="22"/>
        </w:rPr>
        <w:sectPr w:rsidR="008469D3" w:rsidRPr="008469D3" w:rsidSect="0046212E">
          <w:pgSz w:w="12240" w:h="15840"/>
          <w:pgMar w:top="794" w:right="1151" w:bottom="340" w:left="1009" w:header="289" w:footer="142" w:gutter="0"/>
          <w:cols w:space="708"/>
          <w:docGrid w:linePitch="360"/>
        </w:sectPr>
      </w:pPr>
    </w:p>
    <w:p w:rsidR="007B29BD" w:rsidRDefault="007B29BD" w:rsidP="00AF452F">
      <w:pPr>
        <w:rPr>
          <w:sz w:val="28"/>
        </w:rPr>
      </w:pPr>
    </w:p>
    <w:sectPr w:rsidR="007B29BD" w:rsidSect="0046212E">
      <w:type w:val="continuous"/>
      <w:pgSz w:w="12240" w:h="15840"/>
      <w:pgMar w:top="794" w:right="1009" w:bottom="403" w:left="1009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9DC" w:rsidRDefault="00C159DC" w:rsidP="00757FD1">
      <w:pPr>
        <w:spacing w:after="0" w:line="240" w:lineRule="auto"/>
      </w:pPr>
      <w:r>
        <w:separator/>
      </w:r>
    </w:p>
  </w:endnote>
  <w:endnote w:type="continuationSeparator" w:id="0">
    <w:p w:rsidR="00C159DC" w:rsidRDefault="00C159DC" w:rsidP="007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9DC" w:rsidRDefault="00C159DC" w:rsidP="00757FD1">
      <w:pPr>
        <w:spacing w:after="0" w:line="240" w:lineRule="auto"/>
      </w:pPr>
      <w:r>
        <w:separator/>
      </w:r>
    </w:p>
  </w:footnote>
  <w:footnote w:type="continuationSeparator" w:id="0">
    <w:p w:rsidR="00C159DC" w:rsidRDefault="00C159DC" w:rsidP="0075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17AAF"/>
    <w:multiLevelType w:val="hybridMultilevel"/>
    <w:tmpl w:val="0F8A8136"/>
    <w:lvl w:ilvl="0" w:tplc="A2FC3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85"/>
    <w:rsid w:val="0003566E"/>
    <w:rsid w:val="0004245A"/>
    <w:rsid w:val="000515D4"/>
    <w:rsid w:val="00051C50"/>
    <w:rsid w:val="0006162A"/>
    <w:rsid w:val="00070D8C"/>
    <w:rsid w:val="000828BB"/>
    <w:rsid w:val="000855F2"/>
    <w:rsid w:val="000B01E8"/>
    <w:rsid w:val="000C0EE8"/>
    <w:rsid w:val="000E01A1"/>
    <w:rsid w:val="000E7F9E"/>
    <w:rsid w:val="00104FCD"/>
    <w:rsid w:val="00110EEC"/>
    <w:rsid w:val="00114C52"/>
    <w:rsid w:val="001306B6"/>
    <w:rsid w:val="00131B16"/>
    <w:rsid w:val="00136ABD"/>
    <w:rsid w:val="001476C3"/>
    <w:rsid w:val="00152CED"/>
    <w:rsid w:val="00155255"/>
    <w:rsid w:val="00155CAD"/>
    <w:rsid w:val="001709BF"/>
    <w:rsid w:val="0018414D"/>
    <w:rsid w:val="00191334"/>
    <w:rsid w:val="00196601"/>
    <w:rsid w:val="001C354E"/>
    <w:rsid w:val="001D419D"/>
    <w:rsid w:val="001E19DC"/>
    <w:rsid w:val="001E4D1F"/>
    <w:rsid w:val="001F0C5A"/>
    <w:rsid w:val="001F56D5"/>
    <w:rsid w:val="0022549C"/>
    <w:rsid w:val="00233AF8"/>
    <w:rsid w:val="002434E1"/>
    <w:rsid w:val="0025102C"/>
    <w:rsid w:val="002A0EDF"/>
    <w:rsid w:val="002B7708"/>
    <w:rsid w:val="002C2C7F"/>
    <w:rsid w:val="002C6992"/>
    <w:rsid w:val="002F4827"/>
    <w:rsid w:val="002F71F4"/>
    <w:rsid w:val="00306D8E"/>
    <w:rsid w:val="00311336"/>
    <w:rsid w:val="0031458D"/>
    <w:rsid w:val="00324CB5"/>
    <w:rsid w:val="00362362"/>
    <w:rsid w:val="00370FC4"/>
    <w:rsid w:val="0037210E"/>
    <w:rsid w:val="00375622"/>
    <w:rsid w:val="003757BF"/>
    <w:rsid w:val="00375A97"/>
    <w:rsid w:val="003A2EA1"/>
    <w:rsid w:val="003B0B2A"/>
    <w:rsid w:val="003C0AB8"/>
    <w:rsid w:val="003C18E9"/>
    <w:rsid w:val="003C5973"/>
    <w:rsid w:val="003D227B"/>
    <w:rsid w:val="003D4562"/>
    <w:rsid w:val="00405688"/>
    <w:rsid w:val="00406DBB"/>
    <w:rsid w:val="0040769C"/>
    <w:rsid w:val="00411FEB"/>
    <w:rsid w:val="004228A5"/>
    <w:rsid w:val="00423236"/>
    <w:rsid w:val="00431C4E"/>
    <w:rsid w:val="004378AC"/>
    <w:rsid w:val="0045755E"/>
    <w:rsid w:val="0046212E"/>
    <w:rsid w:val="0046708E"/>
    <w:rsid w:val="004775AD"/>
    <w:rsid w:val="0048337A"/>
    <w:rsid w:val="004B4880"/>
    <w:rsid w:val="004B4D5C"/>
    <w:rsid w:val="004C1583"/>
    <w:rsid w:val="004D5338"/>
    <w:rsid w:val="004E5CD5"/>
    <w:rsid w:val="004F469C"/>
    <w:rsid w:val="00506083"/>
    <w:rsid w:val="00510595"/>
    <w:rsid w:val="00522330"/>
    <w:rsid w:val="00523AA2"/>
    <w:rsid w:val="00526A0E"/>
    <w:rsid w:val="005275DF"/>
    <w:rsid w:val="005320D9"/>
    <w:rsid w:val="00540AA2"/>
    <w:rsid w:val="00555F79"/>
    <w:rsid w:val="005738B6"/>
    <w:rsid w:val="00580FAC"/>
    <w:rsid w:val="00592149"/>
    <w:rsid w:val="005A18FF"/>
    <w:rsid w:val="00616EB9"/>
    <w:rsid w:val="00637958"/>
    <w:rsid w:val="00641E60"/>
    <w:rsid w:val="00650885"/>
    <w:rsid w:val="006571B2"/>
    <w:rsid w:val="00665D30"/>
    <w:rsid w:val="0067786F"/>
    <w:rsid w:val="00686D6C"/>
    <w:rsid w:val="00696A6F"/>
    <w:rsid w:val="006A141F"/>
    <w:rsid w:val="006B25B4"/>
    <w:rsid w:val="006D27D9"/>
    <w:rsid w:val="006E6207"/>
    <w:rsid w:val="006F5A7D"/>
    <w:rsid w:val="00727EB9"/>
    <w:rsid w:val="00732C47"/>
    <w:rsid w:val="00751BB1"/>
    <w:rsid w:val="00753D5C"/>
    <w:rsid w:val="00757FD1"/>
    <w:rsid w:val="007844C4"/>
    <w:rsid w:val="0079547A"/>
    <w:rsid w:val="0079584B"/>
    <w:rsid w:val="007970B8"/>
    <w:rsid w:val="007A297D"/>
    <w:rsid w:val="007B29BD"/>
    <w:rsid w:val="007B7E41"/>
    <w:rsid w:val="007C5912"/>
    <w:rsid w:val="007E5004"/>
    <w:rsid w:val="007F576E"/>
    <w:rsid w:val="00806612"/>
    <w:rsid w:val="0081183B"/>
    <w:rsid w:val="00826FA6"/>
    <w:rsid w:val="00831730"/>
    <w:rsid w:val="00836A40"/>
    <w:rsid w:val="0084546B"/>
    <w:rsid w:val="008469D3"/>
    <w:rsid w:val="00877F0A"/>
    <w:rsid w:val="00885592"/>
    <w:rsid w:val="008948E6"/>
    <w:rsid w:val="00894A1C"/>
    <w:rsid w:val="008B6CFB"/>
    <w:rsid w:val="008D54DA"/>
    <w:rsid w:val="008D58CC"/>
    <w:rsid w:val="008E4445"/>
    <w:rsid w:val="008F7002"/>
    <w:rsid w:val="009124CA"/>
    <w:rsid w:val="00913EAE"/>
    <w:rsid w:val="00914894"/>
    <w:rsid w:val="00941414"/>
    <w:rsid w:val="00944221"/>
    <w:rsid w:val="0094435B"/>
    <w:rsid w:val="00954A68"/>
    <w:rsid w:val="009A1484"/>
    <w:rsid w:val="009A63F3"/>
    <w:rsid w:val="009A6AA9"/>
    <w:rsid w:val="009B41B0"/>
    <w:rsid w:val="009B4DFD"/>
    <w:rsid w:val="009C5E7C"/>
    <w:rsid w:val="009E18E2"/>
    <w:rsid w:val="00A03648"/>
    <w:rsid w:val="00A043D2"/>
    <w:rsid w:val="00A46EBD"/>
    <w:rsid w:val="00A63FA9"/>
    <w:rsid w:val="00A807CA"/>
    <w:rsid w:val="00A84F5C"/>
    <w:rsid w:val="00A86360"/>
    <w:rsid w:val="00AA5FAA"/>
    <w:rsid w:val="00AD20C2"/>
    <w:rsid w:val="00AF452F"/>
    <w:rsid w:val="00B01FA8"/>
    <w:rsid w:val="00B30129"/>
    <w:rsid w:val="00B37D7D"/>
    <w:rsid w:val="00B44BD2"/>
    <w:rsid w:val="00B65AAD"/>
    <w:rsid w:val="00B727FD"/>
    <w:rsid w:val="00B81F38"/>
    <w:rsid w:val="00B82B57"/>
    <w:rsid w:val="00B97669"/>
    <w:rsid w:val="00BA3C4A"/>
    <w:rsid w:val="00BA7D5D"/>
    <w:rsid w:val="00BA7F88"/>
    <w:rsid w:val="00BB1E55"/>
    <w:rsid w:val="00BC26B8"/>
    <w:rsid w:val="00BC426D"/>
    <w:rsid w:val="00BD5E18"/>
    <w:rsid w:val="00BE760E"/>
    <w:rsid w:val="00BF3362"/>
    <w:rsid w:val="00C106F1"/>
    <w:rsid w:val="00C159DC"/>
    <w:rsid w:val="00C17FE3"/>
    <w:rsid w:val="00C813E2"/>
    <w:rsid w:val="00CA7A4B"/>
    <w:rsid w:val="00CB5C8F"/>
    <w:rsid w:val="00CB5FD4"/>
    <w:rsid w:val="00CD4B30"/>
    <w:rsid w:val="00CD7A3D"/>
    <w:rsid w:val="00D50E85"/>
    <w:rsid w:val="00D52094"/>
    <w:rsid w:val="00D8602F"/>
    <w:rsid w:val="00D86EB5"/>
    <w:rsid w:val="00D86FEE"/>
    <w:rsid w:val="00DC1C32"/>
    <w:rsid w:val="00DF01DB"/>
    <w:rsid w:val="00E10B3B"/>
    <w:rsid w:val="00E149C3"/>
    <w:rsid w:val="00E14ECA"/>
    <w:rsid w:val="00E22149"/>
    <w:rsid w:val="00E27216"/>
    <w:rsid w:val="00E27530"/>
    <w:rsid w:val="00E27BEB"/>
    <w:rsid w:val="00E369C4"/>
    <w:rsid w:val="00E56886"/>
    <w:rsid w:val="00E669BE"/>
    <w:rsid w:val="00E678CA"/>
    <w:rsid w:val="00E76C0A"/>
    <w:rsid w:val="00E96785"/>
    <w:rsid w:val="00EC26B5"/>
    <w:rsid w:val="00ED3C9B"/>
    <w:rsid w:val="00ED3FC2"/>
    <w:rsid w:val="00ED78B5"/>
    <w:rsid w:val="00EE7F52"/>
    <w:rsid w:val="00F23B78"/>
    <w:rsid w:val="00F25B4D"/>
    <w:rsid w:val="00F31F82"/>
    <w:rsid w:val="00F44B11"/>
    <w:rsid w:val="00F554CC"/>
    <w:rsid w:val="00F55FA3"/>
    <w:rsid w:val="00F97A8F"/>
    <w:rsid w:val="00FA7052"/>
    <w:rsid w:val="00FC07B7"/>
    <w:rsid w:val="00FC7C79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0EA02-2D45-4F7F-84FE-DC69DFB0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EB"/>
  </w:style>
  <w:style w:type="paragraph" w:styleId="1">
    <w:name w:val="heading 1"/>
    <w:basedOn w:val="a"/>
    <w:next w:val="a"/>
    <w:link w:val="1Char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Char">
    <w:name w:val="标题 2 Char"/>
    <w:basedOn w:val="a0"/>
    <w:link w:val="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650885"/>
    <w:pPr>
      <w:ind w:left="720"/>
      <w:contextualSpacing/>
    </w:pPr>
  </w:style>
  <w:style w:type="character" w:customStyle="1" w:styleId="3Char">
    <w:name w:val="标题 3 Char"/>
    <w:basedOn w:val="a0"/>
    <w:link w:val="3"/>
    <w:uiPriority w:val="9"/>
    <w:rsid w:val="00411FEB"/>
    <w:rPr>
      <w:caps/>
      <w:color w:val="1F4D78" w:themeColor="accent1" w:themeShade="7F"/>
      <w:spacing w:val="15"/>
    </w:rPr>
  </w:style>
  <w:style w:type="character" w:styleId="a4">
    <w:name w:val="annotation reference"/>
    <w:basedOn w:val="a0"/>
    <w:uiPriority w:val="99"/>
    <w:semiHidden/>
    <w:unhideWhenUsed/>
    <w:rsid w:val="00686D6C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686D6C"/>
    <w:pPr>
      <w:spacing w:line="240" w:lineRule="auto"/>
    </w:pPr>
  </w:style>
  <w:style w:type="character" w:customStyle="1" w:styleId="Char">
    <w:name w:val="批注文字 Char"/>
    <w:basedOn w:val="a0"/>
    <w:link w:val="a5"/>
    <w:uiPriority w:val="99"/>
    <w:semiHidden/>
    <w:rsid w:val="00686D6C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86D6C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86D6C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2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2">
    <w:name w:val="页眉 Char"/>
    <w:basedOn w:val="a0"/>
    <w:link w:val="a8"/>
    <w:uiPriority w:val="99"/>
    <w:rsid w:val="00757FD1"/>
  </w:style>
  <w:style w:type="paragraph" w:styleId="a9">
    <w:name w:val="footer"/>
    <w:basedOn w:val="a"/>
    <w:link w:val="Char3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3">
    <w:name w:val="页脚 Char"/>
    <w:basedOn w:val="a0"/>
    <w:link w:val="a9"/>
    <w:uiPriority w:val="99"/>
    <w:rsid w:val="00757FD1"/>
  </w:style>
  <w:style w:type="character" w:customStyle="1" w:styleId="4Char">
    <w:name w:val="标题 4 Char"/>
    <w:basedOn w:val="a0"/>
    <w:link w:val="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ab">
    <w:name w:val="Title"/>
    <w:basedOn w:val="a"/>
    <w:next w:val="a"/>
    <w:link w:val="Char4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Char4">
    <w:name w:val="标题 Char"/>
    <w:basedOn w:val="a0"/>
    <w:link w:val="ab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c">
    <w:name w:val="Subtitle"/>
    <w:basedOn w:val="a"/>
    <w:next w:val="a"/>
    <w:link w:val="Char5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5">
    <w:name w:val="副标题 Char"/>
    <w:basedOn w:val="a0"/>
    <w:link w:val="ac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11FEB"/>
    <w:rPr>
      <w:b/>
      <w:bCs/>
    </w:rPr>
  </w:style>
  <w:style w:type="character" w:styleId="ae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af">
    <w:name w:val="No Spacing"/>
    <w:uiPriority w:val="1"/>
    <w:qFormat/>
    <w:rsid w:val="00411FEB"/>
    <w:pPr>
      <w:spacing w:after="0" w:line="240" w:lineRule="auto"/>
    </w:pPr>
  </w:style>
  <w:style w:type="paragraph" w:styleId="af0">
    <w:name w:val="Quote"/>
    <w:basedOn w:val="a"/>
    <w:next w:val="a"/>
    <w:link w:val="Char6"/>
    <w:uiPriority w:val="29"/>
    <w:qFormat/>
    <w:rsid w:val="00411FEB"/>
    <w:rPr>
      <w:i/>
      <w:iCs/>
      <w:sz w:val="24"/>
      <w:szCs w:val="24"/>
    </w:rPr>
  </w:style>
  <w:style w:type="character" w:customStyle="1" w:styleId="Char6">
    <w:name w:val="引用 Char"/>
    <w:basedOn w:val="a0"/>
    <w:link w:val="af0"/>
    <w:uiPriority w:val="29"/>
    <w:rsid w:val="00411FEB"/>
    <w:rPr>
      <w:i/>
      <w:iCs/>
      <w:sz w:val="24"/>
      <w:szCs w:val="24"/>
    </w:rPr>
  </w:style>
  <w:style w:type="paragraph" w:styleId="af1">
    <w:name w:val="Intense Quote"/>
    <w:basedOn w:val="a"/>
    <w:next w:val="a"/>
    <w:link w:val="Char7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har7">
    <w:name w:val="明显引用 Char"/>
    <w:basedOn w:val="a0"/>
    <w:link w:val="af1"/>
    <w:uiPriority w:val="30"/>
    <w:rsid w:val="00411FEB"/>
    <w:rPr>
      <w:color w:val="5B9BD5" w:themeColor="accent1"/>
      <w:sz w:val="24"/>
      <w:szCs w:val="24"/>
    </w:rPr>
  </w:style>
  <w:style w:type="character" w:styleId="af2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af3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af4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af5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af6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411FEB"/>
    <w:pPr>
      <w:outlineLvl w:val="9"/>
    </w:pPr>
  </w:style>
  <w:style w:type="character" w:styleId="af7">
    <w:name w:val="Hyperlink"/>
    <w:basedOn w:val="a0"/>
    <w:uiPriority w:val="99"/>
    <w:unhideWhenUsed/>
    <w:rsid w:val="00411FEB"/>
    <w:rPr>
      <w:color w:val="0563C1" w:themeColor="hyperlink"/>
      <w:u w:val="single"/>
    </w:rPr>
  </w:style>
  <w:style w:type="table" w:styleId="af8">
    <w:name w:val="Table Grid"/>
    <w:basedOn w:val="a1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a1"/>
    <w:next w:val="af8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D5FDC3-1F01-4FFA-B074-E981FD6D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STARD 2015</vt:lpstr>
      <vt:lpstr>STARD 2015</vt:lpstr>
      <vt:lpstr>STARD 2015</vt:lpstr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STARD 2015</dc:title>
  <dc:creator>STARD 2015</dc:creator>
  <cp:lastModifiedBy>xt256.com</cp:lastModifiedBy>
  <cp:revision>4</cp:revision>
  <cp:lastPrinted>2015-10-23T10:20:00Z</cp:lastPrinted>
  <dcterms:created xsi:type="dcterms:W3CDTF">2020-11-01T13:21:00Z</dcterms:created>
  <dcterms:modified xsi:type="dcterms:W3CDTF">2020-11-12T14:31:00Z</dcterms:modified>
</cp:coreProperties>
</file>