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2626" w:rsidRPr="003C5DD2" w:rsidRDefault="00D74167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Appendix</w:t>
      </w:r>
    </w:p>
    <w:p w:rsidR="003C5DD2" w:rsidRDefault="003C5DD2">
      <w:pPr>
        <w:rPr>
          <w:rFonts w:asciiTheme="majorBidi" w:hAnsiTheme="majorBidi" w:cstheme="majorBidi"/>
        </w:rPr>
      </w:pPr>
    </w:p>
    <w:p w:rsidR="003C5DD2" w:rsidRDefault="003C5DD2">
      <w:pPr>
        <w:rPr>
          <w:rFonts w:asciiTheme="majorBidi" w:hAnsiTheme="majorBidi" w:cstheme="majorBidi"/>
        </w:rPr>
      </w:pPr>
    </w:p>
    <w:p w:rsidR="003C5DD2" w:rsidRDefault="003C5DD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>
            <wp:extent cx="5756910" cy="4064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́sentation1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DD2" w:rsidRDefault="003C5DD2">
      <w:pPr>
        <w:rPr>
          <w:rFonts w:asciiTheme="majorBidi" w:hAnsiTheme="majorBidi" w:cstheme="majorBidi"/>
        </w:rPr>
      </w:pPr>
    </w:p>
    <w:p w:rsidR="003C5DD2" w:rsidRPr="003C5DD2" w:rsidRDefault="003C5DD2">
      <w:pPr>
        <w:rPr>
          <w:rFonts w:asciiTheme="majorBidi" w:hAnsiTheme="majorBidi" w:cstheme="majorBidi"/>
          <w:lang w:val="en-US"/>
        </w:rPr>
      </w:pPr>
      <w:r w:rsidRPr="003C5DD2">
        <w:rPr>
          <w:rFonts w:asciiTheme="majorBidi" w:hAnsiTheme="majorBidi" w:cstheme="majorBidi"/>
          <w:lang w:val="en-US"/>
        </w:rPr>
        <w:t xml:space="preserve">Legend: </w:t>
      </w:r>
      <w:r w:rsidR="00EC5D1A">
        <w:rPr>
          <w:rFonts w:asciiTheme="majorBidi" w:hAnsiTheme="majorBidi" w:cstheme="majorBidi"/>
          <w:lang w:val="en-US"/>
        </w:rPr>
        <w:t>G</w:t>
      </w:r>
      <w:r>
        <w:rPr>
          <w:rFonts w:asciiTheme="majorBidi" w:hAnsiTheme="majorBidi" w:cstheme="majorBidi"/>
          <w:lang w:val="en-US"/>
        </w:rPr>
        <w:t xml:space="preserve">lobal </w:t>
      </w:r>
      <w:r w:rsidRPr="003C5DD2">
        <w:rPr>
          <w:rFonts w:asciiTheme="majorBidi" w:hAnsiTheme="majorBidi" w:cstheme="majorBidi"/>
          <w:lang w:val="en-US"/>
        </w:rPr>
        <w:t>analysis of daily new cases growth rate</w:t>
      </w:r>
      <w:r>
        <w:rPr>
          <w:rFonts w:asciiTheme="majorBidi" w:hAnsiTheme="majorBidi" w:cstheme="majorBidi"/>
          <w:lang w:val="en-US"/>
        </w:rPr>
        <w:t xml:space="preserve"> (%) with regards to daily temperature (°C) in Lombardy (Italy) shows no correlation.</w:t>
      </w:r>
    </w:p>
    <w:sectPr w:rsidR="003C5DD2" w:rsidRPr="003C5DD2" w:rsidSect="00851C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D2"/>
    <w:rsid w:val="00102626"/>
    <w:rsid w:val="003C5DD2"/>
    <w:rsid w:val="00851CC5"/>
    <w:rsid w:val="00D74167"/>
    <w:rsid w:val="00E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F3792A"/>
  <w15:chartTrackingRefBased/>
  <w15:docId w15:val="{BE7347EB-46D6-244E-A749-952955B0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2020-07-25T16:47:00Z</dcterms:created>
  <dcterms:modified xsi:type="dcterms:W3CDTF">2020-08-01T15:08:00Z</dcterms:modified>
</cp:coreProperties>
</file>