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7D" w:rsidRPr="0005017D" w:rsidRDefault="0005017D" w:rsidP="001A36FE">
      <w:pPr>
        <w:rPr>
          <w:rFonts w:ascii="Times New Roman" w:hAnsi="Times New Roman" w:cs="Times New Roman"/>
          <w:sz w:val="24"/>
          <w:szCs w:val="24"/>
        </w:rPr>
      </w:pPr>
      <w:r w:rsidRPr="00B2362E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Acute febrile illness</w:t>
      </w:r>
      <w:r w:rsidRPr="0005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defined as a patient with fever of 38°C or higher at presentation to ED or history of fever that persisted for 2–7 days with no localizing source.</w:t>
      </w:r>
    </w:p>
    <w:p w:rsidR="0005017D" w:rsidRPr="0005017D" w:rsidRDefault="00412ED1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Clinical case definition for measles</w:t>
      </w:r>
      <w:r w:rsidR="0005017D" w:rsidRPr="0005017D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412ED1" w:rsidRPr="0005017D" w:rsidRDefault="0005017D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Any person with fever and maculopapular rash</w:t>
      </w:r>
    </w:p>
    <w:p w:rsidR="0005017D" w:rsidRPr="0005017D" w:rsidRDefault="0005017D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  <w:rPr>
          <w:b/>
          <w:bCs/>
          <w:bdr w:val="none" w:sz="0" w:space="0" w:color="auto" w:frame="1"/>
        </w:rPr>
      </w:pPr>
      <w:r w:rsidRPr="0005017D">
        <w:rPr>
          <w:b/>
          <w:bCs/>
          <w:bdr w:val="none" w:sz="0" w:space="0" w:color="auto" w:frame="1"/>
        </w:rPr>
        <w:t>WHO definition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dr w:val="none" w:sz="0" w:space="0" w:color="auto" w:frame="1"/>
        </w:rPr>
        <w:t>Any person in whom a clinician suspects measles infection, </w:t>
      </w:r>
      <w:r w:rsidRPr="0005017D">
        <w:rPr>
          <w:b/>
          <w:bCs/>
          <w:bdr w:val="none" w:sz="0" w:space="0" w:color="auto" w:frame="1"/>
        </w:rPr>
        <w:t>or</w:t>
      </w:r>
      <w:r w:rsidRPr="0005017D">
        <w:rPr>
          <w:bdr w:val="none" w:sz="0" w:space="0" w:color="auto" w:frame="1"/>
        </w:rPr>
        <w:br/>
        <w:t>Any person with fever </w:t>
      </w:r>
      <w:r w:rsidRPr="0005017D">
        <w:rPr>
          <w:b/>
          <w:bCs/>
          <w:bdr w:val="none" w:sz="0" w:space="0" w:color="auto" w:frame="1"/>
        </w:rPr>
        <w:t>and</w:t>
      </w:r>
      <w:r w:rsidRPr="0005017D">
        <w:rPr>
          <w:bdr w:val="none" w:sz="0" w:space="0" w:color="auto" w:frame="1"/>
        </w:rPr>
        <w:t> maculopapular rash (i.e. non-vesicular) </w:t>
      </w:r>
      <w:r w:rsidRPr="0005017D">
        <w:rPr>
          <w:b/>
          <w:bCs/>
          <w:bdr w:val="none" w:sz="0" w:space="0" w:color="auto" w:frame="1"/>
        </w:rPr>
        <w:t>and</w:t>
      </w:r>
      <w:r w:rsidRPr="0005017D">
        <w:rPr>
          <w:bdr w:val="none" w:sz="0" w:space="0" w:color="auto" w:frame="1"/>
        </w:rPr>
        <w:t xml:space="preserve"> cough, </w:t>
      </w:r>
      <w:proofErr w:type="spellStart"/>
      <w:r w:rsidRPr="0005017D">
        <w:rPr>
          <w:bdr w:val="none" w:sz="0" w:space="0" w:color="auto" w:frame="1"/>
        </w:rPr>
        <w:t>coryza</w:t>
      </w:r>
      <w:proofErr w:type="spellEnd"/>
      <w:r w:rsidRPr="0005017D">
        <w:rPr>
          <w:bdr w:val="none" w:sz="0" w:space="0" w:color="auto" w:frame="1"/>
        </w:rPr>
        <w:t xml:space="preserve"> (i.e. runny nose) or conjunctivitis (i.e. red eyes)</w:t>
      </w:r>
    </w:p>
    <w:p w:rsidR="00412ED1" w:rsidRPr="0005017D" w:rsidRDefault="00412ED1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Laboratory criteria for diagnosis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dr w:val="none" w:sz="0" w:space="0" w:color="auto" w:frame="1"/>
        </w:rPr>
        <w:t>Presence of measles-specific IgM antibodies</w:t>
      </w:r>
    </w:p>
    <w:p w:rsidR="00412ED1" w:rsidRPr="0005017D" w:rsidRDefault="00412ED1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Case classification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dr w:val="none" w:sz="0" w:space="0" w:color="auto" w:frame="1"/>
        </w:rPr>
        <w:t>Countries are advised to use the clinical classification scheme until their programmes meet the following two criteria:</w:t>
      </w:r>
    </w:p>
    <w:p w:rsidR="00412ED1" w:rsidRPr="0005017D" w:rsidRDefault="00412ED1" w:rsidP="00412ED1">
      <w:pPr>
        <w:numPr>
          <w:ilvl w:val="0"/>
          <w:numId w:val="3"/>
        </w:numPr>
        <w:shd w:val="clear" w:color="auto" w:fill="FFFFFF"/>
        <w:spacing w:after="0" w:line="254" w:lineRule="atLeast"/>
        <w:ind w:left="0" w:right="339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low level of measles incidence;</w:t>
      </w:r>
    </w:p>
    <w:p w:rsidR="00412ED1" w:rsidRPr="0005017D" w:rsidRDefault="00412ED1" w:rsidP="00412ED1">
      <w:pPr>
        <w:numPr>
          <w:ilvl w:val="0"/>
          <w:numId w:val="3"/>
        </w:numPr>
        <w:shd w:val="clear" w:color="auto" w:fill="FFFFFF"/>
        <w:spacing w:after="0" w:line="254" w:lineRule="atLeast"/>
        <w:ind w:left="0" w:right="339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access to a proficient measles laboratory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dr w:val="none" w:sz="0" w:space="0" w:color="auto" w:frame="1"/>
        </w:rPr>
        <w:t>The laboratory classification scheme should be used by countries in the low incidence or elimination phase</w:t>
      </w:r>
    </w:p>
    <w:p w:rsidR="00412ED1" w:rsidRPr="0005017D" w:rsidRDefault="00412ED1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Clinical classification scheme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/>
          <w:bCs/>
          <w:bdr w:val="none" w:sz="0" w:space="0" w:color="auto" w:frame="1"/>
        </w:rPr>
        <w:t>Clinically confirmed:</w:t>
      </w:r>
      <w:r w:rsidRPr="0005017D">
        <w:rPr>
          <w:bdr w:val="none" w:sz="0" w:space="0" w:color="auto" w:frame="1"/>
        </w:rPr>
        <w:t> A case that meets the clinical case definition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Discarded:</w:t>
      </w:r>
      <w:r w:rsidRPr="0005017D">
        <w:rPr>
          <w:bdr w:val="none" w:sz="0" w:space="0" w:color="auto" w:frame="1"/>
        </w:rPr>
        <w:t> A suspect case that does not meet the clinical case definition</w:t>
      </w:r>
    </w:p>
    <w:p w:rsidR="00412ED1" w:rsidRPr="0005017D" w:rsidRDefault="00412ED1" w:rsidP="00412ED1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Laboratory classification*</w:t>
      </w:r>
    </w:p>
    <w:p w:rsidR="00412ED1" w:rsidRPr="0005017D" w:rsidRDefault="00412ED1" w:rsidP="00412ED1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i/>
          <w:iCs/>
          <w:bdr w:val="none" w:sz="0" w:space="0" w:color="auto" w:frame="1"/>
        </w:rPr>
        <w:t>*Laboratory classification can also be used for outbreak investigation (see diagram in special aspects section below)</w:t>
      </w:r>
      <w:r w:rsidRPr="0005017D">
        <w:rPr>
          <w:bdr w:val="none" w:sz="0" w:space="0" w:color="auto" w:frame="1"/>
        </w:rPr>
        <w:br/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Laboratory-confirmed:</w:t>
      </w:r>
      <w:r w:rsidRPr="0005017D">
        <w:rPr>
          <w:bdr w:val="none" w:sz="0" w:space="0" w:color="auto" w:frame="1"/>
        </w:rPr>
        <w:t> A case that meets the clinical case definition and is laboratory-confirmed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Epidemiologically confirmed:</w:t>
      </w:r>
      <w:r w:rsidRPr="0005017D">
        <w:rPr>
          <w:bdr w:val="none" w:sz="0" w:space="0" w:color="auto" w:frame="1"/>
        </w:rPr>
        <w:t> A case that meets the clinical case definition and is linked to a laboratory-confirmed case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Clinically confirmed:</w:t>
      </w:r>
      <w:r w:rsidRPr="0005017D">
        <w:rPr>
          <w:bdr w:val="none" w:sz="0" w:space="0" w:color="auto" w:frame="1"/>
        </w:rPr>
        <w:t> A case that meets the clinical case definition and for which no adequate blood specimen was taken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Discarded:</w:t>
      </w:r>
      <w:r w:rsidRPr="0005017D">
        <w:rPr>
          <w:bdr w:val="none" w:sz="0" w:space="0" w:color="auto" w:frame="1"/>
        </w:rPr>
        <w:t> A suspect case that does not meet the clinical or laboratory definition</w:t>
      </w:r>
    </w:p>
    <w:p w:rsidR="00DF7A42" w:rsidRPr="0005017D" w:rsidRDefault="00DF7A42">
      <w:pPr>
        <w:rPr>
          <w:rFonts w:ascii="Times New Roman" w:hAnsi="Times New Roman" w:cs="Times New Roman"/>
          <w:sz w:val="24"/>
          <w:szCs w:val="24"/>
        </w:rPr>
      </w:pPr>
    </w:p>
    <w:p w:rsidR="004E2AC3" w:rsidRPr="0005017D" w:rsidRDefault="004E2AC3">
      <w:pPr>
        <w:rPr>
          <w:rFonts w:ascii="Times New Roman" w:hAnsi="Times New Roman" w:cs="Times New Roman"/>
          <w:sz w:val="24"/>
          <w:szCs w:val="24"/>
        </w:rPr>
      </w:pPr>
    </w:p>
    <w:p w:rsidR="007000AF" w:rsidRPr="0005017D" w:rsidRDefault="004E2AC3" w:rsidP="007000AF">
      <w:pPr>
        <w:pStyle w:val="Heading1"/>
        <w:shd w:val="clear" w:color="auto" w:fill="FFFFFF"/>
        <w:spacing w:before="0" w:beforeAutospacing="0" w:after="203" w:afterAutospacing="0" w:line="407" w:lineRule="atLeast"/>
        <w:ind w:right="339"/>
        <w:textAlignment w:val="baseline"/>
        <w:rPr>
          <w:sz w:val="24"/>
          <w:szCs w:val="24"/>
        </w:rPr>
      </w:pPr>
      <w:r w:rsidRPr="0005017D">
        <w:rPr>
          <w:sz w:val="24"/>
          <w:szCs w:val="24"/>
        </w:rPr>
        <w:t>Respiratory</w:t>
      </w:r>
      <w:r w:rsidR="007000AF" w:rsidRPr="0005017D">
        <w:rPr>
          <w:sz w:val="24"/>
          <w:szCs w:val="24"/>
        </w:rPr>
        <w:t xml:space="preserve"> WHO surveillance case definitions for ILI and SARI</w:t>
      </w:r>
    </w:p>
    <w:p w:rsidR="007000AF" w:rsidRPr="0005017D" w:rsidRDefault="007000AF" w:rsidP="007000AF">
      <w:pPr>
        <w:pStyle w:val="Heading3"/>
        <w:spacing w:before="0" w:after="152" w:line="305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2362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ILI case definition</w:t>
      </w:r>
    </w:p>
    <w:p w:rsidR="007000AF" w:rsidRPr="0005017D" w:rsidRDefault="007000AF" w:rsidP="007000AF">
      <w:pPr>
        <w:pStyle w:val="NormalWeb"/>
        <w:spacing w:before="0" w:beforeAutospacing="0" w:after="305" w:afterAutospacing="0" w:line="305" w:lineRule="atLeast"/>
        <w:textAlignment w:val="baseline"/>
      </w:pPr>
      <w:r w:rsidRPr="0005017D">
        <w:t>An acute respiratory infection with:</w:t>
      </w:r>
    </w:p>
    <w:p w:rsidR="007000AF" w:rsidRPr="0005017D" w:rsidRDefault="007000AF" w:rsidP="007000AF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measured fever of ≥ 38 C°</w:t>
      </w:r>
    </w:p>
    <w:p w:rsidR="007000AF" w:rsidRPr="0005017D" w:rsidRDefault="007000AF" w:rsidP="007000AF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and cough;</w:t>
      </w:r>
    </w:p>
    <w:p w:rsidR="007000AF" w:rsidRPr="0005017D" w:rsidRDefault="007000AF" w:rsidP="007000AF">
      <w:pPr>
        <w:numPr>
          <w:ilvl w:val="0"/>
          <w:numId w:val="1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017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5017D">
        <w:rPr>
          <w:rFonts w:ascii="Times New Roman" w:hAnsi="Times New Roman" w:cs="Times New Roman"/>
          <w:sz w:val="24"/>
          <w:szCs w:val="24"/>
        </w:rPr>
        <w:t xml:space="preserve"> onset within the last 10 days.</w:t>
      </w:r>
    </w:p>
    <w:p w:rsidR="007000AF" w:rsidRPr="0005017D" w:rsidRDefault="007000AF" w:rsidP="007000AF">
      <w:pPr>
        <w:pStyle w:val="Heading3"/>
        <w:spacing w:before="0" w:after="152" w:line="305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2362E">
        <w:rPr>
          <w:rFonts w:ascii="Times New Roman" w:hAnsi="Times New Roman" w:cs="Times New Roman"/>
          <w:color w:val="auto"/>
          <w:sz w:val="24"/>
          <w:szCs w:val="24"/>
          <w:highlight w:val="yellow"/>
        </w:rPr>
        <w:lastRenderedPageBreak/>
        <w:t>SARI case definition</w:t>
      </w:r>
    </w:p>
    <w:p w:rsidR="007000AF" w:rsidRPr="0005017D" w:rsidRDefault="007000AF" w:rsidP="007000AF">
      <w:pPr>
        <w:pStyle w:val="NormalWeb"/>
        <w:spacing w:before="0" w:beforeAutospacing="0" w:after="305" w:afterAutospacing="0" w:line="305" w:lineRule="atLeast"/>
        <w:textAlignment w:val="baseline"/>
      </w:pPr>
      <w:r w:rsidRPr="0005017D">
        <w:t>An acute respiratory infection with:</w:t>
      </w:r>
    </w:p>
    <w:p w:rsidR="007000AF" w:rsidRPr="0005017D" w:rsidRDefault="007000AF" w:rsidP="007000AF">
      <w:pPr>
        <w:numPr>
          <w:ilvl w:val="0"/>
          <w:numId w:val="2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history of fever or measured fever of ≥ 38 C°;</w:t>
      </w:r>
    </w:p>
    <w:p w:rsidR="007000AF" w:rsidRPr="0005017D" w:rsidRDefault="007000AF" w:rsidP="007000AF">
      <w:pPr>
        <w:numPr>
          <w:ilvl w:val="0"/>
          <w:numId w:val="2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and cough;</w:t>
      </w:r>
    </w:p>
    <w:p w:rsidR="007000AF" w:rsidRPr="0005017D" w:rsidRDefault="007000AF" w:rsidP="007000AF">
      <w:pPr>
        <w:numPr>
          <w:ilvl w:val="0"/>
          <w:numId w:val="2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with onset within the last 10 days;</w:t>
      </w:r>
    </w:p>
    <w:p w:rsidR="007000AF" w:rsidRPr="0005017D" w:rsidRDefault="007000AF" w:rsidP="007000AF">
      <w:pPr>
        <w:numPr>
          <w:ilvl w:val="0"/>
          <w:numId w:val="2"/>
        </w:numPr>
        <w:spacing w:after="0" w:line="254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017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5017D">
        <w:rPr>
          <w:rFonts w:ascii="Times New Roman" w:hAnsi="Times New Roman" w:cs="Times New Roman"/>
          <w:sz w:val="24"/>
          <w:szCs w:val="24"/>
        </w:rPr>
        <w:t xml:space="preserve"> requires hospitalization.</w:t>
      </w:r>
    </w:p>
    <w:p w:rsidR="004E2AC3" w:rsidRPr="0005017D" w:rsidRDefault="007000AF">
      <w:pPr>
        <w:rPr>
          <w:rFonts w:ascii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 xml:space="preserve">Acute respiratory illness (ARI): Sudden onset of respiratory infection symptoms </w:t>
      </w:r>
      <w:proofErr w:type="gramStart"/>
      <w:r w:rsidRPr="0005017D">
        <w:rPr>
          <w:rFonts w:ascii="Times New Roman" w:hAnsi="Times New Roman" w:cs="Times New Roman"/>
          <w:sz w:val="24"/>
          <w:szCs w:val="24"/>
        </w:rPr>
        <w:t>( cough</w:t>
      </w:r>
      <w:proofErr w:type="gramEnd"/>
      <w:r w:rsidRPr="0005017D">
        <w:rPr>
          <w:rFonts w:ascii="Times New Roman" w:hAnsi="Times New Roman" w:cs="Times New Roman"/>
          <w:sz w:val="24"/>
          <w:szCs w:val="24"/>
        </w:rPr>
        <w:t xml:space="preserve">, sore throat shortness of breath, </w:t>
      </w:r>
      <w:proofErr w:type="spellStart"/>
      <w:r w:rsidRPr="0005017D">
        <w:rPr>
          <w:rFonts w:ascii="Times New Roman" w:hAnsi="Times New Roman" w:cs="Times New Roman"/>
          <w:sz w:val="24"/>
          <w:szCs w:val="24"/>
        </w:rPr>
        <w:t>coryza</w:t>
      </w:r>
      <w:proofErr w:type="spellEnd"/>
      <w:r w:rsidRPr="0005017D">
        <w:rPr>
          <w:rFonts w:ascii="Times New Roman" w:hAnsi="Times New Roman" w:cs="Times New Roman"/>
          <w:sz w:val="24"/>
          <w:szCs w:val="24"/>
        </w:rPr>
        <w:t>)</w:t>
      </w:r>
    </w:p>
    <w:p w:rsidR="007000AF" w:rsidRPr="00836DF9" w:rsidRDefault="004E2AC3" w:rsidP="007000AF">
      <w:pPr>
        <w:pStyle w:val="Heading5"/>
        <w:shd w:val="clear" w:color="auto" w:fill="FFFFFF"/>
        <w:spacing w:before="0" w:line="305" w:lineRule="atLeast"/>
        <w:ind w:right="339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362E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Viral hepatitis</w:t>
      </w:r>
      <w:r w:rsidR="007000AF" w:rsidRPr="00B2362E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 xml:space="preserve"> WHO case definition</w:t>
      </w:r>
    </w:p>
    <w:p w:rsidR="007000AF" w:rsidRPr="0005017D" w:rsidRDefault="007000AF" w:rsidP="007000AF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Clinical description</w:t>
      </w:r>
    </w:p>
    <w:p w:rsidR="007000AF" w:rsidRPr="0005017D" w:rsidRDefault="007000AF" w:rsidP="007000AF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dr w:val="none" w:sz="0" w:space="0" w:color="auto" w:frame="1"/>
        </w:rPr>
        <w:t xml:space="preserve">An acute illness typically including acute jaundice, dark urine, anorexia, malaise, extreme fatigue and right upper quadrant tenderness. Biological signs include increased urine </w:t>
      </w:r>
      <w:proofErr w:type="spellStart"/>
      <w:r w:rsidRPr="0005017D">
        <w:rPr>
          <w:bdr w:val="none" w:sz="0" w:space="0" w:color="auto" w:frame="1"/>
        </w:rPr>
        <w:t>urobilonogen</w:t>
      </w:r>
      <w:proofErr w:type="spellEnd"/>
      <w:r w:rsidRPr="0005017D">
        <w:rPr>
          <w:bdr w:val="none" w:sz="0" w:space="0" w:color="auto" w:frame="1"/>
        </w:rPr>
        <w:t xml:space="preserve"> and &gt;2.5 times the upper limit of serum alanine aminotransferase</w:t>
      </w:r>
    </w:p>
    <w:p w:rsidR="007000AF" w:rsidRPr="0005017D" w:rsidRDefault="007000AF" w:rsidP="007000AF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i/>
          <w:iCs/>
          <w:bdr w:val="none" w:sz="0" w:space="0" w:color="auto" w:frame="1"/>
        </w:rPr>
        <w:t>Note:</w:t>
      </w:r>
      <w:r w:rsidRPr="0005017D">
        <w:rPr>
          <w:bdr w:val="none" w:sz="0" w:space="0" w:color="auto" w:frame="1"/>
        </w:rPr>
        <w:t> Most infections occur during early childhood. A variable proportion of adult infections are asymptomatic</w:t>
      </w:r>
    </w:p>
    <w:p w:rsidR="007000AF" w:rsidRPr="0005017D" w:rsidRDefault="007000AF" w:rsidP="007000AF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Laboratory criteria for diagnosis</w:t>
      </w:r>
    </w:p>
    <w:p w:rsidR="007000AF" w:rsidRPr="0005017D" w:rsidRDefault="007000AF" w:rsidP="007000AF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/>
          <w:bCs/>
          <w:bdr w:val="none" w:sz="0" w:space="0" w:color="auto" w:frame="1"/>
        </w:rPr>
        <w:t>Hepatitis A:</w:t>
      </w:r>
      <w:r w:rsidRPr="0005017D">
        <w:rPr>
          <w:bdr w:val="none" w:sz="0" w:space="0" w:color="auto" w:frame="1"/>
        </w:rPr>
        <w:t> positive for IgM anti-HAV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Hepatitis B:</w:t>
      </w:r>
      <w:r w:rsidRPr="0005017D">
        <w:rPr>
          <w:bdr w:val="none" w:sz="0" w:space="0" w:color="auto" w:frame="1"/>
        </w:rPr>
        <w:t> positive for IgM anti-</w:t>
      </w:r>
      <w:proofErr w:type="spellStart"/>
      <w:r w:rsidRPr="0005017D">
        <w:rPr>
          <w:bdr w:val="none" w:sz="0" w:space="0" w:color="auto" w:frame="1"/>
        </w:rPr>
        <w:t>HBc</w:t>
      </w:r>
      <w:proofErr w:type="spellEnd"/>
      <w:r w:rsidRPr="0005017D">
        <w:rPr>
          <w:bdr w:val="none" w:sz="0" w:space="0" w:color="auto" w:frame="1"/>
        </w:rPr>
        <w:t xml:space="preserve"> or (less desirably) hepatitis B surface antigen (</w:t>
      </w:r>
      <w:proofErr w:type="spellStart"/>
      <w:r w:rsidRPr="0005017D">
        <w:rPr>
          <w:bdr w:val="none" w:sz="0" w:space="0" w:color="auto" w:frame="1"/>
        </w:rPr>
        <w:t>HBsAg</w:t>
      </w:r>
      <w:proofErr w:type="spellEnd"/>
      <w:proofErr w:type="gramStart"/>
      <w:r w:rsidRPr="0005017D">
        <w:rPr>
          <w:bdr w:val="none" w:sz="0" w:space="0" w:color="auto" w:frame="1"/>
        </w:rPr>
        <w:t>)</w:t>
      </w:r>
      <w:proofErr w:type="gramEnd"/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Non-A, non-B:</w:t>
      </w:r>
      <w:r w:rsidRPr="0005017D">
        <w:rPr>
          <w:bdr w:val="none" w:sz="0" w:space="0" w:color="auto" w:frame="1"/>
        </w:rPr>
        <w:t> negative for IgM anti-HAV and IgM anti-</w:t>
      </w:r>
      <w:proofErr w:type="spellStart"/>
      <w:r w:rsidRPr="0005017D">
        <w:rPr>
          <w:bdr w:val="none" w:sz="0" w:space="0" w:color="auto" w:frame="1"/>
        </w:rPr>
        <w:t>HBc</w:t>
      </w:r>
      <w:proofErr w:type="spellEnd"/>
      <w:r w:rsidRPr="0005017D">
        <w:rPr>
          <w:bdr w:val="none" w:sz="0" w:space="0" w:color="auto" w:frame="1"/>
        </w:rPr>
        <w:t xml:space="preserve"> or (less desirably) </w:t>
      </w:r>
      <w:proofErr w:type="spellStart"/>
      <w:r w:rsidRPr="0005017D">
        <w:rPr>
          <w:bdr w:val="none" w:sz="0" w:space="0" w:color="auto" w:frame="1"/>
        </w:rPr>
        <w:t>HBsAg</w:t>
      </w:r>
      <w:proofErr w:type="spellEnd"/>
      <w:r w:rsidRPr="0005017D">
        <w:rPr>
          <w:bdr w:val="none" w:sz="0" w:space="0" w:color="auto" w:frame="1"/>
        </w:rPr>
        <w:br/>
      </w:r>
      <w:r w:rsidRPr="0005017D">
        <w:rPr>
          <w:i/>
          <w:iCs/>
          <w:bdr w:val="none" w:sz="0" w:space="0" w:color="auto" w:frame="1"/>
        </w:rPr>
        <w:t>Note:</w:t>
      </w:r>
      <w:r w:rsidRPr="0005017D">
        <w:rPr>
          <w:bdr w:val="none" w:sz="0" w:space="0" w:color="auto" w:frame="1"/>
        </w:rPr>
        <w:t> The anti-</w:t>
      </w:r>
      <w:proofErr w:type="spellStart"/>
      <w:r w:rsidRPr="0005017D">
        <w:rPr>
          <w:bdr w:val="none" w:sz="0" w:space="0" w:color="auto" w:frame="1"/>
        </w:rPr>
        <w:t>HBc</w:t>
      </w:r>
      <w:proofErr w:type="spellEnd"/>
      <w:r w:rsidRPr="0005017D">
        <w:rPr>
          <w:bdr w:val="none" w:sz="0" w:space="0" w:color="auto" w:frame="1"/>
        </w:rPr>
        <w:t xml:space="preserve"> IgM test, specific for acute infection, is not available in most countries. </w:t>
      </w:r>
      <w:proofErr w:type="spellStart"/>
      <w:r w:rsidRPr="0005017D">
        <w:rPr>
          <w:bdr w:val="none" w:sz="0" w:space="0" w:color="auto" w:frame="1"/>
        </w:rPr>
        <w:t>HBsAg</w:t>
      </w:r>
      <w:proofErr w:type="spellEnd"/>
      <w:r w:rsidRPr="0005017D">
        <w:rPr>
          <w:bdr w:val="none" w:sz="0" w:space="0" w:color="auto" w:frame="1"/>
        </w:rPr>
        <w:t xml:space="preserve"> is often available but is less desirable since it cannot distinguish acute new infections from exacerbation of chronic hepatitis B. Nevertheless, continued </w:t>
      </w:r>
      <w:proofErr w:type="spellStart"/>
      <w:r w:rsidRPr="0005017D">
        <w:rPr>
          <w:bdr w:val="none" w:sz="0" w:space="0" w:color="auto" w:frame="1"/>
        </w:rPr>
        <w:t>HBsAg</w:t>
      </w:r>
      <w:proofErr w:type="spellEnd"/>
      <w:r w:rsidRPr="0005017D">
        <w:rPr>
          <w:bdr w:val="none" w:sz="0" w:space="0" w:color="auto" w:frame="1"/>
        </w:rPr>
        <w:t xml:space="preserve"> </w:t>
      </w:r>
      <w:proofErr w:type="spellStart"/>
      <w:r w:rsidRPr="0005017D">
        <w:rPr>
          <w:bdr w:val="none" w:sz="0" w:space="0" w:color="auto" w:frame="1"/>
        </w:rPr>
        <w:t>seropositivity</w:t>
      </w:r>
      <w:proofErr w:type="spellEnd"/>
      <w:r w:rsidRPr="0005017D">
        <w:rPr>
          <w:bdr w:val="none" w:sz="0" w:space="0" w:color="auto" w:frame="1"/>
        </w:rPr>
        <w:t xml:space="preserve"> (&gt; six months) is an indicator of chronic infection. For patients with non-A, non-B, the following testing is used for a diagnosis of acute hepatitis C, D or E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Hepatitis C:</w:t>
      </w:r>
      <w:r w:rsidRPr="0005017D">
        <w:rPr>
          <w:bdr w:val="none" w:sz="0" w:space="0" w:color="auto" w:frame="1"/>
        </w:rPr>
        <w:t> positive for anti-HCV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Hepatitis D:</w:t>
      </w:r>
      <w:r w:rsidRPr="0005017D">
        <w:rPr>
          <w:bdr w:val="none" w:sz="0" w:space="0" w:color="auto" w:frame="1"/>
        </w:rPr>
        <w:t> positive for IgM anti-</w:t>
      </w:r>
      <w:proofErr w:type="spellStart"/>
      <w:r w:rsidRPr="0005017D">
        <w:rPr>
          <w:bdr w:val="none" w:sz="0" w:space="0" w:color="auto" w:frame="1"/>
        </w:rPr>
        <w:t>HBc</w:t>
      </w:r>
      <w:proofErr w:type="spellEnd"/>
      <w:r w:rsidRPr="0005017D">
        <w:rPr>
          <w:bdr w:val="none" w:sz="0" w:space="0" w:color="auto" w:frame="1"/>
        </w:rPr>
        <w:t xml:space="preserve"> or (less desirably) </w:t>
      </w:r>
      <w:proofErr w:type="spellStart"/>
      <w:r w:rsidRPr="0005017D">
        <w:rPr>
          <w:bdr w:val="none" w:sz="0" w:space="0" w:color="auto" w:frame="1"/>
        </w:rPr>
        <w:t>HBsAg</w:t>
      </w:r>
      <w:proofErr w:type="spellEnd"/>
      <w:r w:rsidRPr="0005017D">
        <w:rPr>
          <w:bdr w:val="none" w:sz="0" w:space="0" w:color="auto" w:frame="1"/>
        </w:rPr>
        <w:t xml:space="preserve"> plus anti-HDV positive (N.B. only occurs as co-infection or superinfection of hepatitis B</w:t>
      </w:r>
      <w:proofErr w:type="gramStart"/>
      <w:r w:rsidRPr="0005017D">
        <w:rPr>
          <w:bdr w:val="none" w:sz="0" w:space="0" w:color="auto" w:frame="1"/>
        </w:rPr>
        <w:t>)</w:t>
      </w:r>
      <w:proofErr w:type="gramEnd"/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Hepatitis E:</w:t>
      </w:r>
      <w:r w:rsidRPr="0005017D">
        <w:rPr>
          <w:bdr w:val="none" w:sz="0" w:space="0" w:color="auto" w:frame="1"/>
        </w:rPr>
        <w:t> positive for IgM anti-HEV</w:t>
      </w:r>
    </w:p>
    <w:p w:rsidR="007000AF" w:rsidRPr="0005017D" w:rsidRDefault="007000AF" w:rsidP="007000AF">
      <w:pPr>
        <w:pStyle w:val="Heading4"/>
        <w:shd w:val="clear" w:color="auto" w:fill="FFFFFF"/>
        <w:spacing w:before="0" w:after="102" w:line="305" w:lineRule="atLeast"/>
        <w:ind w:right="33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5017D">
        <w:rPr>
          <w:rFonts w:ascii="Times New Roman" w:hAnsi="Times New Roman" w:cs="Times New Roman"/>
          <w:color w:val="auto"/>
          <w:sz w:val="24"/>
          <w:szCs w:val="24"/>
        </w:rPr>
        <w:t>Case classification</w:t>
      </w:r>
    </w:p>
    <w:p w:rsidR="007000AF" w:rsidRPr="0005017D" w:rsidRDefault="007000AF" w:rsidP="007000AF">
      <w:pPr>
        <w:pStyle w:val="NormalWeb"/>
        <w:shd w:val="clear" w:color="auto" w:fill="FFFFFF"/>
        <w:spacing w:before="0" w:beforeAutospacing="0" w:after="0" w:afterAutospacing="0" w:line="305" w:lineRule="atLeast"/>
        <w:ind w:right="339"/>
        <w:textAlignment w:val="baseline"/>
      </w:pPr>
      <w:r w:rsidRPr="0005017D">
        <w:rPr>
          <w:b/>
          <w:bCs/>
          <w:bdr w:val="none" w:sz="0" w:space="0" w:color="auto" w:frame="1"/>
        </w:rPr>
        <w:t>Suspected:</w:t>
      </w:r>
      <w:r w:rsidRPr="0005017D">
        <w:rPr>
          <w:bdr w:val="none" w:sz="0" w:space="0" w:color="auto" w:frame="1"/>
        </w:rPr>
        <w:t> A case that is compatible with the clinical description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Probable:</w:t>
      </w:r>
      <w:r w:rsidRPr="0005017D">
        <w:rPr>
          <w:bdr w:val="none" w:sz="0" w:space="0" w:color="auto" w:frame="1"/>
        </w:rPr>
        <w:t> Not applicable</w:t>
      </w:r>
      <w:r w:rsidRPr="0005017D">
        <w:rPr>
          <w:bdr w:val="none" w:sz="0" w:space="0" w:color="auto" w:frame="1"/>
        </w:rPr>
        <w:br/>
      </w:r>
      <w:r w:rsidRPr="0005017D">
        <w:rPr>
          <w:b/>
          <w:bCs/>
          <w:bdr w:val="none" w:sz="0" w:space="0" w:color="auto" w:frame="1"/>
        </w:rPr>
        <w:t>Confirmed:</w:t>
      </w:r>
      <w:r w:rsidRPr="0005017D">
        <w:rPr>
          <w:bdr w:val="none" w:sz="0" w:space="0" w:color="auto" w:frame="1"/>
        </w:rPr>
        <w:t> A suspected case that is laboratory-confirmed </w:t>
      </w:r>
      <w:r w:rsidRPr="0005017D">
        <w:rPr>
          <w:b/>
          <w:bCs/>
          <w:bdr w:val="none" w:sz="0" w:space="0" w:color="auto" w:frame="1"/>
        </w:rPr>
        <w:t>or</w:t>
      </w:r>
      <w:r w:rsidRPr="0005017D">
        <w:rPr>
          <w:bdr w:val="none" w:sz="0" w:space="0" w:color="auto" w:frame="1"/>
        </w:rPr>
        <w:t>, for hepatitis A only, a case compatible with the clinical description in a person who has an epidemiological link (i.e. household or sexual contact with an infected person during the 15-50 days before the onset of symptoms) with a laboratory-confirmed case of hepatitis A</w:t>
      </w:r>
    </w:p>
    <w:p w:rsidR="004E2AC3" w:rsidRPr="0005017D" w:rsidRDefault="004E2AC3">
      <w:pPr>
        <w:rPr>
          <w:rFonts w:ascii="Times New Roman" w:hAnsi="Times New Roman" w:cs="Times New Roman"/>
          <w:sz w:val="24"/>
          <w:szCs w:val="24"/>
        </w:rPr>
      </w:pPr>
    </w:p>
    <w:p w:rsidR="00A214BB" w:rsidRPr="0005017D" w:rsidRDefault="004E2AC3" w:rsidP="00A214BB">
      <w:pPr>
        <w:pStyle w:val="NormalWeb"/>
        <w:spacing w:before="0" w:beforeAutospacing="0" w:after="305" w:afterAutospacing="0" w:line="305" w:lineRule="atLeast"/>
        <w:textAlignment w:val="baseline"/>
      </w:pPr>
      <w:r w:rsidRPr="00B2362E">
        <w:rPr>
          <w:b/>
          <w:bCs/>
          <w:highlight w:val="yellow"/>
        </w:rPr>
        <w:t>Diarrhoea</w:t>
      </w:r>
      <w:r w:rsidR="00836DF9" w:rsidRPr="00B2362E">
        <w:rPr>
          <w:b/>
          <w:bCs/>
          <w:highlight w:val="yellow"/>
        </w:rPr>
        <w:t xml:space="preserve">: WHO </w:t>
      </w:r>
      <w:proofErr w:type="gramStart"/>
      <w:r w:rsidR="00836DF9" w:rsidRPr="00B2362E">
        <w:rPr>
          <w:b/>
          <w:bCs/>
          <w:highlight w:val="yellow"/>
        </w:rPr>
        <w:t>definition</w:t>
      </w:r>
      <w:r w:rsidR="00836DF9">
        <w:rPr>
          <w:b/>
          <w:bCs/>
        </w:rPr>
        <w:t xml:space="preserve"> :</w:t>
      </w:r>
      <w:proofErr w:type="gramEnd"/>
      <w:r w:rsidR="00A214BB" w:rsidRPr="0005017D">
        <w:t xml:space="preserve"> Diarrhoea is the passage of 3 or more loose or liquid stools per day, or more frequently than is normal for the individual. It is usually a symptom of gastrointestinal infection, which can be caused by a variety of bacterial, viral and parasitic organisms. Infection is spread through contaminated food or drinking-water, or from person to person as a result of poor hygiene.</w:t>
      </w:r>
    </w:p>
    <w:p w:rsidR="004E2AC3" w:rsidRPr="0005017D" w:rsidRDefault="004E2AC3">
      <w:pPr>
        <w:rPr>
          <w:rFonts w:ascii="Times New Roman" w:hAnsi="Times New Roman" w:cs="Times New Roman"/>
          <w:sz w:val="24"/>
          <w:szCs w:val="24"/>
        </w:rPr>
      </w:pPr>
    </w:p>
    <w:p w:rsidR="007000AF" w:rsidRPr="0005017D" w:rsidRDefault="004E2AC3" w:rsidP="007000AF">
      <w:pPr>
        <w:rPr>
          <w:rFonts w:ascii="Times New Roman" w:eastAsia="Times New Roman" w:hAnsi="Times New Roman" w:cs="Times New Roman"/>
          <w:sz w:val="24"/>
          <w:szCs w:val="24"/>
        </w:rPr>
      </w:pPr>
      <w:r w:rsidRPr="0005017D">
        <w:rPr>
          <w:rFonts w:ascii="Times New Roman" w:hAnsi="Times New Roman" w:cs="Times New Roman"/>
          <w:sz w:val="24"/>
          <w:szCs w:val="24"/>
        </w:rPr>
        <w:t>AES</w:t>
      </w:r>
      <w:r w:rsidR="007000AF" w:rsidRPr="0005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AF" w:rsidRPr="00B236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shd w:val="clear" w:color="auto" w:fill="FFFFFF"/>
        </w:rPr>
        <w:t>WHO case definition of Acute Encephalitis Syndrome:</w:t>
      </w: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Case Definition of Suspected case:</w:t>
      </w: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            -  Acute onset of fever, not more than 5-7 days duration.</w:t>
      </w: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            -  Change in mental status with/ without:</w:t>
      </w:r>
    </w:p>
    <w:p w:rsidR="007000AF" w:rsidRPr="00836DF9" w:rsidRDefault="007000AF" w:rsidP="0083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New onset of seizures (excluding febrile seizures)</w:t>
      </w:r>
    </w:p>
    <w:p w:rsidR="007000AF" w:rsidRPr="00836DF9" w:rsidRDefault="007000AF" w:rsidP="0083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(Other early clinical findings – may include irritability, somnolence or abnormal behaviour greater than that seen with usual febrile illness).</w:t>
      </w:r>
    </w:p>
    <w:bookmarkEnd w:id="0"/>
    <w:p w:rsidR="007000AF" w:rsidRPr="007000AF" w:rsidRDefault="007000AF" w:rsidP="007000AF">
      <w:pPr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AF" w:rsidRPr="007000AF" w:rsidRDefault="007000AF" w:rsidP="00700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Based on countrywide surveillance data, available in public domain or unpublished data shared by individual researchers, significant Etiological Agents of AES in different parts of India are the following:</w:t>
      </w:r>
    </w:p>
    <w:p w:rsidR="007000AF" w:rsidRPr="007000AF" w:rsidRDefault="007000AF" w:rsidP="00700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AF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encephalitis (JEV)</w:t>
      </w:r>
    </w:p>
    <w:p w:rsidR="00836DF9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proofErr w:type="spellStart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Orientia</w:t>
      </w:r>
      <w:proofErr w:type="spellEnd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tsutsugamushi</w:t>
      </w:r>
      <w:proofErr w:type="spellEnd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(scrub typhus)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 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Dengue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Chikungunya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West Nile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(Reports From Assam &amp; Kerala)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Leptospirosis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(Reports from Assam)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Streptococcus pneumoniae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(~1%);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 Neisseria meningitides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(&lt;1%)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Hemophilus</w:t>
      </w:r>
      <w:proofErr w:type="spellEnd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(&lt;1%)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(Bacterial Meningitis)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Plasmodium falciparum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(Cerebral Malaria)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*Herpes simplex virus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 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*Enteroviruses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(&lt;1%)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Chandipura</w:t>
      </w:r>
      <w:proofErr w:type="spellEnd"/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(Reports from AP, MH, GJ &amp; BH)</w:t>
      </w:r>
    </w:p>
    <w:p w:rsidR="007000AF" w:rsidRPr="00836DF9" w:rsidRDefault="007000AF" w:rsidP="00836DF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F9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  <w:r w:rsidRPr="00836DF9">
        <w:rPr>
          <w:rFonts w:ascii="Times New Roman" w:eastAsia="Times New Roman" w:hAnsi="Times New Roman" w:cs="Times New Roman"/>
          <w:i/>
          <w:iCs/>
          <w:sz w:val="24"/>
          <w:szCs w:val="24"/>
        </w:rPr>
        <w:t>*Mycobacterium Tuberculosis </w:t>
      </w:r>
      <w:r w:rsidRPr="00836DF9">
        <w:rPr>
          <w:rFonts w:ascii="Times New Roman" w:eastAsia="Times New Roman" w:hAnsi="Times New Roman" w:cs="Times New Roman"/>
          <w:sz w:val="24"/>
          <w:szCs w:val="24"/>
        </w:rPr>
        <w:t>(Tubercular Meningitis) </w:t>
      </w:r>
    </w:p>
    <w:p w:rsidR="004E2AC3" w:rsidRPr="0005017D" w:rsidRDefault="004E2AC3">
      <w:pPr>
        <w:rPr>
          <w:rFonts w:ascii="Times New Roman" w:hAnsi="Times New Roman" w:cs="Times New Roman"/>
          <w:sz w:val="24"/>
          <w:szCs w:val="24"/>
        </w:rPr>
      </w:pPr>
    </w:p>
    <w:sectPr w:rsidR="004E2AC3" w:rsidRPr="0005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26"/>
    <w:multiLevelType w:val="hybridMultilevel"/>
    <w:tmpl w:val="78E6AC0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1CD53FC"/>
    <w:multiLevelType w:val="hybridMultilevel"/>
    <w:tmpl w:val="779401A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7F16859"/>
    <w:multiLevelType w:val="multilevel"/>
    <w:tmpl w:val="708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246A5"/>
    <w:multiLevelType w:val="hybridMultilevel"/>
    <w:tmpl w:val="F528BF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A7A715C"/>
    <w:multiLevelType w:val="multilevel"/>
    <w:tmpl w:val="6DE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E4983"/>
    <w:multiLevelType w:val="hybridMultilevel"/>
    <w:tmpl w:val="F58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4AD9"/>
    <w:multiLevelType w:val="multilevel"/>
    <w:tmpl w:val="608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41B9D"/>
    <w:multiLevelType w:val="hybridMultilevel"/>
    <w:tmpl w:val="1B76FEB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3"/>
    <w:rsid w:val="0005017D"/>
    <w:rsid w:val="001A36FE"/>
    <w:rsid w:val="002740F0"/>
    <w:rsid w:val="00412ED1"/>
    <w:rsid w:val="004E2AC3"/>
    <w:rsid w:val="007000AF"/>
    <w:rsid w:val="00836DF9"/>
    <w:rsid w:val="00A214BB"/>
    <w:rsid w:val="00B2362E"/>
    <w:rsid w:val="00D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D4521-1FB1-4A34-9949-6364525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7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0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0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0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83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Jaya Singh Kshatri</cp:lastModifiedBy>
  <cp:revision>3</cp:revision>
  <dcterms:created xsi:type="dcterms:W3CDTF">2020-02-25T06:04:00Z</dcterms:created>
  <dcterms:modified xsi:type="dcterms:W3CDTF">2020-02-25T06:04:00Z</dcterms:modified>
</cp:coreProperties>
</file>