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43394F" w14:textId="0D8D382A" w:rsidR="00751B9E" w:rsidRPr="004F370D" w:rsidRDefault="00751B9E" w:rsidP="003D6FBB">
      <w:pPr>
        <w:pStyle w:val="Heading1"/>
        <w:spacing w:line="276" w:lineRule="auto"/>
        <w:jc w:val="both"/>
        <w:rPr>
          <w:rFonts w:ascii="Times New Roman" w:hAnsi="Times New Roman" w:cs="Times New Roman"/>
          <w:color w:val="000000" w:themeColor="text1"/>
        </w:rPr>
      </w:pPr>
      <w:r w:rsidRPr="004F370D">
        <w:rPr>
          <w:rFonts w:ascii="Times New Roman" w:hAnsi="Times New Roman" w:cs="Times New Roman"/>
          <w:color w:val="000000" w:themeColor="text1"/>
        </w:rPr>
        <w:t xml:space="preserve">Supplementary Material for “Surveillance Optimization to Detect Poliovirus in the Pre-Eradication Era: </w:t>
      </w:r>
      <w:proofErr w:type="gramStart"/>
      <w:r w:rsidRPr="004F370D">
        <w:rPr>
          <w:rFonts w:ascii="Times New Roman" w:hAnsi="Times New Roman" w:cs="Times New Roman"/>
          <w:color w:val="000000" w:themeColor="text1"/>
        </w:rPr>
        <w:t>a</w:t>
      </w:r>
      <w:proofErr w:type="gramEnd"/>
      <w:r w:rsidRPr="004F370D">
        <w:rPr>
          <w:rFonts w:ascii="Times New Roman" w:hAnsi="Times New Roman" w:cs="Times New Roman"/>
          <w:color w:val="000000" w:themeColor="text1"/>
        </w:rPr>
        <w:t xml:space="preserve"> Modelling Study of England and Wales”</w:t>
      </w:r>
    </w:p>
    <w:p w14:paraId="3F1B7AFF" w14:textId="77777777" w:rsidR="00751B9E" w:rsidRPr="004F370D" w:rsidRDefault="00751B9E" w:rsidP="003D6FBB">
      <w:pPr>
        <w:spacing w:line="276" w:lineRule="auto"/>
        <w:jc w:val="both"/>
        <w:rPr>
          <w:rFonts w:ascii="Times New Roman" w:hAnsi="Times New Roman" w:cs="Times New Roman"/>
          <w:color w:val="000000" w:themeColor="text1"/>
        </w:rPr>
      </w:pPr>
    </w:p>
    <w:p w14:paraId="0E375BFB" w14:textId="097993C0" w:rsidR="004F4C7B" w:rsidRDefault="004F4C7B" w:rsidP="003D6FBB">
      <w:pPr>
        <w:pStyle w:val="ListParagraph"/>
        <w:numPr>
          <w:ilvl w:val="0"/>
          <w:numId w:val="1"/>
        </w:numPr>
        <w:spacing w:line="276" w:lineRule="auto"/>
        <w:jc w:val="both"/>
        <w:rPr>
          <w:rFonts w:ascii="Times New Roman" w:hAnsi="Times New Roman" w:cs="Times New Roman"/>
          <w:b/>
          <w:color w:val="000000" w:themeColor="text1"/>
        </w:rPr>
      </w:pPr>
      <w:r>
        <w:rPr>
          <w:rFonts w:ascii="Times New Roman" w:hAnsi="Times New Roman" w:cs="Times New Roman"/>
          <w:b/>
          <w:color w:val="000000" w:themeColor="text1"/>
        </w:rPr>
        <w:t>Vaccination coverage of the pentavalent vaccine</w:t>
      </w:r>
    </w:p>
    <w:p w14:paraId="1825EC97" w14:textId="16A7E3FB" w:rsidR="004F4C7B" w:rsidRDefault="004F4C7B" w:rsidP="003D6FBB">
      <w:pPr>
        <w:spacing w:line="276" w:lineRule="auto"/>
        <w:jc w:val="both"/>
        <w:rPr>
          <w:rFonts w:ascii="Times New Roman" w:hAnsi="Times New Roman" w:cs="Times New Roman"/>
          <w:b/>
          <w:color w:val="000000" w:themeColor="text1"/>
        </w:rPr>
      </w:pPr>
    </w:p>
    <w:p w14:paraId="23A2E820" w14:textId="046DA5AD" w:rsidR="004F4C7B" w:rsidRPr="00AC0C25" w:rsidRDefault="004F4C7B" w:rsidP="003D6FBB">
      <w:pPr>
        <w:pStyle w:val="Caption"/>
        <w:jc w:val="both"/>
        <w:rPr>
          <w:i w:val="0"/>
          <w:color w:val="000000" w:themeColor="text1"/>
        </w:rPr>
      </w:pPr>
      <w:r w:rsidRPr="00AC0C25">
        <w:rPr>
          <w:b/>
          <w:i w:val="0"/>
          <w:color w:val="000000" w:themeColor="text1"/>
        </w:rPr>
        <w:t>Figure 1.</w:t>
      </w:r>
      <w:r w:rsidRPr="00AC0C25">
        <w:rPr>
          <w:i w:val="0"/>
          <w:color w:val="000000" w:themeColor="text1"/>
        </w:rPr>
        <w:t xml:space="preserve"> Average pentavalent coverage in children under 5 years of age by Local Authority within A) England and Wales and B) London Boroughs, 2011-2016. Local authorities that report coverage below 90% are highlighted.</w:t>
      </w:r>
    </w:p>
    <w:p w14:paraId="3BAFCCCC" w14:textId="77777777" w:rsidR="004F4C7B" w:rsidRDefault="004F4C7B" w:rsidP="003D6FBB">
      <w:pPr>
        <w:pStyle w:val="Caption"/>
        <w:jc w:val="both"/>
      </w:pPr>
    </w:p>
    <w:p w14:paraId="62507849" w14:textId="77777777" w:rsidR="004F4C7B" w:rsidRPr="00276B9C" w:rsidRDefault="004F4C7B" w:rsidP="003D6FBB">
      <w:pPr>
        <w:jc w:val="both"/>
        <w:sectPr w:rsidR="004F4C7B" w:rsidRPr="00276B9C" w:rsidSect="008036E5">
          <w:pgSz w:w="11900" w:h="16840"/>
          <w:pgMar w:top="720" w:right="720" w:bottom="720" w:left="720" w:header="708" w:footer="708" w:gutter="0"/>
          <w:cols w:space="708"/>
          <w:docGrid w:linePitch="360"/>
        </w:sectPr>
      </w:pPr>
      <w:r>
        <w:rPr>
          <w:noProof/>
        </w:rPr>
        <w:drawing>
          <wp:inline distT="0" distB="0" distL="0" distR="0" wp14:anchorId="442381FA" wp14:editId="213E3E85">
            <wp:extent cx="6642100" cy="6642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_pentavalent_20Oct18.pdf"/>
                    <pic:cNvPicPr/>
                  </pic:nvPicPr>
                  <pic:blipFill>
                    <a:blip r:embed="rId5">
                      <a:extLst>
                        <a:ext uri="{28A0092B-C50C-407E-A947-70E740481C1C}">
                          <a14:useLocalDpi xmlns:a14="http://schemas.microsoft.com/office/drawing/2010/main" val="0"/>
                        </a:ext>
                      </a:extLst>
                    </a:blip>
                    <a:stretch>
                      <a:fillRect/>
                    </a:stretch>
                  </pic:blipFill>
                  <pic:spPr>
                    <a:xfrm>
                      <a:off x="0" y="0"/>
                      <a:ext cx="6642100" cy="6642100"/>
                    </a:xfrm>
                    <a:prstGeom prst="rect">
                      <a:avLst/>
                    </a:prstGeom>
                  </pic:spPr>
                </pic:pic>
              </a:graphicData>
            </a:graphic>
          </wp:inline>
        </w:drawing>
      </w:r>
    </w:p>
    <w:p w14:paraId="41E1DA77" w14:textId="77777777" w:rsidR="004F4C7B" w:rsidRPr="004F4C7B" w:rsidRDefault="004F4C7B" w:rsidP="003D6FBB">
      <w:pPr>
        <w:spacing w:line="276" w:lineRule="auto"/>
        <w:jc w:val="both"/>
        <w:rPr>
          <w:rFonts w:ascii="Times New Roman" w:hAnsi="Times New Roman" w:cs="Times New Roman"/>
          <w:b/>
          <w:color w:val="000000" w:themeColor="text1"/>
        </w:rPr>
      </w:pPr>
    </w:p>
    <w:p w14:paraId="60998C13" w14:textId="77777777" w:rsidR="004F4C7B" w:rsidRDefault="004F4C7B" w:rsidP="003D6FBB">
      <w:pPr>
        <w:pStyle w:val="ListParagraph"/>
        <w:spacing w:line="276" w:lineRule="auto"/>
        <w:jc w:val="both"/>
        <w:rPr>
          <w:rFonts w:ascii="Times New Roman" w:hAnsi="Times New Roman" w:cs="Times New Roman"/>
          <w:b/>
          <w:color w:val="000000" w:themeColor="text1"/>
        </w:rPr>
      </w:pPr>
    </w:p>
    <w:p w14:paraId="5DB22AA7" w14:textId="7CD05D55" w:rsidR="00A51797" w:rsidRDefault="00A51797" w:rsidP="003D6FBB">
      <w:pPr>
        <w:pStyle w:val="ListParagraph"/>
        <w:numPr>
          <w:ilvl w:val="0"/>
          <w:numId w:val="1"/>
        </w:numPr>
        <w:spacing w:line="276" w:lineRule="auto"/>
        <w:jc w:val="both"/>
        <w:rPr>
          <w:rFonts w:ascii="Times New Roman" w:hAnsi="Times New Roman" w:cs="Times New Roman"/>
          <w:b/>
          <w:color w:val="000000" w:themeColor="text1"/>
        </w:rPr>
      </w:pPr>
      <w:r>
        <w:rPr>
          <w:rFonts w:ascii="Times New Roman" w:hAnsi="Times New Roman" w:cs="Times New Roman"/>
          <w:b/>
          <w:color w:val="000000" w:themeColor="text1"/>
        </w:rPr>
        <w:t>Water companies and likely sewage treatment works serving high risk local authorities</w:t>
      </w:r>
    </w:p>
    <w:p w14:paraId="16A35D3F" w14:textId="300D074D" w:rsidR="00A51797" w:rsidRDefault="00A51797" w:rsidP="003D6FBB">
      <w:pPr>
        <w:spacing w:line="276" w:lineRule="auto"/>
        <w:jc w:val="both"/>
        <w:rPr>
          <w:rFonts w:ascii="Times New Roman" w:hAnsi="Times New Roman" w:cs="Times New Roman"/>
          <w:b/>
          <w:color w:val="000000" w:themeColor="text1"/>
        </w:rPr>
      </w:pPr>
    </w:p>
    <w:p w14:paraId="3691E2BB" w14:textId="77777777" w:rsidR="00A51797" w:rsidRDefault="00A51797" w:rsidP="003D6FBB">
      <w:pPr>
        <w:spacing w:line="276" w:lineRule="auto"/>
        <w:jc w:val="both"/>
        <w:rPr>
          <w:rFonts w:ascii="Times New Roman" w:hAnsi="Times New Roman" w:cs="Times New Roman"/>
          <w:b/>
          <w:color w:val="000000" w:themeColor="text1"/>
        </w:rPr>
      </w:pPr>
      <w:r>
        <w:rPr>
          <w:rFonts w:ascii="Times New Roman" w:hAnsi="Times New Roman" w:cs="Times New Roman"/>
          <w:b/>
          <w:i/>
          <w:iCs/>
          <w:color w:val="000000" w:themeColor="text1"/>
        </w:rPr>
        <w:t>Severn Trent water company</w:t>
      </w:r>
    </w:p>
    <w:p w14:paraId="30C1DDCC" w14:textId="77777777" w:rsidR="00A51797" w:rsidRDefault="00A51797" w:rsidP="003D6FBB">
      <w:pPr>
        <w:spacing w:line="276" w:lineRule="auto"/>
        <w:jc w:val="both"/>
        <w:rPr>
          <w:rFonts w:ascii="Times New Roman" w:hAnsi="Times New Roman" w:cs="Times New Roman"/>
          <w:b/>
          <w:color w:val="000000" w:themeColor="text1"/>
        </w:rPr>
      </w:pPr>
    </w:p>
    <w:p w14:paraId="7EDDEFB5" w14:textId="0958C245" w:rsidR="00A51797" w:rsidRDefault="00A51797" w:rsidP="003D6FBB">
      <w:pPr>
        <w:spacing w:line="276" w:lineRule="auto"/>
        <w:jc w:val="both"/>
        <w:rPr>
          <w:rFonts w:ascii="Times New Roman" w:hAnsi="Times New Roman" w:cs="Times New Roman"/>
          <w:bCs/>
          <w:color w:val="000000" w:themeColor="text1"/>
        </w:rPr>
      </w:pPr>
      <w:r>
        <w:rPr>
          <w:rFonts w:ascii="Times New Roman" w:hAnsi="Times New Roman" w:cs="Times New Roman"/>
          <w:bCs/>
          <w:color w:val="000000" w:themeColor="text1"/>
        </w:rPr>
        <w:t>Severn Trent water company serves cities such as Birmingham, Nottingham, Leicester and Wolverhampton, as described on their website (</w:t>
      </w:r>
      <w:r w:rsidRPr="00A51797">
        <w:rPr>
          <w:rFonts w:ascii="Times New Roman" w:hAnsi="Times New Roman" w:cs="Times New Roman"/>
          <w:bCs/>
          <w:color w:val="000000" w:themeColor="text1"/>
        </w:rPr>
        <w:t>https://www.severntrent.com/content/dam/stw-plc/water-resource-zones/WRMP-main-narrative.a.pdf</w:t>
      </w:r>
      <w:r>
        <w:rPr>
          <w:rFonts w:ascii="Times New Roman" w:hAnsi="Times New Roman" w:cs="Times New Roman"/>
          <w:bCs/>
          <w:color w:val="000000" w:themeColor="text1"/>
        </w:rPr>
        <w:t xml:space="preserve">). </w:t>
      </w:r>
      <w:r w:rsidR="003645F3">
        <w:rPr>
          <w:rFonts w:ascii="Times New Roman" w:hAnsi="Times New Roman" w:cs="Times New Roman"/>
          <w:bCs/>
          <w:color w:val="000000" w:themeColor="text1"/>
        </w:rPr>
        <w:t xml:space="preserve">Minworth sewage treatment works (in Sutton Coldfield) serves the area of Birmingham City. </w:t>
      </w:r>
      <w:r w:rsidR="003645F3" w:rsidRPr="005E04EA">
        <w:rPr>
          <w:rFonts w:ascii="Times New Roman" w:hAnsi="Times New Roman" w:cs="Times New Roman"/>
          <w:bCs/>
          <w:color w:val="000000" w:themeColor="text1"/>
        </w:rPr>
        <w:t xml:space="preserve">The sewage treatment works of </w:t>
      </w:r>
      <w:r w:rsidR="005E04EA">
        <w:rPr>
          <w:rFonts w:ascii="Times New Roman" w:hAnsi="Times New Roman" w:cs="Times New Roman"/>
          <w:bCs/>
          <w:color w:val="000000" w:themeColor="text1"/>
        </w:rPr>
        <w:t xml:space="preserve">Stoke </w:t>
      </w:r>
      <w:proofErr w:type="spellStart"/>
      <w:r w:rsidR="005E04EA">
        <w:rPr>
          <w:rFonts w:ascii="Times New Roman" w:hAnsi="Times New Roman" w:cs="Times New Roman"/>
          <w:bCs/>
          <w:color w:val="000000" w:themeColor="text1"/>
        </w:rPr>
        <w:t>Bardolph</w:t>
      </w:r>
      <w:proofErr w:type="spellEnd"/>
      <w:r w:rsidR="005E04EA">
        <w:rPr>
          <w:rFonts w:ascii="Times New Roman" w:hAnsi="Times New Roman" w:cs="Times New Roman"/>
          <w:bCs/>
          <w:color w:val="000000" w:themeColor="text1"/>
        </w:rPr>
        <w:t xml:space="preserve"> is the likely treatment works that serves the Nottingham area.</w:t>
      </w:r>
    </w:p>
    <w:p w14:paraId="79730314" w14:textId="4C4A1DCF" w:rsidR="005E04EA" w:rsidRDefault="005E04EA" w:rsidP="003D6FBB">
      <w:pPr>
        <w:spacing w:line="276" w:lineRule="auto"/>
        <w:jc w:val="both"/>
        <w:rPr>
          <w:rFonts w:ascii="Times New Roman" w:hAnsi="Times New Roman" w:cs="Times New Roman"/>
          <w:bCs/>
          <w:color w:val="000000" w:themeColor="text1"/>
        </w:rPr>
      </w:pPr>
    </w:p>
    <w:p w14:paraId="52667EAA" w14:textId="7DDEB069" w:rsidR="005E04EA" w:rsidRDefault="005E04EA" w:rsidP="003D6FBB">
      <w:pPr>
        <w:spacing w:line="276" w:lineRule="auto"/>
        <w:jc w:val="both"/>
        <w:rPr>
          <w:rFonts w:ascii="Times New Roman" w:hAnsi="Times New Roman" w:cs="Times New Roman"/>
          <w:bCs/>
          <w:color w:val="000000" w:themeColor="text1"/>
        </w:rPr>
      </w:pPr>
      <w:r>
        <w:rPr>
          <w:rFonts w:ascii="Times New Roman" w:hAnsi="Times New Roman" w:cs="Times New Roman"/>
          <w:b/>
          <w:i/>
          <w:iCs/>
          <w:color w:val="000000" w:themeColor="text1"/>
        </w:rPr>
        <w:t>United Utilities</w:t>
      </w:r>
    </w:p>
    <w:p w14:paraId="6322A78D" w14:textId="4382AC5B" w:rsidR="005E04EA" w:rsidRDefault="005E04EA" w:rsidP="003D6FBB">
      <w:pPr>
        <w:spacing w:line="276" w:lineRule="auto"/>
        <w:jc w:val="both"/>
        <w:rPr>
          <w:rFonts w:ascii="Times New Roman" w:hAnsi="Times New Roman" w:cs="Times New Roman"/>
          <w:bCs/>
          <w:color w:val="000000" w:themeColor="text1"/>
        </w:rPr>
      </w:pPr>
    </w:p>
    <w:p w14:paraId="071AFAA0" w14:textId="0A255995" w:rsidR="005E04EA" w:rsidRDefault="005E04EA" w:rsidP="003D6FBB">
      <w:pPr>
        <w:spacing w:line="276" w:lineRule="auto"/>
        <w:jc w:val="both"/>
        <w:rPr>
          <w:rFonts w:ascii="Times New Roman" w:hAnsi="Times New Roman" w:cs="Times New Roman"/>
          <w:bCs/>
          <w:color w:val="000000" w:themeColor="text1"/>
        </w:rPr>
      </w:pPr>
      <w:r>
        <w:rPr>
          <w:rFonts w:ascii="Times New Roman" w:hAnsi="Times New Roman" w:cs="Times New Roman"/>
          <w:bCs/>
          <w:color w:val="000000" w:themeColor="text1"/>
        </w:rPr>
        <w:t>The Greater Manchester area is served by United Utilities (</w:t>
      </w:r>
      <w:hyperlink r:id="rId6" w:history="1">
        <w:r w:rsidRPr="00722953">
          <w:rPr>
            <w:rStyle w:val="Hyperlink"/>
            <w:rFonts w:ascii="Times New Roman" w:hAnsi="Times New Roman" w:cs="Times New Roman"/>
            <w:bCs/>
          </w:rPr>
          <w:t>https://www.unitedutilities.com/help-and-support/wastewater-services/</w:t>
        </w:r>
      </w:hyperlink>
      <w:r>
        <w:rPr>
          <w:rFonts w:ascii="Times New Roman" w:hAnsi="Times New Roman" w:cs="Times New Roman"/>
          <w:bCs/>
          <w:color w:val="000000" w:themeColor="text1"/>
        </w:rPr>
        <w:t xml:space="preserve">). The treatment works that serves most of the Manchester are is the </w:t>
      </w:r>
      <w:proofErr w:type="spellStart"/>
      <w:r>
        <w:rPr>
          <w:rFonts w:ascii="Times New Roman" w:hAnsi="Times New Roman" w:cs="Times New Roman"/>
          <w:bCs/>
          <w:color w:val="000000" w:themeColor="text1"/>
        </w:rPr>
        <w:t>Davyhulme</w:t>
      </w:r>
      <w:proofErr w:type="spellEnd"/>
      <w:r>
        <w:rPr>
          <w:rFonts w:ascii="Times New Roman" w:hAnsi="Times New Roman" w:cs="Times New Roman"/>
          <w:bCs/>
          <w:color w:val="000000" w:themeColor="text1"/>
        </w:rPr>
        <w:t xml:space="preserve"> treatment works. </w:t>
      </w:r>
    </w:p>
    <w:p w14:paraId="55EA6ED0" w14:textId="1DA9F88F" w:rsidR="005E04EA" w:rsidRDefault="005E04EA" w:rsidP="003D6FBB">
      <w:pPr>
        <w:spacing w:line="276" w:lineRule="auto"/>
        <w:jc w:val="both"/>
        <w:rPr>
          <w:rFonts w:ascii="Times New Roman" w:hAnsi="Times New Roman" w:cs="Times New Roman"/>
          <w:bCs/>
          <w:color w:val="000000" w:themeColor="text1"/>
        </w:rPr>
      </w:pPr>
    </w:p>
    <w:p w14:paraId="1CB13502" w14:textId="38A670ED" w:rsidR="005E04EA" w:rsidRDefault="005E04EA" w:rsidP="003D6FBB">
      <w:pPr>
        <w:spacing w:line="276" w:lineRule="auto"/>
        <w:jc w:val="both"/>
        <w:rPr>
          <w:rFonts w:ascii="Times New Roman" w:hAnsi="Times New Roman" w:cs="Times New Roman"/>
          <w:bCs/>
          <w:color w:val="000000" w:themeColor="text1"/>
        </w:rPr>
      </w:pPr>
      <w:r>
        <w:rPr>
          <w:rFonts w:ascii="Times New Roman" w:hAnsi="Times New Roman" w:cs="Times New Roman"/>
          <w:b/>
          <w:i/>
          <w:iCs/>
          <w:color w:val="000000" w:themeColor="text1"/>
        </w:rPr>
        <w:t xml:space="preserve">Yorkshire </w:t>
      </w:r>
      <w:r w:rsidR="000566F6">
        <w:rPr>
          <w:rFonts w:ascii="Times New Roman" w:hAnsi="Times New Roman" w:cs="Times New Roman"/>
          <w:b/>
          <w:i/>
          <w:iCs/>
          <w:color w:val="000000" w:themeColor="text1"/>
        </w:rPr>
        <w:t>W</w:t>
      </w:r>
      <w:r>
        <w:rPr>
          <w:rFonts w:ascii="Times New Roman" w:hAnsi="Times New Roman" w:cs="Times New Roman"/>
          <w:b/>
          <w:i/>
          <w:iCs/>
          <w:color w:val="000000" w:themeColor="text1"/>
        </w:rPr>
        <w:t>ater</w:t>
      </w:r>
    </w:p>
    <w:p w14:paraId="5D346EAD" w14:textId="3F86D244" w:rsidR="005E04EA" w:rsidRDefault="005E04EA" w:rsidP="003D6FBB">
      <w:pPr>
        <w:spacing w:line="276" w:lineRule="auto"/>
        <w:jc w:val="both"/>
        <w:rPr>
          <w:rFonts w:ascii="Times New Roman" w:hAnsi="Times New Roman" w:cs="Times New Roman"/>
          <w:bCs/>
          <w:color w:val="000000" w:themeColor="text1"/>
        </w:rPr>
      </w:pPr>
    </w:p>
    <w:p w14:paraId="323D585D" w14:textId="1D83C5F9" w:rsidR="005E04EA" w:rsidRDefault="005E04EA" w:rsidP="003D6FBB">
      <w:pPr>
        <w:spacing w:line="276" w:lineRule="auto"/>
        <w:jc w:val="both"/>
        <w:rPr>
          <w:rFonts w:ascii="Times New Roman" w:hAnsi="Times New Roman" w:cs="Times New Roman"/>
          <w:bCs/>
          <w:color w:val="000000" w:themeColor="text1"/>
        </w:rPr>
      </w:pPr>
      <w:r>
        <w:rPr>
          <w:rFonts w:ascii="Times New Roman" w:hAnsi="Times New Roman" w:cs="Times New Roman"/>
          <w:bCs/>
          <w:color w:val="000000" w:themeColor="text1"/>
        </w:rPr>
        <w:t>Yorkshire water serves Bradford, with Esholt treatment works being the main sewage treatment for this area</w:t>
      </w:r>
      <w:r w:rsidR="000566F6">
        <w:rPr>
          <w:rFonts w:ascii="Times New Roman" w:hAnsi="Times New Roman" w:cs="Times New Roman"/>
          <w:bCs/>
          <w:color w:val="000000" w:themeColor="text1"/>
        </w:rPr>
        <w:t xml:space="preserve"> (</w:t>
      </w:r>
      <w:hyperlink r:id="rId7" w:history="1">
        <w:r w:rsidR="000566F6" w:rsidRPr="00722953">
          <w:rPr>
            <w:rStyle w:val="Hyperlink"/>
            <w:rFonts w:ascii="Times New Roman" w:hAnsi="Times New Roman" w:cs="Times New Roman"/>
            <w:bCs/>
          </w:rPr>
          <w:t>https://www.yorkshirewater.com/waste-water-treatment-services/</w:t>
        </w:r>
      </w:hyperlink>
      <w:r w:rsidR="000566F6">
        <w:rPr>
          <w:rFonts w:ascii="Times New Roman" w:hAnsi="Times New Roman" w:cs="Times New Roman"/>
          <w:bCs/>
          <w:color w:val="000000" w:themeColor="text1"/>
        </w:rPr>
        <w:t>)</w:t>
      </w:r>
      <w:r>
        <w:rPr>
          <w:rFonts w:ascii="Times New Roman" w:hAnsi="Times New Roman" w:cs="Times New Roman"/>
          <w:bCs/>
          <w:color w:val="000000" w:themeColor="text1"/>
        </w:rPr>
        <w:t>.</w:t>
      </w:r>
      <w:r w:rsidR="000566F6">
        <w:rPr>
          <w:rFonts w:ascii="Times New Roman" w:hAnsi="Times New Roman" w:cs="Times New Roman"/>
          <w:bCs/>
          <w:color w:val="000000" w:themeColor="text1"/>
        </w:rPr>
        <w:t xml:space="preserve"> For Leeds, the likely sewage treatment facility is </w:t>
      </w:r>
      <w:proofErr w:type="spellStart"/>
      <w:r w:rsidR="008063A1" w:rsidRPr="008063A1">
        <w:rPr>
          <w:rFonts w:ascii="Times New Roman" w:hAnsi="Times New Roman" w:cs="Times New Roman"/>
          <w:bCs/>
          <w:color w:val="000000" w:themeColor="text1"/>
        </w:rPr>
        <w:t>Knostrop</w:t>
      </w:r>
      <w:proofErr w:type="spellEnd"/>
      <w:r w:rsidR="008063A1" w:rsidRPr="008063A1">
        <w:rPr>
          <w:rFonts w:ascii="Times New Roman" w:hAnsi="Times New Roman" w:cs="Times New Roman"/>
          <w:bCs/>
          <w:color w:val="000000" w:themeColor="text1"/>
        </w:rPr>
        <w:t xml:space="preserve"> Wastewater Treatment Works</w:t>
      </w:r>
      <w:r w:rsidR="008063A1">
        <w:rPr>
          <w:rFonts w:ascii="Times New Roman" w:hAnsi="Times New Roman" w:cs="Times New Roman"/>
          <w:bCs/>
          <w:color w:val="000000" w:themeColor="text1"/>
        </w:rPr>
        <w:t xml:space="preserve">. For Sheffield the likely sewage treatment works is </w:t>
      </w:r>
      <w:r w:rsidR="008063A1" w:rsidRPr="008063A1">
        <w:rPr>
          <w:rFonts w:ascii="Times New Roman" w:hAnsi="Times New Roman" w:cs="Times New Roman"/>
          <w:bCs/>
          <w:color w:val="000000" w:themeColor="text1"/>
        </w:rPr>
        <w:t>Woodhouse Mill Sewage Treatment Work</w:t>
      </w:r>
      <w:r w:rsidR="008063A1">
        <w:rPr>
          <w:rFonts w:ascii="Times New Roman" w:hAnsi="Times New Roman" w:cs="Times New Roman"/>
          <w:bCs/>
          <w:color w:val="000000" w:themeColor="text1"/>
        </w:rPr>
        <w:t xml:space="preserve">s. </w:t>
      </w:r>
    </w:p>
    <w:p w14:paraId="7C48D678" w14:textId="6CA59AA3" w:rsidR="000566F6" w:rsidRDefault="000566F6" w:rsidP="003D6FBB">
      <w:pPr>
        <w:spacing w:line="276" w:lineRule="auto"/>
        <w:jc w:val="both"/>
        <w:rPr>
          <w:rFonts w:ascii="Times New Roman" w:hAnsi="Times New Roman" w:cs="Times New Roman"/>
          <w:bCs/>
          <w:color w:val="000000" w:themeColor="text1"/>
        </w:rPr>
      </w:pPr>
    </w:p>
    <w:p w14:paraId="282A4040" w14:textId="64470C49" w:rsidR="000566F6" w:rsidRDefault="000566F6" w:rsidP="003D6FBB">
      <w:pPr>
        <w:spacing w:line="276" w:lineRule="auto"/>
        <w:jc w:val="both"/>
        <w:rPr>
          <w:rFonts w:ascii="Times New Roman" w:hAnsi="Times New Roman" w:cs="Times New Roman"/>
          <w:bCs/>
          <w:color w:val="000000" w:themeColor="text1"/>
        </w:rPr>
      </w:pPr>
      <w:r>
        <w:rPr>
          <w:rFonts w:ascii="Times New Roman" w:hAnsi="Times New Roman" w:cs="Times New Roman"/>
          <w:b/>
          <w:i/>
          <w:iCs/>
          <w:color w:val="000000" w:themeColor="text1"/>
        </w:rPr>
        <w:t>Thames Water</w:t>
      </w:r>
    </w:p>
    <w:p w14:paraId="14AF44B5" w14:textId="22EB94B8" w:rsidR="000566F6" w:rsidRDefault="000566F6" w:rsidP="003D6FBB">
      <w:pPr>
        <w:spacing w:line="276" w:lineRule="auto"/>
        <w:jc w:val="both"/>
        <w:rPr>
          <w:rFonts w:ascii="Times New Roman" w:hAnsi="Times New Roman" w:cs="Times New Roman"/>
          <w:bCs/>
          <w:color w:val="000000" w:themeColor="text1"/>
        </w:rPr>
      </w:pPr>
    </w:p>
    <w:p w14:paraId="42B51CD4" w14:textId="72459F79" w:rsidR="000566F6" w:rsidRDefault="000566F6" w:rsidP="003D6FBB">
      <w:pPr>
        <w:spacing w:line="276" w:lineRule="auto"/>
        <w:jc w:val="both"/>
        <w:rPr>
          <w:rFonts w:ascii="Times New Roman" w:hAnsi="Times New Roman" w:cs="Times New Roman"/>
          <w:bCs/>
          <w:color w:val="000000" w:themeColor="text1"/>
        </w:rPr>
      </w:pPr>
      <w:r>
        <w:rPr>
          <w:rFonts w:ascii="Times New Roman" w:hAnsi="Times New Roman" w:cs="Times New Roman"/>
          <w:bCs/>
          <w:color w:val="000000" w:themeColor="text1"/>
        </w:rPr>
        <w:t xml:space="preserve">Thames water is the company that serves the Greater London area and some additional counties surrounding London. There are three main sewage treatment works; Beckton, Crossness and </w:t>
      </w:r>
      <w:proofErr w:type="spellStart"/>
      <w:r>
        <w:rPr>
          <w:rFonts w:ascii="Times New Roman" w:hAnsi="Times New Roman" w:cs="Times New Roman"/>
          <w:bCs/>
          <w:color w:val="000000" w:themeColor="text1"/>
        </w:rPr>
        <w:t>Mogden</w:t>
      </w:r>
      <w:proofErr w:type="spellEnd"/>
      <w:r>
        <w:rPr>
          <w:rFonts w:ascii="Times New Roman" w:hAnsi="Times New Roman" w:cs="Times New Roman"/>
          <w:bCs/>
          <w:color w:val="000000" w:themeColor="text1"/>
        </w:rPr>
        <w:t xml:space="preserve">. The catchment of these treatment works has </w:t>
      </w:r>
      <w:r w:rsidR="00DF65E5">
        <w:rPr>
          <w:rFonts w:ascii="Times New Roman" w:hAnsi="Times New Roman" w:cs="Times New Roman"/>
          <w:bCs/>
          <w:color w:val="000000" w:themeColor="text1"/>
        </w:rPr>
        <w:t xml:space="preserve">been </w:t>
      </w:r>
      <w:r>
        <w:rPr>
          <w:rFonts w:ascii="Times New Roman" w:hAnsi="Times New Roman" w:cs="Times New Roman"/>
          <w:bCs/>
          <w:color w:val="000000" w:themeColor="text1"/>
        </w:rPr>
        <w:t>well described by Thames Water</w:t>
      </w:r>
      <w:r w:rsidR="00DF65E5">
        <w:rPr>
          <w:rFonts w:ascii="Times New Roman" w:hAnsi="Times New Roman" w:cs="Times New Roman"/>
          <w:bCs/>
          <w:color w:val="000000" w:themeColor="text1"/>
        </w:rPr>
        <w:t xml:space="preserve"> (see figure)</w:t>
      </w:r>
      <w:r>
        <w:rPr>
          <w:rFonts w:ascii="Times New Roman" w:hAnsi="Times New Roman" w:cs="Times New Roman"/>
          <w:bCs/>
          <w:color w:val="000000" w:themeColor="text1"/>
        </w:rPr>
        <w:t>, and can be used to approximate which would be sampled if carrying out surveillance of each population within the Local Authority.</w:t>
      </w:r>
    </w:p>
    <w:p w14:paraId="5B5AC7F9" w14:textId="44B68DB9" w:rsidR="008063A1" w:rsidRDefault="008063A1" w:rsidP="003D6FBB">
      <w:pPr>
        <w:spacing w:line="276" w:lineRule="auto"/>
        <w:jc w:val="both"/>
        <w:rPr>
          <w:rFonts w:ascii="Times New Roman" w:hAnsi="Times New Roman" w:cs="Times New Roman"/>
          <w:bCs/>
          <w:color w:val="000000" w:themeColor="text1"/>
        </w:rPr>
      </w:pPr>
    </w:p>
    <w:p w14:paraId="2A67CC1F" w14:textId="60710E46" w:rsidR="008063A1" w:rsidRDefault="008063A1" w:rsidP="003D6FBB">
      <w:pPr>
        <w:spacing w:line="276" w:lineRule="auto"/>
        <w:jc w:val="both"/>
        <w:rPr>
          <w:rFonts w:ascii="Times New Roman" w:hAnsi="Times New Roman" w:cs="Times New Roman"/>
          <w:b/>
          <w:color w:val="000000" w:themeColor="text1"/>
        </w:rPr>
      </w:pPr>
      <w:proofErr w:type="spellStart"/>
      <w:r>
        <w:rPr>
          <w:rFonts w:ascii="Times New Roman" w:hAnsi="Times New Roman" w:cs="Times New Roman"/>
          <w:b/>
          <w:i/>
          <w:iCs/>
          <w:color w:val="000000" w:themeColor="text1"/>
        </w:rPr>
        <w:t>Glas</w:t>
      </w:r>
      <w:proofErr w:type="spellEnd"/>
      <w:r>
        <w:rPr>
          <w:rFonts w:ascii="Times New Roman" w:hAnsi="Times New Roman" w:cs="Times New Roman"/>
          <w:b/>
          <w:i/>
          <w:iCs/>
          <w:color w:val="000000" w:themeColor="text1"/>
        </w:rPr>
        <w:t xml:space="preserve"> Cymru</w:t>
      </w:r>
    </w:p>
    <w:p w14:paraId="6C3D7F66" w14:textId="0E4D6272" w:rsidR="008063A1" w:rsidRDefault="008063A1" w:rsidP="003D6FBB">
      <w:pPr>
        <w:spacing w:line="276" w:lineRule="auto"/>
        <w:jc w:val="both"/>
        <w:rPr>
          <w:rFonts w:ascii="Times New Roman" w:hAnsi="Times New Roman" w:cs="Times New Roman"/>
          <w:b/>
          <w:color w:val="000000" w:themeColor="text1"/>
        </w:rPr>
      </w:pPr>
    </w:p>
    <w:p w14:paraId="49C66297" w14:textId="65385321" w:rsidR="008063A1" w:rsidRPr="000D5711" w:rsidRDefault="000D5711" w:rsidP="003D6FBB">
      <w:pPr>
        <w:spacing w:line="276" w:lineRule="auto"/>
        <w:jc w:val="both"/>
        <w:rPr>
          <w:rFonts w:ascii="Times New Roman" w:hAnsi="Times New Roman" w:cs="Times New Roman"/>
          <w:bCs/>
          <w:color w:val="000000" w:themeColor="text1"/>
        </w:rPr>
      </w:pPr>
      <w:proofErr w:type="spellStart"/>
      <w:r w:rsidRPr="000D5711">
        <w:rPr>
          <w:rFonts w:ascii="Times New Roman" w:hAnsi="Times New Roman" w:cs="Times New Roman"/>
          <w:bCs/>
          <w:color w:val="000000" w:themeColor="text1"/>
        </w:rPr>
        <w:t>Glas</w:t>
      </w:r>
      <w:proofErr w:type="spellEnd"/>
      <w:r w:rsidRPr="000D5711">
        <w:rPr>
          <w:rFonts w:ascii="Times New Roman" w:hAnsi="Times New Roman" w:cs="Times New Roman"/>
          <w:bCs/>
          <w:color w:val="000000" w:themeColor="text1"/>
        </w:rPr>
        <w:t xml:space="preserve"> Cymru</w:t>
      </w:r>
      <w:r>
        <w:rPr>
          <w:rFonts w:ascii="Times New Roman" w:hAnsi="Times New Roman" w:cs="Times New Roman"/>
          <w:bCs/>
          <w:color w:val="000000" w:themeColor="text1"/>
        </w:rPr>
        <w:t xml:space="preserve"> is the water treatment company for Wales. The likely sewage treatment works for Cardiff is </w:t>
      </w:r>
      <w:r w:rsidRPr="000D5711">
        <w:rPr>
          <w:rFonts w:ascii="Times New Roman" w:hAnsi="Times New Roman" w:cs="Times New Roman"/>
          <w:bCs/>
          <w:color w:val="000000" w:themeColor="text1"/>
        </w:rPr>
        <w:t>Llwyn Onn</w:t>
      </w:r>
      <w:r>
        <w:rPr>
          <w:rFonts w:ascii="Times New Roman" w:hAnsi="Times New Roman" w:cs="Times New Roman"/>
          <w:bCs/>
          <w:color w:val="000000" w:themeColor="text1"/>
        </w:rPr>
        <w:t xml:space="preserve"> Sewage Works.</w:t>
      </w:r>
    </w:p>
    <w:p w14:paraId="75E664A2" w14:textId="77777777" w:rsidR="00DF65E5" w:rsidRDefault="00DF65E5" w:rsidP="003D6FBB">
      <w:pPr>
        <w:keepNext/>
        <w:spacing w:line="276" w:lineRule="auto"/>
        <w:jc w:val="both"/>
      </w:pPr>
      <w:r>
        <w:rPr>
          <w:rFonts w:ascii="Times New Roman" w:hAnsi="Times New Roman" w:cs="Times New Roman"/>
          <w:b/>
          <w:noProof/>
          <w:color w:val="000000" w:themeColor="text1"/>
        </w:rPr>
        <w:lastRenderedPageBreak/>
        <w:drawing>
          <wp:inline distT="0" distB="0" distL="0" distR="0" wp14:anchorId="18106B37" wp14:editId="08EFB915">
            <wp:extent cx="5727700" cy="4346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werage_london.jpg"/>
                    <pic:cNvPicPr/>
                  </pic:nvPicPr>
                  <pic:blipFill>
                    <a:blip r:embed="rId8">
                      <a:extLst>
                        <a:ext uri="{28A0092B-C50C-407E-A947-70E740481C1C}">
                          <a14:useLocalDpi xmlns:a14="http://schemas.microsoft.com/office/drawing/2010/main" val="0"/>
                        </a:ext>
                      </a:extLst>
                    </a:blip>
                    <a:stretch>
                      <a:fillRect/>
                    </a:stretch>
                  </pic:blipFill>
                  <pic:spPr>
                    <a:xfrm>
                      <a:off x="0" y="0"/>
                      <a:ext cx="5727700" cy="4346575"/>
                    </a:xfrm>
                    <a:prstGeom prst="rect">
                      <a:avLst/>
                    </a:prstGeom>
                  </pic:spPr>
                </pic:pic>
              </a:graphicData>
            </a:graphic>
          </wp:inline>
        </w:drawing>
      </w:r>
    </w:p>
    <w:p w14:paraId="33E19506" w14:textId="6B016E8F" w:rsidR="00A51797" w:rsidRPr="008D26E4" w:rsidRDefault="00DF65E5" w:rsidP="003D6FBB">
      <w:pPr>
        <w:pStyle w:val="Caption"/>
        <w:jc w:val="both"/>
        <w:rPr>
          <w:rFonts w:ascii="Times New Roman" w:hAnsi="Times New Roman" w:cs="Times New Roman"/>
          <w:b/>
          <w:color w:val="000000" w:themeColor="text1"/>
        </w:rPr>
      </w:pPr>
      <w:r w:rsidRPr="008D26E4">
        <w:rPr>
          <w:color w:val="000000" w:themeColor="text1"/>
        </w:rPr>
        <w:t xml:space="preserve">Figure </w:t>
      </w:r>
      <w:r w:rsidR="008D26E4" w:rsidRPr="008D26E4">
        <w:rPr>
          <w:color w:val="000000" w:themeColor="text1"/>
        </w:rPr>
        <w:t>2</w:t>
      </w:r>
      <w:r w:rsidRPr="008D26E4">
        <w:rPr>
          <w:color w:val="000000" w:themeColor="text1"/>
        </w:rPr>
        <w:t>. Converging sewer network of Great London overlaid onto the London Boroughs (from Thames Water).</w:t>
      </w:r>
    </w:p>
    <w:p w14:paraId="4761C34C" w14:textId="77777777" w:rsidR="00DF65E5" w:rsidRPr="00A51797" w:rsidRDefault="00DF65E5" w:rsidP="003D6FBB">
      <w:pPr>
        <w:spacing w:line="276" w:lineRule="auto"/>
        <w:jc w:val="both"/>
        <w:rPr>
          <w:rFonts w:ascii="Times New Roman" w:hAnsi="Times New Roman" w:cs="Times New Roman"/>
          <w:b/>
          <w:color w:val="000000" w:themeColor="text1"/>
        </w:rPr>
      </w:pPr>
    </w:p>
    <w:p w14:paraId="7C75FC2F" w14:textId="2463DDF0" w:rsidR="004F370D" w:rsidRPr="00EA695E" w:rsidRDefault="004F370D" w:rsidP="003D6FBB">
      <w:pPr>
        <w:pStyle w:val="ListParagraph"/>
        <w:numPr>
          <w:ilvl w:val="0"/>
          <w:numId w:val="1"/>
        </w:numPr>
        <w:jc w:val="both"/>
        <w:rPr>
          <w:rFonts w:ascii="Times New Roman" w:hAnsi="Times New Roman" w:cs="Times New Roman"/>
          <w:i/>
        </w:rPr>
      </w:pPr>
      <w:r w:rsidRPr="00EA695E">
        <w:rPr>
          <w:rFonts w:ascii="Times New Roman" w:hAnsi="Times New Roman" w:cs="Times New Roman"/>
          <w:b/>
          <w:color w:val="000000" w:themeColor="text1"/>
        </w:rPr>
        <w:t>Estimation of the</w:t>
      </w:r>
      <w:r w:rsidR="00EA695E" w:rsidRPr="00EA695E">
        <w:rPr>
          <w:rFonts w:ascii="Times New Roman" w:hAnsi="Times New Roman" w:cs="Times New Roman"/>
          <w:b/>
        </w:rPr>
        <w:t xml:space="preserve"> spatial variation in the potential for poliovirus circulation in England and Wales</w:t>
      </w:r>
    </w:p>
    <w:p w14:paraId="21600E4C" w14:textId="77777777" w:rsidR="00EA695E" w:rsidRDefault="00EA695E" w:rsidP="003D6FBB">
      <w:pPr>
        <w:jc w:val="both"/>
        <w:rPr>
          <w:rFonts w:ascii="Times New Roman" w:hAnsi="Times New Roman" w:cs="Times New Roman"/>
        </w:rPr>
      </w:pPr>
    </w:p>
    <w:p w14:paraId="2795D4A8" w14:textId="261FDDF4" w:rsidR="00EA695E" w:rsidRPr="00EA695E" w:rsidRDefault="00EA695E" w:rsidP="003D6FBB">
      <w:pPr>
        <w:jc w:val="both"/>
        <w:rPr>
          <w:rFonts w:ascii="Times New Roman" w:hAnsi="Times New Roman" w:cs="Times New Roman"/>
        </w:rPr>
      </w:pPr>
      <w:r w:rsidRPr="00EA695E">
        <w:rPr>
          <w:rFonts w:ascii="Times New Roman" w:hAnsi="Times New Roman" w:cs="Times New Roman"/>
        </w:rPr>
        <w:t>The probability of local poliovirus circulation (herein referred to as poliovirus circulation) is estimated. Within this context we are interested in circulation that may result in a poliomyelitis case. The basic reproduction number (R</w:t>
      </w:r>
      <w:r w:rsidRPr="00EA695E">
        <w:rPr>
          <w:rFonts w:ascii="Times New Roman" w:hAnsi="Times New Roman" w:cs="Times New Roman"/>
          <w:vertAlign w:val="subscript"/>
        </w:rPr>
        <w:t>0 -</w:t>
      </w:r>
      <w:r w:rsidRPr="00EA695E">
        <w:rPr>
          <w:rFonts w:ascii="Times New Roman" w:hAnsi="Times New Roman" w:cs="Times New Roman"/>
        </w:rPr>
        <w:t xml:space="preserve"> the average number of secondary cases from one infected person within a totally susceptible population) is useful measure of transmissibility of an infectious disease. When R</w:t>
      </w:r>
      <w:r w:rsidRPr="00EA695E">
        <w:rPr>
          <w:rFonts w:ascii="Times New Roman" w:hAnsi="Times New Roman" w:cs="Times New Roman"/>
          <w:vertAlign w:val="subscript"/>
        </w:rPr>
        <w:t>0</w:t>
      </w:r>
      <w:r w:rsidRPr="00EA695E">
        <w:rPr>
          <w:rFonts w:ascii="Times New Roman" w:hAnsi="Times New Roman" w:cs="Times New Roman"/>
        </w:rPr>
        <w:t xml:space="preserve"> is greater than 1 the introduction of an infected individual may result in a large outbreak and if R</w:t>
      </w:r>
      <w:r w:rsidRPr="00EA695E">
        <w:rPr>
          <w:rFonts w:ascii="Times New Roman" w:hAnsi="Times New Roman" w:cs="Times New Roman"/>
          <w:vertAlign w:val="subscript"/>
        </w:rPr>
        <w:t>0</w:t>
      </w:r>
      <w:r w:rsidRPr="00EA695E">
        <w:rPr>
          <w:rFonts w:ascii="Times New Roman" w:hAnsi="Times New Roman" w:cs="Times New Roman"/>
        </w:rPr>
        <w:t>&lt;1 a large outbreak is unlikely. For vaccines with sterilizing immunity the probability of a major epidemic is given by s=</w:t>
      </w:r>
      <m:oMath>
        <m:r>
          <w:rPr>
            <w:rFonts w:ascii="Cambria Math" w:hAnsi="Cambria Math" w:cs="Times New Roman"/>
          </w:rPr>
          <m:t>1-</m:t>
        </m:r>
        <m:f>
          <m:fPr>
            <m:type m:val="lin"/>
            <m:ctrlPr>
              <w:rPr>
                <w:rFonts w:ascii="Cambria Math" w:hAnsi="Cambria Math" w:cs="Times New Roman"/>
                <w:i/>
              </w:rPr>
            </m:ctrlPr>
          </m:fPr>
          <m:num>
            <m:r>
              <w:rPr>
                <w:rFonts w:ascii="Cambria Math" w:hAnsi="Cambria Math" w:cs="Times New Roman"/>
              </w:rPr>
              <m:t>1</m:t>
            </m:r>
          </m:num>
          <m:den>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0</m:t>
                </m:r>
              </m:sub>
            </m:sSub>
            <m:r>
              <w:rPr>
                <w:rFonts w:ascii="Cambria Math" w:hAnsi="Cambria Math" w:cs="Times New Roman"/>
              </w:rPr>
              <m:t>(1-c))</m:t>
            </m:r>
          </m:den>
        </m:f>
      </m:oMath>
      <w:r w:rsidRPr="00EA695E">
        <w:rPr>
          <w:rFonts w:ascii="Times New Roman" w:eastAsiaTheme="minorEastAsia" w:hAnsi="Times New Roman" w:cs="Times New Roman"/>
        </w:rPr>
        <w:t xml:space="preserve"> where </w:t>
      </w:r>
      <m:oMath>
        <m:r>
          <w:rPr>
            <w:rFonts w:ascii="Cambria Math" w:eastAsiaTheme="minorEastAsia" w:hAnsi="Cambria Math" w:cs="Times New Roman"/>
          </w:rPr>
          <m:t>c</m:t>
        </m:r>
      </m:oMath>
      <w:r w:rsidRPr="00EA695E">
        <w:rPr>
          <w:rFonts w:ascii="Times New Roman" w:eastAsiaTheme="minorEastAsia" w:hAnsi="Times New Roman" w:cs="Times New Roman"/>
        </w:rPr>
        <w:t xml:space="preserve"> refers to the proportion of the population immunised. Rather than sterilising immunity, the IPV (which is part of the pentavalent vaccine) reduces the infectiousness and duration of infectiousness of immunised individuals,</w:t>
      </w:r>
      <w:r w:rsidR="00FD5261">
        <w:rPr>
          <w:rFonts w:ascii="Times New Roman" w:eastAsiaTheme="minorEastAsia" w:hAnsi="Times New Roman" w:cs="Times New Roman"/>
        </w:rPr>
        <w:fldChar w:fldCharType="begin"/>
      </w:r>
      <w:r w:rsidR="00FD5261">
        <w:rPr>
          <w:rFonts w:ascii="Times New Roman" w:eastAsiaTheme="minorEastAsia" w:hAnsi="Times New Roman" w:cs="Times New Roman"/>
        </w:rPr>
        <w:instrText xml:space="preserve"> ADDIN ZOTERO_ITEM CSL_CITATION {"citationID":"I2v8b58H","properties":{"formattedCitation":"\\super 1\\nosupersub{}","plainCitation":"1","noteIndex":0},"citationItems":[{"id":336,"uris":["http://zotero.org/users/5061339/items/B4TJI3WE"],"uri":["http://zotero.org/users/5061339/items/B4TJI3WE"],"itemData":{"id":336,"type":"article-journal","abstract":"Inactivated poliovirus vaccine (IPV) may be used in mass vaccination campaigns during the final stages of polio eradication. It is also likely to be adopted by many countries following the coordinated global cessation of vaccination with oral poliovirus vaccine (OPV) after eradication. The success of IPV in the control of poliomyelitis outbreaks will depend on the degree of nasopharyngeal and intestinal mucosal immunity induced against poliovirus infection. We performed a systematic review of studies published through May 2011 that recorded the prevalence of poliovirus shedding in stool samples or nasopharyngeal secretions collected 5-30 days after a \"challenge\" dose of OPV. Studies were combined in a meta-analysis of the odds of shedding among children vaccinated according to IPV, OPV, and combination schedules. We identified 31 studies of shedding in stool and four in nasopharyngeal samples that met the inclusion criteria. Individuals vaccinated with OPV were protected against infection and shedding of poliovirus in stool samples collected after challenge compared with unvaccinated individuals (summary odds ratio [OR] for shedding 0.13 (95% confidence interval [CI] 0.08-0.24)). In contrast, IPV provided no protection against shedding compared with unvaccinated individuals (summary OR 0.81 [95% CI 0.59-1.11]) or when given in addition to OPV, compared with individuals given OPV alone (summary OR 1.14 [95% CI 0.82-1.58]). There were insufficient studies of nasopharyngeal shedding to draw a conclusion. IPV does not induce sufficient intestinal mucosal immunity to reduce the prevalence of fecal poliovirus shedding after challenge, although there was some evidence that it can reduce the quantity of virus shed. The impact of IPV on poliovirus transmission in countries where fecal-oral spread is common is unknown but is likely to be limited compared with OPV.","container-title":"PLoS Pathogens","DOI":"10.1371/journal.ppat.1002599","ISSN":"15537366","issue":"4","note":"PMID: 22532797","title":"Systematic review of mucosal immunity induced by oral and inactivated poliovirus vaccines against virus shedding following oral poliovirus challenge","volume":"8","author":[{"family":"Hird","given":"Thomas R."},{"family":"Grassly","given":"Nicholas C."}],"issued":{"date-parts":[["2012"]]}}}],"schema":"https://github.com/citation-style-language/schema/raw/master/csl-citation.json"} </w:instrText>
      </w:r>
      <w:r w:rsidR="00FD5261">
        <w:rPr>
          <w:rFonts w:ascii="Times New Roman" w:eastAsiaTheme="minorEastAsia" w:hAnsi="Times New Roman" w:cs="Times New Roman"/>
        </w:rPr>
        <w:fldChar w:fldCharType="separate"/>
      </w:r>
      <w:r w:rsidR="00FD5261" w:rsidRPr="00FD5261">
        <w:rPr>
          <w:rFonts w:ascii="Times New Roman" w:hAnsi="Times New Roman" w:cs="Times New Roman"/>
          <w:vertAlign w:val="superscript"/>
          <w:lang w:val="en-US"/>
        </w:rPr>
        <w:t>1</w:t>
      </w:r>
      <w:r w:rsidR="00FD5261">
        <w:rPr>
          <w:rFonts w:ascii="Times New Roman" w:eastAsiaTheme="minorEastAsia" w:hAnsi="Times New Roman" w:cs="Times New Roman"/>
        </w:rPr>
        <w:fldChar w:fldCharType="end"/>
      </w:r>
      <w:r w:rsidR="00FD5261">
        <w:rPr>
          <w:rFonts w:ascii="Times New Roman" w:eastAsiaTheme="minorEastAsia" w:hAnsi="Times New Roman" w:cs="Times New Roman"/>
          <w:noProof/>
        </w:rPr>
        <w:t xml:space="preserve"> </w:t>
      </w:r>
      <w:r w:rsidRPr="00EA695E">
        <w:rPr>
          <w:rFonts w:ascii="Times New Roman" w:eastAsiaTheme="minorEastAsia" w:hAnsi="Times New Roman" w:cs="Times New Roman"/>
        </w:rPr>
        <w:t xml:space="preserve"> so the probability of a major epidemic requires some adaptation; </w:t>
      </w:r>
      <m:oMath>
        <m:r>
          <w:rPr>
            <w:rFonts w:ascii="Cambria Math" w:eastAsiaTheme="minorEastAsia" w:hAnsi="Cambria Math" w:cs="Times New Roman"/>
          </w:rPr>
          <m:t>s=1-</m:t>
        </m:r>
        <m:f>
          <m:fPr>
            <m:type m:val="lin"/>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R</m:t>
                </m:r>
              </m:e>
              <m:sub>
                <m:r>
                  <w:rPr>
                    <w:rFonts w:ascii="Cambria Math" w:eastAsiaTheme="minorEastAsia" w:hAnsi="Cambria Math" w:cs="Times New Roman"/>
                  </w:rPr>
                  <m:t>0</m:t>
                </m:r>
              </m:sub>
            </m:sSub>
            <m:r>
              <w:rPr>
                <w:rFonts w:ascii="Cambria Math" w:eastAsiaTheme="minorEastAsia" w:hAnsi="Cambria Math" w:cs="Times New Roman"/>
              </w:rPr>
              <m:t>((1-c)+chd))</m:t>
            </m:r>
          </m:den>
        </m:f>
      </m:oMath>
      <w:r w:rsidRPr="00EA695E">
        <w:rPr>
          <w:rFonts w:ascii="Times New Roman" w:eastAsiaTheme="minorEastAsia" w:hAnsi="Times New Roman" w:cs="Times New Roman"/>
        </w:rPr>
        <w:t xml:space="preserve"> where </w:t>
      </w:r>
      <m:oMath>
        <m:r>
          <w:rPr>
            <w:rFonts w:ascii="Cambria Math" w:eastAsiaTheme="minorEastAsia" w:hAnsi="Cambria Math" w:cs="Times New Roman"/>
          </w:rPr>
          <m:t>h</m:t>
        </m:r>
      </m:oMath>
      <w:r w:rsidRPr="00EA695E">
        <w:rPr>
          <w:rFonts w:ascii="Times New Roman" w:eastAsiaTheme="minorEastAsia" w:hAnsi="Times New Roman" w:cs="Times New Roman"/>
        </w:rPr>
        <w:t xml:space="preserve"> is the relative infectiousness of immunised individuals and </w:t>
      </w:r>
      <m:oMath>
        <m:r>
          <w:rPr>
            <w:rFonts w:ascii="Cambria Math" w:eastAsiaTheme="minorEastAsia" w:hAnsi="Cambria Math" w:cs="Times New Roman"/>
          </w:rPr>
          <m:t>d</m:t>
        </m:r>
      </m:oMath>
      <w:r w:rsidRPr="00EA695E">
        <w:rPr>
          <w:rFonts w:ascii="Times New Roman" w:eastAsiaTheme="minorEastAsia" w:hAnsi="Times New Roman" w:cs="Times New Roman"/>
        </w:rPr>
        <w:t xml:space="preserve"> is the relative change in the duration of infectiousness.</w:t>
      </w:r>
    </w:p>
    <w:p w14:paraId="3A0BF97D" w14:textId="77777777" w:rsidR="00EA695E" w:rsidRPr="00EA695E" w:rsidRDefault="00EA695E" w:rsidP="003D6FBB">
      <w:pPr>
        <w:jc w:val="both"/>
        <w:rPr>
          <w:rFonts w:ascii="Times New Roman" w:hAnsi="Times New Roman" w:cs="Times New Roman"/>
        </w:rPr>
      </w:pPr>
    </w:p>
    <w:p w14:paraId="786EFCAF" w14:textId="77777777" w:rsidR="00EA695E" w:rsidRPr="00EA695E" w:rsidRDefault="00EA695E" w:rsidP="003D6FBB">
      <w:pPr>
        <w:jc w:val="both"/>
        <w:rPr>
          <w:rFonts w:ascii="Times New Roman" w:hAnsi="Times New Roman" w:cs="Times New Roman"/>
        </w:rPr>
      </w:pPr>
      <w:r w:rsidRPr="00EA695E">
        <w:rPr>
          <w:rFonts w:ascii="Times New Roman" w:eastAsiaTheme="minorEastAsia" w:hAnsi="Times New Roman" w:cs="Times New Roman"/>
        </w:rPr>
        <w:t>The probability of major epidemic was estimated for each LA in England and Wales.</w:t>
      </w:r>
      <w:r w:rsidRPr="00EA695E">
        <w:rPr>
          <w:rFonts w:ascii="Times New Roman" w:hAnsi="Times New Roman" w:cs="Times New Roman"/>
        </w:rPr>
        <w:t xml:space="preserve"> To estimate the potential for poliovirus circulation the probability of circulation and the number of importation events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j</m:t>
            </m:r>
          </m:sub>
        </m:sSub>
      </m:oMath>
      <w:r w:rsidRPr="00EA695E">
        <w:rPr>
          <w:rFonts w:ascii="Times New Roman" w:hAnsi="Times New Roman" w:cs="Times New Roman"/>
        </w:rPr>
        <w:t xml:space="preserve">) are combined assuming a binomial process. The risk for LA </w:t>
      </w:r>
      <m:oMath>
        <m:r>
          <w:rPr>
            <w:rFonts w:ascii="Cambria Math" w:hAnsi="Cambria Math" w:cs="Times New Roman"/>
          </w:rPr>
          <m:t>i {i=1,…,N}</m:t>
        </m:r>
      </m:oMath>
      <w:r w:rsidRPr="00EA695E">
        <w:rPr>
          <w:rFonts w:ascii="Times New Roman" w:hAnsi="Times New Roman" w:cs="Times New Roman"/>
        </w:rPr>
        <w:t xml:space="preserve"> was estimated by summing over all locations considered to be a potential source (</w:t>
      </w:r>
      <w:r w:rsidRPr="00EA695E">
        <w:rPr>
          <w:rFonts w:ascii="Times New Roman" w:hAnsi="Times New Roman" w:cs="Times New Roman"/>
          <w:i/>
          <w:iCs/>
        </w:rPr>
        <w:t>j</w:t>
      </w:r>
      <w:r w:rsidRPr="00EA695E">
        <w:rPr>
          <w:rFonts w:ascii="Times New Roman" w:hAnsi="Times New Roman" w:cs="Times New Roman"/>
        </w:rPr>
        <w:t>);</w:t>
      </w:r>
    </w:p>
    <w:p w14:paraId="54E0C254" w14:textId="77777777" w:rsidR="00EA695E" w:rsidRPr="00EA695E" w:rsidRDefault="00EA695E" w:rsidP="003D6FBB">
      <w:pPr>
        <w:jc w:val="both"/>
        <w:rPr>
          <w:rFonts w:ascii="Times New Roman" w:hAnsi="Times New Roman" w:cs="Times New Roman"/>
        </w:rPr>
      </w:pPr>
    </w:p>
    <w:p w14:paraId="4D8BFAFD" w14:textId="282FFF78" w:rsidR="00EA695E" w:rsidRPr="00917359" w:rsidRDefault="00551B55" w:rsidP="003D6FBB">
      <w:pPr>
        <w:jc w:val="both"/>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i</m:t>
            </m:r>
          </m:sub>
        </m:sSub>
        <m:r>
          <w:rPr>
            <w:rFonts w:ascii="Cambria Math" w:hAnsi="Cambria Math" w:cs="Times New Roman"/>
          </w:rPr>
          <m:t>=1-</m:t>
        </m:r>
        <m:nary>
          <m:naryPr>
            <m:chr m:val="∑"/>
            <m:limLoc m:val="subSup"/>
            <m:ctrlPr>
              <w:rPr>
                <w:rFonts w:ascii="Cambria Math" w:hAnsi="Cambria Math" w:cs="Times New Roman"/>
                <w:i/>
              </w:rPr>
            </m:ctrlPr>
          </m:naryPr>
          <m:sub>
            <m:r>
              <w:rPr>
                <w:rFonts w:ascii="Cambria Math" w:hAnsi="Cambria Math" w:cs="Times New Roman"/>
              </w:rPr>
              <m:t>j=1</m:t>
            </m:r>
          </m:sub>
          <m:sup>
            <m:r>
              <w:rPr>
                <w:rFonts w:ascii="Cambria Math" w:hAnsi="Cambria Math" w:cs="Times New Roman"/>
              </w:rPr>
              <m:t>N</m:t>
            </m:r>
          </m:sup>
          <m:e>
            <m:sSup>
              <m:sSupPr>
                <m:ctrlPr>
                  <w:rPr>
                    <w:rFonts w:ascii="Cambria Math" w:hAnsi="Cambria Math" w:cs="Times New Roman"/>
                    <w:i/>
                  </w:rPr>
                </m:ctrlPr>
              </m:sSupPr>
              <m:e>
                <m:r>
                  <w:rPr>
                    <w:rFonts w:ascii="Cambria Math" w:hAnsi="Cambria Math" w:cs="Times New Roman"/>
                  </w:rPr>
                  <m:t>(1-</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i</m:t>
                    </m:r>
                  </m:sub>
                </m:sSub>
                <m:r>
                  <w:rPr>
                    <w:rFonts w:ascii="Cambria Math" w:hAnsi="Cambria Math" w:cs="Times New Roman"/>
                  </w:rPr>
                  <m:t>)</m:t>
                </m:r>
              </m:e>
              <m:sup>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j</m:t>
                    </m:r>
                  </m:sub>
                </m:sSub>
              </m:sup>
            </m:sSup>
          </m:e>
        </m:nary>
      </m:oMath>
      <w:r w:rsidR="00EA695E" w:rsidRPr="00917359">
        <w:rPr>
          <w:rFonts w:ascii="Times New Roman" w:hAnsi="Times New Roman" w:cs="Times New Roman"/>
        </w:rPr>
        <w:t xml:space="preserve">. </w:t>
      </w:r>
      <w:r w:rsidR="00917359" w:rsidRPr="00917359">
        <w:rPr>
          <w:rFonts w:ascii="Times New Roman" w:hAnsi="Times New Roman" w:cs="Times New Roman"/>
        </w:rPr>
        <w:t xml:space="preserve">                        </w:t>
      </w:r>
      <w:r w:rsidR="00917359">
        <w:rPr>
          <w:rFonts w:ascii="Times New Roman" w:hAnsi="Times New Roman" w:cs="Times New Roman"/>
        </w:rPr>
        <w:t xml:space="preserve">                                                         </w:t>
      </w:r>
      <w:r w:rsidR="00917359" w:rsidRPr="00917359">
        <w:rPr>
          <w:rFonts w:ascii="Times New Roman" w:hAnsi="Times New Roman" w:cs="Times New Roman"/>
        </w:rPr>
        <w:t xml:space="preserve">  equation 2.1</w:t>
      </w:r>
    </w:p>
    <w:p w14:paraId="0E289A06" w14:textId="77777777" w:rsidR="00EA695E" w:rsidRPr="00EA695E" w:rsidRDefault="00EA695E" w:rsidP="003D6FBB">
      <w:pPr>
        <w:pStyle w:val="ListParagraph"/>
        <w:jc w:val="both"/>
        <w:rPr>
          <w:rFonts w:ascii="Times New Roman" w:hAnsi="Times New Roman" w:cs="Times New Roman"/>
        </w:rPr>
      </w:pPr>
    </w:p>
    <w:p w14:paraId="722E7464" w14:textId="1B1256BD" w:rsidR="00EA695E" w:rsidRPr="00EA695E" w:rsidRDefault="00EA695E" w:rsidP="003D6FBB">
      <w:pPr>
        <w:jc w:val="both"/>
        <w:rPr>
          <w:rFonts w:ascii="Times New Roman" w:hAnsi="Times New Roman" w:cs="Times New Roman"/>
        </w:rPr>
      </w:pPr>
      <w:r w:rsidRPr="00EA695E">
        <w:rPr>
          <w:rFonts w:ascii="Times New Roman" w:hAnsi="Times New Roman" w:cs="Times New Roman"/>
        </w:rPr>
        <w:t>For ENV surveillance in England and Wales to be optimised, sampling should be prioritised within sewage catchment areas with LAs with the highest risk. Wastewater treatment in England and Wales consists of eleven companies that manage regions similar to counties. Analysis of the spatial variation in poliovirus risk does not fully align with the location of sewage catchment areas but we provide an indication of the LAs and corresponding water company, and where possible the sewage treatment works that should be sampled to capture wastewater from each LA. The risk of poliovirus circulation is assumed to vary between wild and VDPVs based on just the location of reported cases and migration between England and Wales and these countries.</w:t>
      </w:r>
    </w:p>
    <w:p w14:paraId="3A76738B" w14:textId="7189018F" w:rsidR="004F370D" w:rsidRPr="004F370D" w:rsidRDefault="004F370D" w:rsidP="003D6FBB">
      <w:pPr>
        <w:spacing w:line="276" w:lineRule="auto"/>
        <w:jc w:val="both"/>
        <w:rPr>
          <w:rFonts w:ascii="Times New Roman" w:hAnsi="Times New Roman" w:cs="Times New Roman"/>
          <w:color w:val="000000" w:themeColor="text1"/>
        </w:rPr>
      </w:pPr>
    </w:p>
    <w:p w14:paraId="60671B66" w14:textId="0C22AD85" w:rsidR="004F370D" w:rsidRPr="004F370D" w:rsidRDefault="004F370D" w:rsidP="003D6FBB">
      <w:pPr>
        <w:jc w:val="both"/>
        <w:rPr>
          <w:rFonts w:ascii="Times New Roman" w:hAnsi="Times New Roman" w:cs="Times New Roman"/>
        </w:rPr>
      </w:pPr>
      <w:r>
        <w:rPr>
          <w:rFonts w:ascii="Times New Roman" w:hAnsi="Times New Roman" w:cs="Times New Roman"/>
        </w:rPr>
        <w:t>T</w:t>
      </w:r>
      <w:r w:rsidRPr="007B02C5">
        <w:rPr>
          <w:rFonts w:ascii="Times New Roman" w:hAnsi="Times New Roman" w:cs="Times New Roman"/>
        </w:rPr>
        <w:t xml:space="preserve">he </w:t>
      </w:r>
      <w:r>
        <w:rPr>
          <w:rFonts w:ascii="Times New Roman" w:hAnsi="Times New Roman" w:cs="Times New Roman"/>
        </w:rPr>
        <w:t>estimated number of importations of either wild or VDPV poliovirus (</w:t>
      </w:r>
      <w:r w:rsidRPr="004F370D">
        <w:rPr>
          <w:rFonts w:ascii="Times New Roman" w:hAnsi="Times New Roman" w:cs="Times New Roman"/>
          <w:i/>
        </w:rPr>
        <w:t>M</w:t>
      </w:r>
      <w:r>
        <w:rPr>
          <w:rFonts w:ascii="Times New Roman" w:hAnsi="Times New Roman" w:cs="Times New Roman"/>
        </w:rPr>
        <w:t>) is a function of the number of number of visitors to (N(</w:t>
      </w:r>
      <w:proofErr w:type="spellStart"/>
      <w:r w:rsidR="00FD5261">
        <w:rPr>
          <w:rFonts w:ascii="Times New Roman" w:hAnsi="Times New Roman" w:cs="Times New Roman"/>
        </w:rPr>
        <w:t>i</w:t>
      </w:r>
      <w:r>
        <w:rPr>
          <w:rFonts w:ascii="Times New Roman" w:hAnsi="Times New Roman" w:cs="Times New Roman"/>
        </w:rPr>
        <w:t>,j</w:t>
      </w:r>
      <w:proofErr w:type="spellEnd"/>
      <w:r>
        <w:rPr>
          <w:rFonts w:ascii="Times New Roman" w:hAnsi="Times New Roman" w:cs="Times New Roman"/>
        </w:rPr>
        <w:t>)) and from each country (N(</w:t>
      </w:r>
      <w:proofErr w:type="spellStart"/>
      <w:r>
        <w:rPr>
          <w:rFonts w:ascii="Times New Roman" w:hAnsi="Times New Roman" w:cs="Times New Roman"/>
        </w:rPr>
        <w:t>j,i</w:t>
      </w:r>
      <w:proofErr w:type="spellEnd"/>
      <w:r>
        <w:rPr>
          <w:rFonts w:ascii="Times New Roman" w:hAnsi="Times New Roman" w:cs="Times New Roman"/>
        </w:rPr>
        <w:t>)), their vaccination status (v(</w:t>
      </w:r>
      <w:proofErr w:type="spellStart"/>
      <w:r>
        <w:rPr>
          <w:rFonts w:ascii="Times New Roman" w:hAnsi="Times New Roman" w:cs="Times New Roman"/>
        </w:rPr>
        <w:t>i</w:t>
      </w:r>
      <w:proofErr w:type="spellEnd"/>
      <w:r>
        <w:rPr>
          <w:rFonts w:ascii="Times New Roman" w:hAnsi="Times New Roman" w:cs="Times New Roman"/>
        </w:rPr>
        <w:t xml:space="preserve">) and v(j)), and the incidence of WPV and VDPVs within each country. </w:t>
      </w:r>
    </w:p>
    <w:p w14:paraId="4B288DF6" w14:textId="77777777" w:rsidR="004F370D" w:rsidRDefault="004F370D" w:rsidP="003D6FBB">
      <w:pPr>
        <w:jc w:val="both"/>
        <w:rPr>
          <w:rFonts w:ascii="Times New Roman" w:hAnsi="Times New Roman" w:cs="Times New Roman"/>
        </w:rPr>
      </w:pPr>
    </w:p>
    <w:p w14:paraId="162B91CE" w14:textId="3DBC5AED" w:rsidR="004F370D" w:rsidRPr="004F370D" w:rsidRDefault="00551B55" w:rsidP="003D6FBB">
      <w:pPr>
        <w:jc w:val="both"/>
        <w:rPr>
          <w:rFonts w:ascii="Times New Roman" w:eastAsiaTheme="minorEastAsia" w:hAnsi="Times New Roman" w:cs="Times New Roman"/>
        </w:rPr>
      </w:pPr>
      <m:oMath>
        <m:sSub>
          <m:sSubPr>
            <m:ctrlPr>
              <w:rPr>
                <w:rFonts w:ascii="Cambria Math" w:hAnsi="Cambria Math" w:cs="Times New Roman"/>
              </w:rPr>
            </m:ctrlPr>
          </m:sSubPr>
          <m:e>
            <m:r>
              <w:rPr>
                <w:rFonts w:ascii="Cambria Math" w:hAnsi="Cambria Math" w:cs="Times New Roman"/>
              </w:rPr>
              <m:t>M</m:t>
            </m:r>
          </m:e>
          <m:sub>
            <m:r>
              <w:rPr>
                <w:rFonts w:ascii="Cambria Math" w:hAnsi="Cambria Math" w:cs="Times New Roman"/>
              </w:rPr>
              <m:t>WPV</m:t>
            </m:r>
          </m:sub>
        </m:sSub>
        <m:d>
          <m:dPr>
            <m:ctrlPr>
              <w:rPr>
                <w:rFonts w:ascii="Cambria Math" w:hAnsi="Cambria Math" w:cs="Times New Roman"/>
              </w:rPr>
            </m:ctrlPr>
          </m:dPr>
          <m:e>
            <m:r>
              <m:rPr>
                <m:sty m:val="p"/>
              </m:rPr>
              <w:rPr>
                <w:rFonts w:ascii="Cambria Math" w:hAnsi="Cambria Math" w:cs="Times New Roman"/>
              </w:rPr>
              <m:t>j</m:t>
            </m:r>
          </m:e>
        </m:d>
        <m:r>
          <m:rPr>
            <m:sty m:val="p"/>
          </m:rPr>
          <w:rPr>
            <w:rFonts w:ascii="Cambria Math" w:hAnsi="Cambria Math" w:cs="Times New Roman"/>
          </w:rPr>
          <m:t>=N</m:t>
        </m:r>
        <m:d>
          <m:dPr>
            <m:ctrlPr>
              <w:rPr>
                <w:rFonts w:ascii="Cambria Math" w:hAnsi="Cambria Math" w:cs="Times New Roman"/>
              </w:rPr>
            </m:ctrlPr>
          </m:dPr>
          <m:e>
            <m:r>
              <m:rPr>
                <m:sty m:val="p"/>
              </m:rPr>
              <w:rPr>
                <w:rFonts w:ascii="Cambria Math" w:hAnsi="Cambria Math" w:cs="Times New Roman"/>
              </w:rPr>
              <m:t>i,j</m:t>
            </m:r>
          </m:e>
        </m:d>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I</m:t>
            </m:r>
          </m:e>
          <m:sub>
            <m:r>
              <w:rPr>
                <w:rFonts w:ascii="Cambria Math" w:hAnsi="Cambria Math" w:cs="Times New Roman"/>
              </w:rPr>
              <m:t>WPV</m:t>
            </m:r>
          </m:sub>
        </m:sSub>
        <m:d>
          <m:dPr>
            <m:ctrlPr>
              <w:rPr>
                <w:rFonts w:ascii="Cambria Math" w:hAnsi="Cambria Math" w:cs="Times New Roman"/>
              </w:rPr>
            </m:ctrlPr>
          </m:dPr>
          <m:e>
            <m:r>
              <m:rPr>
                <m:sty m:val="p"/>
              </m:rPr>
              <w:rPr>
                <w:rFonts w:ascii="Cambria Math" w:hAnsi="Cambria Math" w:cs="Times New Roman"/>
              </w:rPr>
              <m:t>j</m:t>
            </m:r>
          </m:e>
        </m:d>
        <m:r>
          <m:rPr>
            <m:sty m:val="p"/>
          </m:rPr>
          <w:rPr>
            <w:rFonts w:ascii="Cambria Math" w:hAnsi="Cambria Math" w:cs="Times New Roman"/>
          </w:rPr>
          <m:t>.(1-ν</m:t>
        </m:r>
        <m:d>
          <m:dPr>
            <m:ctrlPr>
              <w:rPr>
                <w:rFonts w:ascii="Cambria Math" w:hAnsi="Cambria Math" w:cs="Times New Roman"/>
              </w:rPr>
            </m:ctrlPr>
          </m:dPr>
          <m:e>
            <m:r>
              <m:rPr>
                <m:sty m:val="p"/>
              </m:rPr>
              <w:rPr>
                <w:rFonts w:ascii="Cambria Math" w:hAnsi="Cambria Math" w:cs="Times New Roman"/>
              </w:rPr>
              <m:t>i</m:t>
            </m:r>
          </m:e>
        </m:d>
        <m:r>
          <m:rPr>
            <m:sty m:val="p"/>
          </m:rPr>
          <w:rPr>
            <w:rFonts w:ascii="Cambria Math" w:hAnsi="Cambria Math" w:cs="Times New Roman"/>
          </w:rPr>
          <m:t>)+N</m:t>
        </m:r>
        <m:d>
          <m:dPr>
            <m:ctrlPr>
              <w:rPr>
                <w:rFonts w:ascii="Cambria Math" w:hAnsi="Cambria Math" w:cs="Times New Roman"/>
              </w:rPr>
            </m:ctrlPr>
          </m:dPr>
          <m:e>
            <m:r>
              <m:rPr>
                <m:sty m:val="p"/>
              </m:rPr>
              <w:rPr>
                <w:rFonts w:ascii="Cambria Math" w:hAnsi="Cambria Math" w:cs="Times New Roman"/>
              </w:rPr>
              <m:t>j,i</m:t>
            </m:r>
          </m:e>
        </m:d>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I</m:t>
            </m:r>
          </m:e>
          <m:sub>
            <m:r>
              <w:rPr>
                <w:rFonts w:ascii="Cambria Math" w:hAnsi="Cambria Math" w:cs="Times New Roman"/>
              </w:rPr>
              <m:t>WPV</m:t>
            </m:r>
          </m:sub>
        </m:sSub>
        <m:d>
          <m:dPr>
            <m:ctrlPr>
              <w:rPr>
                <w:rFonts w:ascii="Cambria Math" w:hAnsi="Cambria Math" w:cs="Times New Roman"/>
              </w:rPr>
            </m:ctrlPr>
          </m:dPr>
          <m:e>
            <m:r>
              <m:rPr>
                <m:sty m:val="p"/>
              </m:rPr>
              <w:rPr>
                <w:rFonts w:ascii="Cambria Math" w:hAnsi="Cambria Math" w:cs="Times New Roman"/>
              </w:rPr>
              <m:t>j</m:t>
            </m:r>
          </m:e>
        </m:d>
        <m:r>
          <m:rPr>
            <m:sty m:val="p"/>
          </m:rPr>
          <w:rPr>
            <w:rFonts w:ascii="Cambria Math" w:hAnsi="Cambria Math" w:cs="Times New Roman"/>
          </w:rPr>
          <m:t>.(1-ν</m:t>
        </m:r>
        <m:d>
          <m:dPr>
            <m:ctrlPr>
              <w:rPr>
                <w:rFonts w:ascii="Cambria Math" w:hAnsi="Cambria Math" w:cs="Times New Roman"/>
              </w:rPr>
            </m:ctrlPr>
          </m:dPr>
          <m:e>
            <m:r>
              <m:rPr>
                <m:sty m:val="p"/>
              </m:rPr>
              <w:rPr>
                <w:rFonts w:ascii="Cambria Math" w:hAnsi="Cambria Math" w:cs="Times New Roman"/>
              </w:rPr>
              <m:t>j</m:t>
            </m:r>
          </m:e>
        </m:d>
        <m:r>
          <m:rPr>
            <m:sty m:val="p"/>
          </m:rPr>
          <w:rPr>
            <w:rFonts w:ascii="Cambria Math" w:hAnsi="Cambria Math" w:cs="Times New Roman"/>
          </w:rPr>
          <m:t>)</m:t>
        </m:r>
      </m:oMath>
      <w:r w:rsidR="00917359">
        <w:rPr>
          <w:rFonts w:ascii="Times New Roman" w:eastAsiaTheme="minorEastAsia" w:hAnsi="Times New Roman" w:cs="Times New Roman"/>
        </w:rPr>
        <w:t xml:space="preserve">               equation 2.2</w:t>
      </w:r>
    </w:p>
    <w:p w14:paraId="18A31F53" w14:textId="77777777" w:rsidR="004F370D" w:rsidRPr="004F370D" w:rsidRDefault="004F370D" w:rsidP="003D6FBB">
      <w:pPr>
        <w:jc w:val="both"/>
        <w:rPr>
          <w:rFonts w:ascii="Times New Roman" w:eastAsiaTheme="minorEastAsia" w:hAnsi="Times New Roman" w:cs="Times New Roman"/>
        </w:rPr>
      </w:pPr>
    </w:p>
    <w:p w14:paraId="18B3BC64" w14:textId="228AD9B5" w:rsidR="004F370D" w:rsidRPr="00FD5261" w:rsidRDefault="00551B55" w:rsidP="003D6FBB">
      <w:pPr>
        <w:jc w:val="both"/>
        <w:rPr>
          <w:rFonts w:ascii="Times New Roman" w:eastAsiaTheme="minorEastAsia" w:hAnsi="Times New Roman" w:cs="Times New Roman"/>
        </w:rPr>
      </w:pPr>
      <m:oMath>
        <m:sSub>
          <m:sSubPr>
            <m:ctrlPr>
              <w:rPr>
                <w:rFonts w:ascii="Cambria Math" w:hAnsi="Cambria Math" w:cs="Times New Roman"/>
              </w:rPr>
            </m:ctrlPr>
          </m:sSubPr>
          <m:e>
            <m:r>
              <w:rPr>
                <w:rFonts w:ascii="Cambria Math" w:hAnsi="Cambria Math" w:cs="Times New Roman"/>
              </w:rPr>
              <m:t>M</m:t>
            </m:r>
          </m:e>
          <m:sub>
            <m:r>
              <w:rPr>
                <w:rFonts w:ascii="Cambria Math" w:hAnsi="Cambria Math" w:cs="Times New Roman"/>
              </w:rPr>
              <m:t>VDPV</m:t>
            </m:r>
          </m:sub>
        </m:sSub>
        <m:d>
          <m:dPr>
            <m:ctrlPr>
              <w:rPr>
                <w:rFonts w:ascii="Cambria Math" w:hAnsi="Cambria Math" w:cs="Times New Roman"/>
              </w:rPr>
            </m:ctrlPr>
          </m:dPr>
          <m:e>
            <m:r>
              <m:rPr>
                <m:sty m:val="p"/>
              </m:rPr>
              <w:rPr>
                <w:rFonts w:ascii="Cambria Math" w:hAnsi="Cambria Math" w:cs="Times New Roman"/>
              </w:rPr>
              <m:t>j</m:t>
            </m:r>
          </m:e>
        </m:d>
        <m:r>
          <m:rPr>
            <m:sty m:val="p"/>
          </m:rPr>
          <w:rPr>
            <w:rFonts w:ascii="Cambria Math" w:hAnsi="Cambria Math" w:cs="Times New Roman"/>
          </w:rPr>
          <m:t>=N</m:t>
        </m:r>
        <m:d>
          <m:dPr>
            <m:ctrlPr>
              <w:rPr>
                <w:rFonts w:ascii="Cambria Math" w:hAnsi="Cambria Math" w:cs="Times New Roman"/>
              </w:rPr>
            </m:ctrlPr>
          </m:dPr>
          <m:e>
            <m:r>
              <m:rPr>
                <m:sty m:val="p"/>
              </m:rPr>
              <w:rPr>
                <w:rFonts w:ascii="Cambria Math" w:hAnsi="Cambria Math" w:cs="Times New Roman"/>
              </w:rPr>
              <m:t>i,j</m:t>
            </m:r>
          </m:e>
        </m:d>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I</m:t>
            </m:r>
          </m:e>
          <m:sub>
            <m:r>
              <w:rPr>
                <w:rFonts w:ascii="Cambria Math" w:hAnsi="Cambria Math" w:cs="Times New Roman"/>
              </w:rPr>
              <m:t>VDPV</m:t>
            </m:r>
          </m:sub>
        </m:sSub>
        <m:d>
          <m:dPr>
            <m:ctrlPr>
              <w:rPr>
                <w:rFonts w:ascii="Cambria Math" w:hAnsi="Cambria Math" w:cs="Times New Roman"/>
              </w:rPr>
            </m:ctrlPr>
          </m:dPr>
          <m:e>
            <m:r>
              <m:rPr>
                <m:sty m:val="p"/>
              </m:rPr>
              <w:rPr>
                <w:rFonts w:ascii="Cambria Math" w:hAnsi="Cambria Math" w:cs="Times New Roman"/>
              </w:rPr>
              <m:t>j</m:t>
            </m:r>
          </m:e>
        </m:d>
        <m:r>
          <m:rPr>
            <m:sty m:val="p"/>
          </m:rPr>
          <w:rPr>
            <w:rFonts w:ascii="Cambria Math" w:hAnsi="Cambria Math" w:cs="Times New Roman"/>
          </w:rPr>
          <m:t>.(1-ν</m:t>
        </m:r>
        <m:d>
          <m:dPr>
            <m:ctrlPr>
              <w:rPr>
                <w:rFonts w:ascii="Cambria Math" w:hAnsi="Cambria Math" w:cs="Times New Roman"/>
              </w:rPr>
            </m:ctrlPr>
          </m:dPr>
          <m:e>
            <m:r>
              <m:rPr>
                <m:sty m:val="p"/>
              </m:rPr>
              <w:rPr>
                <w:rFonts w:ascii="Cambria Math" w:hAnsi="Cambria Math" w:cs="Times New Roman"/>
              </w:rPr>
              <m:t>i</m:t>
            </m:r>
          </m:e>
        </m:d>
        <m:r>
          <m:rPr>
            <m:sty m:val="p"/>
          </m:rPr>
          <w:rPr>
            <w:rFonts w:ascii="Cambria Math" w:hAnsi="Cambria Math" w:cs="Times New Roman"/>
          </w:rPr>
          <m:t>)+N</m:t>
        </m:r>
        <m:d>
          <m:dPr>
            <m:ctrlPr>
              <w:rPr>
                <w:rFonts w:ascii="Cambria Math" w:hAnsi="Cambria Math" w:cs="Times New Roman"/>
              </w:rPr>
            </m:ctrlPr>
          </m:dPr>
          <m:e>
            <m:r>
              <m:rPr>
                <m:sty m:val="p"/>
              </m:rPr>
              <w:rPr>
                <w:rFonts w:ascii="Cambria Math" w:hAnsi="Cambria Math" w:cs="Times New Roman"/>
              </w:rPr>
              <m:t>j,i</m:t>
            </m:r>
          </m:e>
        </m:d>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I</m:t>
            </m:r>
          </m:e>
          <m:sub>
            <m:r>
              <w:rPr>
                <w:rFonts w:ascii="Cambria Math" w:hAnsi="Cambria Math" w:cs="Times New Roman"/>
              </w:rPr>
              <m:t>VDPV</m:t>
            </m:r>
          </m:sub>
        </m:sSub>
        <m:d>
          <m:dPr>
            <m:ctrlPr>
              <w:rPr>
                <w:rFonts w:ascii="Cambria Math" w:hAnsi="Cambria Math" w:cs="Times New Roman"/>
              </w:rPr>
            </m:ctrlPr>
          </m:dPr>
          <m:e>
            <m:r>
              <m:rPr>
                <m:sty m:val="p"/>
              </m:rPr>
              <w:rPr>
                <w:rFonts w:ascii="Cambria Math" w:hAnsi="Cambria Math" w:cs="Times New Roman"/>
              </w:rPr>
              <m:t>j</m:t>
            </m:r>
          </m:e>
        </m:d>
        <m:r>
          <m:rPr>
            <m:sty m:val="p"/>
          </m:rPr>
          <w:rPr>
            <w:rFonts w:ascii="Cambria Math" w:hAnsi="Cambria Math" w:cs="Times New Roman"/>
          </w:rPr>
          <m:t>.(1-ν</m:t>
        </m:r>
        <m:d>
          <m:dPr>
            <m:ctrlPr>
              <w:rPr>
                <w:rFonts w:ascii="Cambria Math" w:hAnsi="Cambria Math" w:cs="Times New Roman"/>
              </w:rPr>
            </m:ctrlPr>
          </m:dPr>
          <m:e>
            <m:r>
              <m:rPr>
                <m:sty m:val="p"/>
              </m:rPr>
              <w:rPr>
                <w:rFonts w:ascii="Cambria Math" w:hAnsi="Cambria Math" w:cs="Times New Roman"/>
              </w:rPr>
              <m:t>j</m:t>
            </m:r>
          </m:e>
        </m:d>
        <m:r>
          <m:rPr>
            <m:sty m:val="p"/>
          </m:rPr>
          <w:rPr>
            <w:rFonts w:ascii="Cambria Math" w:hAnsi="Cambria Math" w:cs="Times New Roman"/>
          </w:rPr>
          <m:t>)</m:t>
        </m:r>
      </m:oMath>
      <w:r w:rsidR="00917359">
        <w:rPr>
          <w:rFonts w:ascii="Times New Roman" w:eastAsiaTheme="minorEastAsia" w:hAnsi="Times New Roman" w:cs="Times New Roman"/>
        </w:rPr>
        <w:t xml:space="preserve">            equation 2.3</w:t>
      </w:r>
    </w:p>
    <w:p w14:paraId="04BB8E72" w14:textId="2A544F62" w:rsidR="00FD5261" w:rsidRDefault="00FD5261" w:rsidP="003D6FBB">
      <w:pPr>
        <w:jc w:val="both"/>
        <w:rPr>
          <w:rFonts w:ascii="Times New Roman" w:eastAsiaTheme="minorEastAsia" w:hAnsi="Times New Roman" w:cs="Times New Roman"/>
        </w:rPr>
      </w:pPr>
    </w:p>
    <w:p w14:paraId="300DCC20" w14:textId="201957DF" w:rsidR="004F370D" w:rsidRPr="000C1714" w:rsidRDefault="00FD5261" w:rsidP="003D6FBB">
      <w:pPr>
        <w:jc w:val="both"/>
        <w:rPr>
          <w:rFonts w:ascii="Times New Roman" w:hAnsi="Times New Roman" w:cs="Times New Roman"/>
        </w:rPr>
      </w:pPr>
      <w:r>
        <w:rPr>
          <w:rFonts w:ascii="Times New Roman" w:eastAsiaTheme="minorEastAsia" w:hAnsi="Times New Roman" w:cs="Times New Roman"/>
        </w:rPr>
        <w:t xml:space="preserve">The total number of movements are </w:t>
      </w:r>
      <m:oMath>
        <m:sSub>
          <m:sSubPr>
            <m:ctrlPr>
              <w:rPr>
                <w:rFonts w:ascii="Cambria Math" w:eastAsiaTheme="minorEastAsia" w:hAnsi="Cambria Math" w:cs="Times New Roman"/>
                <w:i/>
              </w:rPr>
            </m:ctrlPr>
          </m:sSubPr>
          <m:e>
            <m:r>
              <w:rPr>
                <w:rFonts w:ascii="Cambria Math" w:eastAsiaTheme="minorEastAsia" w:hAnsi="Cambria Math" w:cs="Times New Roman"/>
              </w:rPr>
              <m:t>M</m:t>
            </m:r>
          </m:e>
          <m:sub>
            <m:r>
              <w:rPr>
                <w:rFonts w:ascii="Cambria Math" w:eastAsiaTheme="minorEastAsia" w:hAnsi="Cambria Math" w:cs="Times New Roman"/>
              </w:rPr>
              <m:t>j</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M</m:t>
            </m:r>
          </m:e>
          <m:sub>
            <m:r>
              <w:rPr>
                <w:rFonts w:ascii="Cambria Math" w:eastAsiaTheme="minorEastAsia" w:hAnsi="Cambria Math" w:cs="Times New Roman"/>
              </w:rPr>
              <m:t>WPV,j</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M</m:t>
            </m:r>
          </m:e>
          <m:sub>
            <m:r>
              <w:rPr>
                <w:rFonts w:ascii="Cambria Math" w:eastAsiaTheme="minorEastAsia" w:hAnsi="Cambria Math" w:cs="Times New Roman"/>
              </w:rPr>
              <m:t>VDPV,j</m:t>
            </m:r>
          </m:sub>
        </m:sSub>
      </m:oMath>
      <w:r>
        <w:rPr>
          <w:rFonts w:ascii="Times New Roman" w:eastAsiaTheme="minorEastAsia" w:hAnsi="Times New Roman" w:cs="Times New Roman"/>
        </w:rPr>
        <w:t>.</w:t>
      </w:r>
    </w:p>
    <w:p w14:paraId="2E513A13" w14:textId="77777777" w:rsidR="004F370D" w:rsidRPr="004F370D" w:rsidRDefault="004F370D" w:rsidP="003D6FBB">
      <w:pPr>
        <w:spacing w:line="276" w:lineRule="auto"/>
        <w:jc w:val="both"/>
        <w:rPr>
          <w:rFonts w:ascii="Times New Roman" w:hAnsi="Times New Roman" w:cs="Times New Roman"/>
          <w:color w:val="000000" w:themeColor="text1"/>
        </w:rPr>
      </w:pPr>
    </w:p>
    <w:p w14:paraId="2C21E441" w14:textId="703D77CA" w:rsidR="00065CA6" w:rsidRPr="00A51797" w:rsidRDefault="00065CA6" w:rsidP="003D6FBB">
      <w:pPr>
        <w:pStyle w:val="ListParagraph"/>
        <w:numPr>
          <w:ilvl w:val="0"/>
          <w:numId w:val="1"/>
        </w:numPr>
        <w:spacing w:line="276" w:lineRule="auto"/>
        <w:jc w:val="both"/>
        <w:rPr>
          <w:rFonts w:ascii="Times New Roman" w:hAnsi="Times New Roman" w:cs="Times New Roman"/>
          <w:b/>
          <w:bCs/>
          <w:color w:val="000000" w:themeColor="text1"/>
        </w:rPr>
      </w:pPr>
      <w:r w:rsidRPr="00A51797">
        <w:rPr>
          <w:rFonts w:ascii="Times New Roman" w:hAnsi="Times New Roman" w:cs="Times New Roman"/>
          <w:b/>
          <w:bCs/>
          <w:color w:val="000000" w:themeColor="text1"/>
        </w:rPr>
        <w:t>Estimation of surveillance sensitivity</w:t>
      </w:r>
    </w:p>
    <w:p w14:paraId="539D1157" w14:textId="68B3F73A" w:rsidR="00E2285C" w:rsidRPr="004F370D" w:rsidRDefault="00E2285C" w:rsidP="003D6FBB">
      <w:pPr>
        <w:spacing w:line="276" w:lineRule="auto"/>
        <w:jc w:val="both"/>
        <w:rPr>
          <w:rFonts w:ascii="Times New Roman" w:hAnsi="Times New Roman" w:cs="Times New Roman"/>
          <w:color w:val="000000" w:themeColor="text1"/>
        </w:rPr>
      </w:pPr>
    </w:p>
    <w:p w14:paraId="06700B94" w14:textId="6C887794" w:rsidR="00B94660" w:rsidRDefault="00B94660" w:rsidP="003D6FBB">
      <w:pPr>
        <w:spacing w:line="276"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The methods for estimating the sensitivity of each mode of surveillance </w:t>
      </w:r>
      <w:r w:rsidR="0082276F">
        <w:rPr>
          <w:rFonts w:ascii="Times New Roman" w:hAnsi="Times New Roman" w:cs="Times New Roman"/>
          <w:color w:val="000000" w:themeColor="text1"/>
        </w:rPr>
        <w:t>are</w:t>
      </w:r>
      <w:r>
        <w:rPr>
          <w:rFonts w:ascii="Times New Roman" w:hAnsi="Times New Roman" w:cs="Times New Roman"/>
          <w:color w:val="000000" w:themeColor="text1"/>
        </w:rPr>
        <w:t xml:space="preserve"> first described. </w:t>
      </w:r>
    </w:p>
    <w:p w14:paraId="2036B113" w14:textId="77777777" w:rsidR="00B94660" w:rsidRDefault="00B94660" w:rsidP="003D6FBB">
      <w:pPr>
        <w:spacing w:line="276" w:lineRule="auto"/>
        <w:jc w:val="both"/>
        <w:rPr>
          <w:rFonts w:ascii="Times New Roman" w:hAnsi="Times New Roman" w:cs="Times New Roman"/>
          <w:color w:val="000000" w:themeColor="text1"/>
        </w:rPr>
      </w:pPr>
    </w:p>
    <w:p w14:paraId="3DBBB457" w14:textId="2FABD231" w:rsidR="001A7906" w:rsidRDefault="00E2285C" w:rsidP="003D6FBB">
      <w:pPr>
        <w:spacing w:line="276" w:lineRule="auto"/>
        <w:jc w:val="both"/>
        <w:rPr>
          <w:rFonts w:ascii="Times New Roman" w:hAnsi="Times New Roman" w:cs="Times New Roman"/>
          <w:color w:val="000000" w:themeColor="text1"/>
        </w:rPr>
      </w:pPr>
      <w:r w:rsidRPr="004F370D">
        <w:rPr>
          <w:rFonts w:ascii="Times New Roman" w:hAnsi="Times New Roman" w:cs="Times New Roman"/>
          <w:color w:val="000000" w:themeColor="text1"/>
        </w:rPr>
        <w:t>For one poliovirus infection</w:t>
      </w:r>
      <w:r w:rsidR="0077381B" w:rsidRPr="004F370D">
        <w:rPr>
          <w:rFonts w:ascii="Times New Roman" w:hAnsi="Times New Roman" w:cs="Times New Roman"/>
          <w:color w:val="000000" w:themeColor="text1"/>
        </w:rPr>
        <w:t xml:space="preserve"> </w:t>
      </w:r>
      <w:r w:rsidRPr="004F370D">
        <w:rPr>
          <w:rFonts w:ascii="Times New Roman" w:hAnsi="Times New Roman" w:cs="Times New Roman"/>
          <w:color w:val="000000" w:themeColor="text1"/>
        </w:rPr>
        <w:t>the sensitivity of detection</w:t>
      </w:r>
      <w:r w:rsidR="005679FB">
        <w:rPr>
          <w:rFonts w:ascii="Times New Roman" w:hAnsi="Times New Roman" w:cs="Times New Roman"/>
          <w:color w:val="000000" w:themeColor="text1"/>
        </w:rPr>
        <w:t xml:space="preserve"> </w:t>
      </w:r>
      <w:r w:rsidR="005679FB" w:rsidRPr="004F370D">
        <w:rPr>
          <w:rFonts w:ascii="Times New Roman" w:hAnsi="Times New Roman" w:cs="Times New Roman"/>
          <w:color w:val="000000" w:themeColor="text1"/>
        </w:rPr>
        <w:t>through AFP surveillance</w:t>
      </w:r>
      <w:r w:rsidR="0077381B" w:rsidRPr="004F370D">
        <w:rPr>
          <w:rFonts w:ascii="Times New Roman" w:hAnsi="Times New Roman" w:cs="Times New Roman"/>
          <w:color w:val="000000" w:themeColor="text1"/>
        </w:rPr>
        <w:t xml:space="preserve"> (</w:t>
      </w:r>
      <w:proofErr w:type="spellStart"/>
      <w:r w:rsidR="0077381B" w:rsidRPr="004F370D">
        <w:rPr>
          <w:rFonts w:ascii="Times New Roman" w:hAnsi="Times New Roman" w:cs="Times New Roman"/>
          <w:color w:val="000000" w:themeColor="text1"/>
        </w:rPr>
        <w:t>SeU</w:t>
      </w:r>
      <w:r w:rsidR="0077381B" w:rsidRPr="004F370D">
        <w:rPr>
          <w:rFonts w:ascii="Times New Roman" w:hAnsi="Times New Roman" w:cs="Times New Roman"/>
          <w:color w:val="000000" w:themeColor="text1"/>
          <w:vertAlign w:val="subscript"/>
        </w:rPr>
        <w:t>AFP</w:t>
      </w:r>
      <w:proofErr w:type="spellEnd"/>
      <w:r w:rsidR="0077381B" w:rsidRPr="004F370D">
        <w:rPr>
          <w:rFonts w:ascii="Times New Roman" w:hAnsi="Times New Roman" w:cs="Times New Roman"/>
          <w:color w:val="000000" w:themeColor="text1"/>
        </w:rPr>
        <w:t>)</w:t>
      </w:r>
      <w:r w:rsidRPr="004F370D">
        <w:rPr>
          <w:rFonts w:ascii="Times New Roman" w:hAnsi="Times New Roman" w:cs="Times New Roman"/>
          <w:color w:val="000000" w:themeColor="text1"/>
        </w:rPr>
        <w:t xml:space="preserve"> </w:t>
      </w:r>
      <w:r w:rsidR="0077381B" w:rsidRPr="004F370D">
        <w:rPr>
          <w:rFonts w:ascii="Times New Roman" w:hAnsi="Times New Roman" w:cs="Times New Roman"/>
          <w:color w:val="000000" w:themeColor="text1"/>
        </w:rPr>
        <w:t>is estimated by taking the product</w:t>
      </w:r>
      <w:r w:rsidR="00B94660">
        <w:rPr>
          <w:rFonts w:ascii="Times New Roman" w:hAnsi="Times New Roman" w:cs="Times New Roman"/>
          <w:color w:val="000000" w:themeColor="text1"/>
        </w:rPr>
        <w:t xml:space="preserve"> of each</w:t>
      </w:r>
      <w:r w:rsidR="0077381B" w:rsidRPr="004F370D">
        <w:rPr>
          <w:rFonts w:ascii="Times New Roman" w:hAnsi="Times New Roman" w:cs="Times New Roman"/>
          <w:color w:val="000000" w:themeColor="text1"/>
        </w:rPr>
        <w:t xml:space="preserve"> </w:t>
      </w:r>
      <w:r w:rsidR="00B94660">
        <w:rPr>
          <w:rFonts w:ascii="Times New Roman" w:hAnsi="Times New Roman" w:cs="Times New Roman"/>
          <w:color w:val="000000" w:themeColor="text1"/>
        </w:rPr>
        <w:t xml:space="preserve">step </w:t>
      </w:r>
      <w:r w:rsidR="005679FB">
        <w:rPr>
          <w:rFonts w:ascii="Times New Roman" w:hAnsi="Times New Roman" w:cs="Times New Roman"/>
          <w:color w:val="000000" w:themeColor="text1"/>
        </w:rPr>
        <w:t xml:space="preserve">in </w:t>
      </w:r>
      <w:r w:rsidR="00B94660">
        <w:rPr>
          <w:rFonts w:ascii="Times New Roman" w:hAnsi="Times New Roman" w:cs="Times New Roman"/>
          <w:color w:val="000000" w:themeColor="text1"/>
        </w:rPr>
        <w:t>the detection pathway (</w:t>
      </w:r>
      <w:proofErr w:type="spellStart"/>
      <w:r w:rsidR="00B94660">
        <w:rPr>
          <w:rFonts w:ascii="Times New Roman" w:hAnsi="Times New Roman" w:cs="Times New Roman"/>
          <w:color w:val="000000" w:themeColor="text1"/>
        </w:rPr>
        <w:t>ie</w:t>
      </w:r>
      <w:proofErr w:type="spellEnd"/>
      <w:r w:rsidR="00B94660">
        <w:rPr>
          <w:rFonts w:ascii="Times New Roman" w:hAnsi="Times New Roman" w:cs="Times New Roman"/>
          <w:color w:val="000000" w:themeColor="text1"/>
        </w:rPr>
        <w:t xml:space="preserve">. from the probability of an infection being symptomatic through to the probability of the diagnostic test being positive, see Figure </w:t>
      </w:r>
      <w:r w:rsidR="00BD41A3">
        <w:rPr>
          <w:rFonts w:ascii="Times New Roman" w:hAnsi="Times New Roman" w:cs="Times New Roman"/>
          <w:color w:val="000000" w:themeColor="text1"/>
        </w:rPr>
        <w:t>1</w:t>
      </w:r>
      <w:r w:rsidR="00B94660">
        <w:rPr>
          <w:rFonts w:ascii="Times New Roman" w:hAnsi="Times New Roman" w:cs="Times New Roman"/>
          <w:color w:val="000000" w:themeColor="text1"/>
        </w:rPr>
        <w:t>)</w:t>
      </w:r>
      <w:r w:rsidR="001A7906">
        <w:rPr>
          <w:rFonts w:ascii="Times New Roman" w:hAnsi="Times New Roman" w:cs="Times New Roman"/>
          <w:color w:val="000000" w:themeColor="text1"/>
        </w:rPr>
        <w:t>. If the risk of infection is constant across all locations, the estimate of sensitivity remains relatively simple. However, if the risk of infection varies across settings, it is intuitive that sampling within high risk settings would be preferable to sampling in low risk settings, and so the sensitivity needs to be adjusted. Acknowledging that this adjustment is an approximation,</w:t>
      </w:r>
      <w:r w:rsidR="005401F0">
        <w:rPr>
          <w:rFonts w:ascii="Times New Roman" w:hAnsi="Times New Roman" w:cs="Times New Roman"/>
          <w:color w:val="000000" w:themeColor="text1"/>
        </w:rPr>
        <w:fldChar w:fldCharType="begin"/>
      </w:r>
      <w:r w:rsidR="005401F0">
        <w:rPr>
          <w:rFonts w:ascii="Times New Roman" w:hAnsi="Times New Roman" w:cs="Times New Roman"/>
          <w:color w:val="000000" w:themeColor="text1"/>
        </w:rPr>
        <w:instrText xml:space="preserve"> ADDIN ZOTERO_ITEM CSL_CITATION {"citationID":"XZEARHte","properties":{"formattedCitation":"\\super 2\\nosupersub{}","plainCitation":"2","noteIndex":0},"citationItems":[{"id":1729,"uris":["http://zotero.org/users/5061339/items/M92ZS4YR"],"uri":["http://zotero.org/users/5061339/items/M92ZS4YR"],"itemData":{"id":1729,"type":"article","title":"RISK-BASED DISEASE SURVEILLANCE","author":[{"family":"Cameron","given":"A"},{"family":"Njeumi","given":"Felix"},{"family":"Chibeu, D","given":""},{"family":"Martin, T","given":""}]}}],"schema":"https://github.com/citation-style-language/schema/raw/master/csl-citation.json"} </w:instrText>
      </w:r>
      <w:r w:rsidR="005401F0">
        <w:rPr>
          <w:rFonts w:ascii="Times New Roman" w:hAnsi="Times New Roman" w:cs="Times New Roman"/>
          <w:color w:val="000000" w:themeColor="text1"/>
        </w:rPr>
        <w:fldChar w:fldCharType="separate"/>
      </w:r>
      <w:r w:rsidR="005401F0" w:rsidRPr="005401F0">
        <w:rPr>
          <w:rFonts w:ascii="Times New Roman" w:hAnsi="Times New Roman" w:cs="Times New Roman"/>
          <w:color w:val="000000"/>
          <w:vertAlign w:val="superscript"/>
          <w:lang w:val="en-US"/>
        </w:rPr>
        <w:t>2</w:t>
      </w:r>
      <w:r w:rsidR="005401F0">
        <w:rPr>
          <w:rFonts w:ascii="Times New Roman" w:hAnsi="Times New Roman" w:cs="Times New Roman"/>
          <w:color w:val="000000" w:themeColor="text1"/>
        </w:rPr>
        <w:fldChar w:fldCharType="end"/>
      </w:r>
      <w:r w:rsidR="001A7906">
        <w:rPr>
          <w:rFonts w:ascii="Times New Roman" w:hAnsi="Times New Roman" w:cs="Times New Roman"/>
          <w:color w:val="000000" w:themeColor="text1"/>
        </w:rPr>
        <w:t xml:space="preserve"> we can use estimates of relative risks. </w:t>
      </w:r>
      <w:r w:rsidR="00786106">
        <w:rPr>
          <w:rFonts w:ascii="Times New Roman" w:hAnsi="Times New Roman" w:cs="Times New Roman"/>
          <w:color w:val="000000" w:themeColor="text1"/>
        </w:rPr>
        <w:t>T</w:t>
      </w:r>
      <w:r w:rsidR="001A7906" w:rsidRPr="004F370D">
        <w:rPr>
          <w:rFonts w:ascii="Times New Roman" w:hAnsi="Times New Roman" w:cs="Times New Roman"/>
          <w:color w:val="000000" w:themeColor="text1"/>
        </w:rPr>
        <w:t xml:space="preserve">he </w:t>
      </w:r>
      <w:r w:rsidR="001A7906">
        <w:rPr>
          <w:rFonts w:ascii="Times New Roman" w:hAnsi="Times New Roman" w:cs="Times New Roman"/>
          <w:color w:val="000000" w:themeColor="text1"/>
        </w:rPr>
        <w:t>effective probability of infection</w:t>
      </w:r>
      <w:r w:rsidR="001A7906" w:rsidRPr="004F370D">
        <w:rPr>
          <w:rFonts w:ascii="Times New Roman" w:hAnsi="Times New Roman" w:cs="Times New Roman"/>
          <w:color w:val="000000" w:themeColor="text1"/>
        </w:rPr>
        <w:t xml:space="preserve"> (EP</w:t>
      </w:r>
      <w:r w:rsidR="001A7906">
        <w:rPr>
          <w:rFonts w:ascii="Times New Roman" w:hAnsi="Times New Roman" w:cs="Times New Roman"/>
          <w:color w:val="000000" w:themeColor="text1"/>
        </w:rPr>
        <w:t>I</w:t>
      </w:r>
      <w:r w:rsidR="001A7906" w:rsidRPr="004F370D">
        <w:rPr>
          <w:rFonts w:ascii="Times New Roman" w:hAnsi="Times New Roman" w:cs="Times New Roman"/>
          <w:color w:val="000000" w:themeColor="text1"/>
        </w:rPr>
        <w:t>) is used to account for variation in poliovirus risk</w:t>
      </w:r>
      <w:r w:rsidR="001A7906">
        <w:rPr>
          <w:rFonts w:ascii="Times New Roman" w:hAnsi="Times New Roman" w:cs="Times New Roman"/>
          <w:color w:val="000000" w:themeColor="text1"/>
        </w:rPr>
        <w:t xml:space="preserve"> across the LAs</w:t>
      </w:r>
      <w:r w:rsidR="001A7906" w:rsidRPr="004F370D">
        <w:rPr>
          <w:rFonts w:ascii="Times New Roman" w:hAnsi="Times New Roman" w:cs="Times New Roman"/>
          <w:color w:val="000000" w:themeColor="text1"/>
        </w:rPr>
        <w:t>.</w:t>
      </w:r>
      <w:r w:rsidR="001A7906">
        <w:rPr>
          <w:rFonts w:ascii="Times New Roman" w:hAnsi="Times New Roman" w:cs="Times New Roman"/>
          <w:color w:val="000000" w:themeColor="text1"/>
        </w:rPr>
        <w:t xml:space="preserve"> The EPI combines the adjusted risk and the herd prevalence,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EPI</m:t>
            </m:r>
          </m:e>
          <m:sub>
            <m:r>
              <w:rPr>
                <w:rFonts w:ascii="Cambria Math" w:hAnsi="Cambria Math" w:cs="Times New Roman"/>
                <w:color w:val="000000" w:themeColor="text1"/>
              </w:rPr>
              <m:t>i</m:t>
            </m:r>
          </m:sub>
        </m:sSub>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AR</m:t>
            </m:r>
          </m:e>
          <m:sub>
            <m:r>
              <w:rPr>
                <w:rFonts w:ascii="Cambria Math" w:hAnsi="Cambria Math" w:cs="Times New Roman"/>
                <w:color w:val="000000" w:themeColor="text1"/>
              </w:rPr>
              <m:t>i</m:t>
            </m:r>
          </m:sub>
        </m:sSub>
        <m:r>
          <w:rPr>
            <w:rFonts w:ascii="Cambria Math" w:hAnsi="Cambria Math" w:cs="Times New Roman"/>
            <w:color w:val="000000" w:themeColor="text1"/>
          </w:rPr>
          <m:t>.</m:t>
        </m:r>
        <m:sSubSup>
          <m:sSubSupPr>
            <m:ctrlPr>
              <w:rPr>
                <w:rFonts w:ascii="Cambria Math" w:hAnsi="Cambria Math" w:cs="Times New Roman"/>
                <w:i/>
                <w:color w:val="000000" w:themeColor="text1"/>
              </w:rPr>
            </m:ctrlPr>
          </m:sSubSupPr>
          <m:e>
            <m:r>
              <w:rPr>
                <w:rFonts w:ascii="Cambria Math" w:hAnsi="Cambria Math" w:cs="Times New Roman"/>
                <w:color w:val="000000" w:themeColor="text1"/>
              </w:rPr>
              <m:t>P</m:t>
            </m:r>
          </m:e>
          <m:sub>
            <m:r>
              <w:rPr>
                <w:rFonts w:ascii="Cambria Math" w:hAnsi="Cambria Math" w:cs="Times New Roman"/>
                <w:color w:val="000000" w:themeColor="text1"/>
              </w:rPr>
              <m:t>h</m:t>
            </m:r>
          </m:sub>
          <m:sup>
            <m:r>
              <w:rPr>
                <w:rFonts w:ascii="Cambria Math" w:hAnsi="Cambria Math" w:cs="Times New Roman"/>
                <w:color w:val="000000" w:themeColor="text1"/>
              </w:rPr>
              <m:t>*</m:t>
            </m:r>
          </m:sup>
        </m:sSubSup>
      </m:oMath>
      <w:r w:rsidR="001A7906">
        <w:rPr>
          <w:rFonts w:ascii="Times New Roman" w:eastAsiaTheme="minorEastAsia" w:hAnsi="Times New Roman" w:cs="Times New Roman"/>
          <w:color w:val="000000" w:themeColor="text1"/>
        </w:rPr>
        <w:t xml:space="preserve">. </w:t>
      </w:r>
      <w:r w:rsidR="001A7906" w:rsidRPr="004F370D">
        <w:rPr>
          <w:rFonts w:ascii="Times New Roman" w:hAnsi="Times New Roman" w:cs="Times New Roman"/>
          <w:color w:val="000000" w:themeColor="text1"/>
        </w:rPr>
        <w:t>The relative risks (RR)</w:t>
      </w:r>
      <w:r w:rsidR="001A7906">
        <w:rPr>
          <w:rFonts w:ascii="Times New Roman" w:hAnsi="Times New Roman" w:cs="Times New Roman"/>
          <w:color w:val="000000" w:themeColor="text1"/>
        </w:rPr>
        <w:t>, estimated in the previous section,</w:t>
      </w:r>
      <w:r w:rsidR="001A7906" w:rsidRPr="004F370D">
        <w:rPr>
          <w:rFonts w:ascii="Times New Roman" w:hAnsi="Times New Roman" w:cs="Times New Roman"/>
          <w:color w:val="000000" w:themeColor="text1"/>
        </w:rPr>
        <w:t xml:space="preserve"> and the proportion of the population (</w:t>
      </w:r>
      <w:proofErr w:type="spellStart"/>
      <w:r w:rsidR="001A7906" w:rsidRPr="004F370D">
        <w:rPr>
          <w:rFonts w:ascii="Times New Roman" w:hAnsi="Times New Roman" w:cs="Times New Roman"/>
          <w:color w:val="000000" w:themeColor="text1"/>
        </w:rPr>
        <w:t>PrP</w:t>
      </w:r>
      <w:proofErr w:type="spellEnd"/>
      <w:r w:rsidR="001A7906" w:rsidRPr="004F370D">
        <w:rPr>
          <w:rFonts w:ascii="Times New Roman" w:hAnsi="Times New Roman" w:cs="Times New Roman"/>
          <w:color w:val="000000" w:themeColor="text1"/>
        </w:rPr>
        <w:t>) are used to calculate the adjusted risk (AR), by solving the simultaneous equations</w:t>
      </w:r>
      <w:r w:rsidR="001A7906">
        <w:rPr>
          <w:rFonts w:ascii="Times New Roman" w:hAnsi="Times New Roman" w:cs="Times New Roman"/>
          <w:color w:val="000000" w:themeColor="text1"/>
        </w:rPr>
        <w:t>;</w:t>
      </w:r>
    </w:p>
    <w:p w14:paraId="65024F29" w14:textId="77777777" w:rsidR="001A7906" w:rsidRDefault="001A7906" w:rsidP="003D6FBB">
      <w:pPr>
        <w:spacing w:line="276" w:lineRule="auto"/>
        <w:jc w:val="both"/>
        <w:rPr>
          <w:rFonts w:ascii="Times New Roman" w:hAnsi="Times New Roman" w:cs="Times New Roman"/>
          <w:color w:val="000000" w:themeColor="text1"/>
        </w:rPr>
      </w:pPr>
    </w:p>
    <w:p w14:paraId="24A3C4C4" w14:textId="6E230292" w:rsidR="001A7906" w:rsidRDefault="001A7906" w:rsidP="003D6FBB">
      <w:pPr>
        <w:spacing w:line="276" w:lineRule="auto"/>
        <w:ind w:firstLine="720"/>
        <w:jc w:val="both"/>
        <w:rPr>
          <w:rFonts w:ascii="Times New Roman" w:eastAsiaTheme="minorEastAsia" w:hAnsi="Times New Roman" w:cs="Times New Roman"/>
          <w:color w:val="000000" w:themeColor="text1"/>
        </w:rPr>
      </w:pPr>
      <w:r w:rsidRPr="004F370D">
        <w:rPr>
          <w:rFonts w:ascii="Times New Roman" w:hAnsi="Times New Roman" w:cs="Times New Roman"/>
          <w:color w:val="000000" w:themeColor="text1"/>
        </w:rPr>
        <w:t xml:space="preserve"> </w:t>
      </w:r>
      <m:oMath>
        <m:f>
          <m:fPr>
            <m:ctrlPr>
              <w:rPr>
                <w:rFonts w:ascii="Cambria Math" w:hAnsi="Cambria Math" w:cs="Times New Roman"/>
                <w:color w:val="000000" w:themeColor="text1"/>
              </w:rPr>
            </m:ctrlPr>
          </m:fPr>
          <m:num>
            <m:sSub>
              <m:sSubPr>
                <m:ctrlPr>
                  <w:rPr>
                    <w:rFonts w:ascii="Cambria Math" w:hAnsi="Cambria Math" w:cs="Times New Roman"/>
                    <w:color w:val="000000" w:themeColor="text1"/>
                  </w:rPr>
                </m:ctrlPr>
              </m:sSubPr>
              <m:e>
                <m:r>
                  <m:rPr>
                    <m:sty m:val="p"/>
                  </m:rPr>
                  <w:rPr>
                    <w:rFonts w:ascii="Cambria Math" w:hAnsi="Cambria Math" w:cs="Times New Roman"/>
                    <w:color w:val="000000" w:themeColor="text1"/>
                  </w:rPr>
                  <m:t>AR</m:t>
                </m:r>
              </m:e>
              <m:sub>
                <m:r>
                  <m:rPr>
                    <m:sty m:val="p"/>
                  </m:rPr>
                  <w:rPr>
                    <w:rFonts w:ascii="Cambria Math" w:hAnsi="Cambria Math" w:cs="Times New Roman"/>
                    <w:color w:val="000000" w:themeColor="text1"/>
                  </w:rPr>
                  <m:t>i</m:t>
                </m:r>
              </m:sub>
            </m:sSub>
          </m:num>
          <m:den>
            <m:sSub>
              <m:sSubPr>
                <m:ctrlPr>
                  <w:rPr>
                    <w:rFonts w:ascii="Cambria Math" w:hAnsi="Cambria Math" w:cs="Times New Roman"/>
                    <w:color w:val="000000" w:themeColor="text1"/>
                  </w:rPr>
                </m:ctrlPr>
              </m:sSubPr>
              <m:e>
                <m:r>
                  <m:rPr>
                    <m:sty m:val="p"/>
                  </m:rPr>
                  <w:rPr>
                    <w:rFonts w:ascii="Cambria Math" w:hAnsi="Cambria Math" w:cs="Times New Roman"/>
                    <w:color w:val="000000" w:themeColor="text1"/>
                  </w:rPr>
                  <m:t>AR</m:t>
                </m:r>
              </m:e>
              <m:sub>
                <m:r>
                  <m:rPr>
                    <m:sty m:val="p"/>
                  </m:rPr>
                  <w:rPr>
                    <w:rFonts w:ascii="Cambria Math" w:hAnsi="Cambria Math" w:cs="Times New Roman"/>
                    <w:color w:val="000000" w:themeColor="text1"/>
                  </w:rPr>
                  <m:t>j</m:t>
                </m:r>
              </m:sub>
            </m:sSub>
          </m:den>
        </m:f>
        <m:r>
          <m:rPr>
            <m:sty m:val="p"/>
          </m:rPr>
          <w:rPr>
            <w:rFonts w:ascii="Cambria Math" w:hAnsi="Cambria Math" w:cs="Times New Roman"/>
            <w:color w:val="000000" w:themeColor="text1"/>
          </w:rPr>
          <m:t>=</m:t>
        </m:r>
        <m:f>
          <m:fPr>
            <m:ctrlPr>
              <w:rPr>
                <w:rFonts w:ascii="Cambria Math" w:hAnsi="Cambria Math" w:cs="Times New Roman"/>
                <w:color w:val="000000" w:themeColor="text1"/>
              </w:rPr>
            </m:ctrlPr>
          </m:fPr>
          <m:num>
            <m:sSub>
              <m:sSubPr>
                <m:ctrlPr>
                  <w:rPr>
                    <w:rFonts w:ascii="Cambria Math" w:hAnsi="Cambria Math" w:cs="Times New Roman"/>
                    <w:color w:val="000000" w:themeColor="text1"/>
                  </w:rPr>
                </m:ctrlPr>
              </m:sSubPr>
              <m:e>
                <m:r>
                  <m:rPr>
                    <m:sty m:val="p"/>
                  </m:rPr>
                  <w:rPr>
                    <w:rFonts w:ascii="Cambria Math" w:hAnsi="Cambria Math" w:cs="Times New Roman"/>
                    <w:color w:val="000000" w:themeColor="text1"/>
                  </w:rPr>
                  <m:t>RR</m:t>
                </m:r>
              </m:e>
              <m:sub>
                <m:r>
                  <m:rPr>
                    <m:sty m:val="p"/>
                  </m:rPr>
                  <w:rPr>
                    <w:rFonts w:ascii="Cambria Math" w:hAnsi="Cambria Math" w:cs="Times New Roman"/>
                    <w:color w:val="000000" w:themeColor="text1"/>
                  </w:rPr>
                  <m:t>i</m:t>
                </m:r>
              </m:sub>
            </m:sSub>
          </m:num>
          <m:den>
            <m:sSub>
              <m:sSubPr>
                <m:ctrlPr>
                  <w:rPr>
                    <w:rFonts w:ascii="Cambria Math" w:hAnsi="Cambria Math" w:cs="Times New Roman"/>
                    <w:color w:val="000000" w:themeColor="text1"/>
                  </w:rPr>
                </m:ctrlPr>
              </m:sSubPr>
              <m:e>
                <m:r>
                  <m:rPr>
                    <m:sty m:val="p"/>
                  </m:rPr>
                  <w:rPr>
                    <w:rFonts w:ascii="Cambria Math" w:hAnsi="Cambria Math" w:cs="Times New Roman"/>
                    <w:color w:val="000000" w:themeColor="text1"/>
                  </w:rPr>
                  <m:t>RR</m:t>
                </m:r>
              </m:e>
              <m:sub>
                <m:r>
                  <m:rPr>
                    <m:sty m:val="p"/>
                  </m:rPr>
                  <w:rPr>
                    <w:rFonts w:ascii="Cambria Math" w:hAnsi="Cambria Math" w:cs="Times New Roman"/>
                    <w:color w:val="000000" w:themeColor="text1"/>
                  </w:rPr>
                  <m:t>j</m:t>
                </m:r>
              </m:sub>
            </m:sSub>
          </m:den>
        </m:f>
      </m:oMath>
      <w:r w:rsidRPr="004F370D">
        <w:rPr>
          <w:rFonts w:ascii="Times New Roman" w:eastAsiaTheme="minorEastAsia" w:hAnsi="Times New Roman" w:cs="Times New Roman"/>
          <w:color w:val="000000" w:themeColor="text1"/>
        </w:rPr>
        <w:t xml:space="preserve"> </w:t>
      </w:r>
      <w:r>
        <w:rPr>
          <w:rFonts w:ascii="Times New Roman" w:eastAsiaTheme="minorEastAsia" w:hAnsi="Times New Roman" w:cs="Times New Roman"/>
          <w:color w:val="000000" w:themeColor="text1"/>
        </w:rPr>
        <w:t xml:space="preserve">                                                       </w:t>
      </w:r>
      <w:r w:rsidR="00917359">
        <w:rPr>
          <w:rFonts w:ascii="Times New Roman" w:eastAsiaTheme="minorEastAsia" w:hAnsi="Times New Roman" w:cs="Times New Roman"/>
          <w:color w:val="000000" w:themeColor="text1"/>
        </w:rPr>
        <w:t xml:space="preserve">                              </w:t>
      </w:r>
      <w:r>
        <w:rPr>
          <w:rFonts w:ascii="Times New Roman" w:eastAsiaTheme="minorEastAsia" w:hAnsi="Times New Roman" w:cs="Times New Roman"/>
          <w:color w:val="000000" w:themeColor="text1"/>
        </w:rPr>
        <w:t xml:space="preserve">    equation 3.1                                             </w:t>
      </w:r>
    </w:p>
    <w:p w14:paraId="39C06A1F" w14:textId="77777777" w:rsidR="001A7906" w:rsidRDefault="001A7906" w:rsidP="003D6FBB">
      <w:pPr>
        <w:spacing w:line="276" w:lineRule="auto"/>
        <w:jc w:val="both"/>
        <w:rPr>
          <w:rFonts w:ascii="Times New Roman" w:eastAsiaTheme="minorEastAsia" w:hAnsi="Times New Roman" w:cs="Times New Roman"/>
          <w:color w:val="000000" w:themeColor="text1"/>
        </w:rPr>
      </w:pPr>
    </w:p>
    <w:p w14:paraId="25B3F5B7" w14:textId="75D96B26" w:rsidR="001A7906" w:rsidRPr="004F370D" w:rsidRDefault="001A7906" w:rsidP="003D6FBB">
      <w:pPr>
        <w:spacing w:line="276" w:lineRule="auto"/>
        <w:ind w:firstLine="720"/>
        <w:jc w:val="both"/>
        <w:rPr>
          <w:rFonts w:ascii="Times New Roman" w:hAnsi="Times New Roman" w:cs="Times New Roman"/>
          <w:color w:val="000000" w:themeColor="text1"/>
        </w:rPr>
      </w:pPr>
      <w:r w:rsidRPr="004F370D">
        <w:rPr>
          <w:rFonts w:ascii="Times New Roman" w:eastAsiaTheme="minorEastAsia" w:hAnsi="Times New Roman" w:cs="Times New Roman"/>
          <w:color w:val="000000" w:themeColor="text1"/>
        </w:rPr>
        <w:t xml:space="preserve"> </w:t>
      </w:r>
      <m:oMath>
        <m:sSub>
          <m:sSubPr>
            <m:ctrlPr>
              <w:rPr>
                <w:rFonts w:ascii="Cambria Math" w:eastAsiaTheme="minorEastAsia" w:hAnsi="Cambria Math" w:cs="Times New Roman"/>
                <w:color w:val="000000" w:themeColor="text1"/>
              </w:rPr>
            </m:ctrlPr>
          </m:sSubPr>
          <m:e>
            <m:r>
              <m:rPr>
                <m:sty m:val="p"/>
              </m:rPr>
              <w:rPr>
                <w:rFonts w:ascii="Cambria Math" w:eastAsiaTheme="minorEastAsia" w:hAnsi="Cambria Math" w:cs="Times New Roman"/>
                <w:color w:val="000000" w:themeColor="text1"/>
              </w:rPr>
              <m:t>AR</m:t>
            </m:r>
          </m:e>
          <m:sub>
            <m:r>
              <m:rPr>
                <m:sty m:val="p"/>
              </m:rPr>
              <w:rPr>
                <w:rFonts w:ascii="Cambria Math" w:eastAsiaTheme="minorEastAsia" w:hAnsi="Cambria Math" w:cs="Times New Roman"/>
                <w:color w:val="000000" w:themeColor="text1"/>
              </w:rPr>
              <m:t>1</m:t>
            </m:r>
          </m:sub>
        </m:sSub>
        <m:r>
          <m:rPr>
            <m:sty m:val="p"/>
          </m:rPr>
          <w:rPr>
            <w:rFonts w:ascii="Cambria Math" w:eastAsiaTheme="minorEastAsia" w:hAnsi="Cambria Math" w:cs="Times New Roman"/>
            <w:color w:val="000000" w:themeColor="text1"/>
          </w:rPr>
          <m:t>.</m:t>
        </m:r>
        <m:sSub>
          <m:sSubPr>
            <m:ctrlPr>
              <w:rPr>
                <w:rFonts w:ascii="Cambria Math" w:eastAsiaTheme="minorEastAsia" w:hAnsi="Cambria Math" w:cs="Times New Roman"/>
                <w:color w:val="000000" w:themeColor="text1"/>
              </w:rPr>
            </m:ctrlPr>
          </m:sSubPr>
          <m:e>
            <m:r>
              <m:rPr>
                <m:sty m:val="p"/>
              </m:rPr>
              <w:rPr>
                <w:rFonts w:ascii="Cambria Math" w:eastAsiaTheme="minorEastAsia" w:hAnsi="Cambria Math" w:cs="Times New Roman"/>
                <w:color w:val="000000" w:themeColor="text1"/>
              </w:rPr>
              <m:t>PrP</m:t>
            </m:r>
          </m:e>
          <m:sub>
            <m:r>
              <m:rPr>
                <m:sty m:val="p"/>
              </m:rPr>
              <w:rPr>
                <w:rFonts w:ascii="Cambria Math" w:eastAsiaTheme="minorEastAsia" w:hAnsi="Cambria Math" w:cs="Times New Roman"/>
                <w:color w:val="000000" w:themeColor="text1"/>
              </w:rPr>
              <m:t>1</m:t>
            </m:r>
          </m:sub>
        </m:sSub>
        <m:r>
          <m:rPr>
            <m:sty m:val="p"/>
          </m:rPr>
          <w:rPr>
            <w:rFonts w:ascii="Cambria Math" w:eastAsiaTheme="minorEastAsia" w:hAnsi="Cambria Math" w:cs="Times New Roman"/>
            <w:color w:val="000000" w:themeColor="text1"/>
          </w:rPr>
          <m:t>+…+</m:t>
        </m:r>
        <m:sSub>
          <m:sSubPr>
            <m:ctrlPr>
              <w:rPr>
                <w:rFonts w:ascii="Cambria Math" w:eastAsiaTheme="minorEastAsia" w:hAnsi="Cambria Math" w:cs="Times New Roman"/>
                <w:color w:val="000000" w:themeColor="text1"/>
              </w:rPr>
            </m:ctrlPr>
          </m:sSubPr>
          <m:e>
            <m:r>
              <m:rPr>
                <m:sty m:val="p"/>
              </m:rPr>
              <w:rPr>
                <w:rFonts w:ascii="Cambria Math" w:eastAsiaTheme="minorEastAsia" w:hAnsi="Cambria Math" w:cs="Times New Roman"/>
                <w:color w:val="000000" w:themeColor="text1"/>
              </w:rPr>
              <m:t>AR</m:t>
            </m:r>
          </m:e>
          <m:sub>
            <m:r>
              <m:rPr>
                <m:sty m:val="p"/>
              </m:rPr>
              <w:rPr>
                <w:rFonts w:ascii="Cambria Math" w:eastAsiaTheme="minorEastAsia" w:hAnsi="Cambria Math" w:cs="Times New Roman"/>
                <w:color w:val="000000" w:themeColor="text1"/>
              </w:rPr>
              <m:t>n</m:t>
            </m:r>
          </m:sub>
        </m:sSub>
        <m:r>
          <m:rPr>
            <m:sty m:val="p"/>
          </m:rPr>
          <w:rPr>
            <w:rFonts w:ascii="Cambria Math" w:eastAsiaTheme="minorEastAsia" w:hAnsi="Cambria Math" w:cs="Times New Roman"/>
            <w:color w:val="000000" w:themeColor="text1"/>
          </w:rPr>
          <m:t>.</m:t>
        </m:r>
        <m:sSub>
          <m:sSubPr>
            <m:ctrlPr>
              <w:rPr>
                <w:rFonts w:ascii="Cambria Math" w:eastAsiaTheme="minorEastAsia" w:hAnsi="Cambria Math" w:cs="Times New Roman"/>
                <w:color w:val="000000" w:themeColor="text1"/>
              </w:rPr>
            </m:ctrlPr>
          </m:sSubPr>
          <m:e>
            <m:r>
              <m:rPr>
                <m:sty m:val="p"/>
              </m:rPr>
              <w:rPr>
                <w:rFonts w:ascii="Cambria Math" w:eastAsiaTheme="minorEastAsia" w:hAnsi="Cambria Math" w:cs="Times New Roman"/>
                <w:color w:val="000000" w:themeColor="text1"/>
              </w:rPr>
              <m:t>PrP</m:t>
            </m:r>
          </m:e>
          <m:sub>
            <m:r>
              <m:rPr>
                <m:sty m:val="p"/>
              </m:rPr>
              <w:rPr>
                <w:rFonts w:ascii="Cambria Math" w:eastAsiaTheme="minorEastAsia" w:hAnsi="Cambria Math" w:cs="Times New Roman"/>
                <w:color w:val="000000" w:themeColor="text1"/>
              </w:rPr>
              <m:t>n</m:t>
            </m:r>
          </m:sub>
        </m:sSub>
        <m:r>
          <m:rPr>
            <m:sty m:val="p"/>
          </m:rPr>
          <w:rPr>
            <w:rFonts w:ascii="Cambria Math" w:eastAsiaTheme="minorEastAsia" w:hAnsi="Cambria Math" w:cs="Times New Roman"/>
            <w:color w:val="000000" w:themeColor="text1"/>
          </w:rPr>
          <m:t>=1</m:t>
        </m:r>
      </m:oMath>
      <w:r w:rsidRPr="004F370D">
        <w:rPr>
          <w:rFonts w:ascii="Times New Roman" w:eastAsiaTheme="minorEastAsia" w:hAnsi="Times New Roman" w:cs="Times New Roman"/>
          <w:color w:val="000000" w:themeColor="text1"/>
        </w:rPr>
        <w:t>.</w:t>
      </w:r>
      <w:r>
        <w:rPr>
          <w:rFonts w:ascii="Times New Roman" w:eastAsiaTheme="minorEastAsia" w:hAnsi="Times New Roman" w:cs="Times New Roman"/>
          <w:color w:val="000000" w:themeColor="text1"/>
        </w:rPr>
        <w:t xml:space="preserve">                   </w:t>
      </w:r>
      <w:r w:rsidR="00917359">
        <w:rPr>
          <w:rFonts w:ascii="Times New Roman" w:eastAsiaTheme="minorEastAsia" w:hAnsi="Times New Roman" w:cs="Times New Roman"/>
          <w:color w:val="000000" w:themeColor="text1"/>
        </w:rPr>
        <w:t xml:space="preserve">                              </w:t>
      </w:r>
      <w:r>
        <w:rPr>
          <w:rFonts w:ascii="Times New Roman" w:eastAsiaTheme="minorEastAsia" w:hAnsi="Times New Roman" w:cs="Times New Roman"/>
          <w:color w:val="000000" w:themeColor="text1"/>
        </w:rPr>
        <w:t xml:space="preserve">   equation 3.2</w:t>
      </w:r>
    </w:p>
    <w:p w14:paraId="5B206800" w14:textId="2F90BCE9" w:rsidR="00E2285C" w:rsidRDefault="00E2285C" w:rsidP="003D6FBB">
      <w:pPr>
        <w:spacing w:line="276" w:lineRule="auto"/>
        <w:jc w:val="both"/>
        <w:rPr>
          <w:rFonts w:ascii="Times New Roman" w:hAnsi="Times New Roman" w:cs="Times New Roman"/>
          <w:color w:val="000000" w:themeColor="text1"/>
        </w:rPr>
      </w:pPr>
    </w:p>
    <w:p w14:paraId="5EABF249" w14:textId="5A9BD44C" w:rsidR="001A7906" w:rsidRPr="004F370D" w:rsidRDefault="001A7906" w:rsidP="003D6FBB">
      <w:pPr>
        <w:spacing w:line="276"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High risk LAs will have an adjusted risk above 1.00 and consequently increased surveillance within these settings would have a more rapid improvement in the sensitivity of the entire </w:t>
      </w:r>
      <w:r>
        <w:rPr>
          <w:rFonts w:ascii="Times New Roman" w:hAnsi="Times New Roman" w:cs="Times New Roman"/>
          <w:color w:val="000000" w:themeColor="text1"/>
        </w:rPr>
        <w:lastRenderedPageBreak/>
        <w:t>system. Combining these elements together, the sensitivity of detection through AFP surveillance is;</w:t>
      </w:r>
    </w:p>
    <w:p w14:paraId="35E03D91" w14:textId="76A6BF63" w:rsidR="0077381B" w:rsidRPr="004F370D" w:rsidRDefault="0077381B" w:rsidP="003D6FBB">
      <w:pPr>
        <w:spacing w:line="276" w:lineRule="auto"/>
        <w:jc w:val="both"/>
        <w:rPr>
          <w:rFonts w:ascii="Times New Roman" w:hAnsi="Times New Roman" w:cs="Times New Roman"/>
          <w:color w:val="000000" w:themeColor="text1"/>
        </w:rPr>
      </w:pPr>
    </w:p>
    <w:p w14:paraId="76091F64" w14:textId="5AA01510" w:rsidR="0077381B" w:rsidRPr="004F370D" w:rsidRDefault="00551B55" w:rsidP="003D6FBB">
      <w:pPr>
        <w:spacing w:line="276" w:lineRule="auto"/>
        <w:jc w:val="both"/>
        <w:rPr>
          <w:rFonts w:ascii="Times New Roman" w:eastAsiaTheme="minorEastAsia" w:hAnsi="Times New Roman" w:cs="Times New Roman"/>
          <w:color w:val="000000" w:themeColor="text1"/>
        </w:rPr>
      </w:pPr>
      <m:oMathPara>
        <m:oMath>
          <m:sSub>
            <m:sSubPr>
              <m:ctrlPr>
                <w:rPr>
                  <w:rFonts w:ascii="Cambria Math" w:hAnsi="Cambria Math" w:cs="Times New Roman"/>
                  <w:color w:val="000000" w:themeColor="text1"/>
                </w:rPr>
              </m:ctrlPr>
            </m:sSubPr>
            <m:e>
              <m:r>
                <m:rPr>
                  <m:sty m:val="p"/>
                </m:rPr>
                <w:rPr>
                  <w:rFonts w:ascii="Cambria Math" w:hAnsi="Cambria Math" w:cs="Times New Roman"/>
                  <w:color w:val="000000" w:themeColor="text1"/>
                </w:rPr>
                <m:t>SeU</m:t>
              </m:r>
            </m:e>
            <m:sub>
              <m:r>
                <m:rPr>
                  <m:sty m:val="p"/>
                </m:rPr>
                <w:rPr>
                  <w:rFonts w:ascii="Cambria Math" w:hAnsi="Cambria Math" w:cs="Times New Roman"/>
                  <w:color w:val="000000" w:themeColor="text1"/>
                </w:rPr>
                <m:t>AFP,i</m:t>
              </m:r>
            </m:sub>
          </m:sSub>
          <m:r>
            <m:rPr>
              <m:sty m:val="p"/>
            </m:rPr>
            <w:rPr>
              <w:rFonts w:ascii="Cambria Math" w:hAnsi="Cambria Math" w:cs="Times New Roman"/>
              <w:color w:val="000000" w:themeColor="text1"/>
            </w:rPr>
            <m:t>=</m:t>
          </m:r>
          <m:sSub>
            <m:sSubPr>
              <m:ctrlPr>
                <w:rPr>
                  <w:rFonts w:ascii="Cambria Math" w:hAnsi="Cambria Math" w:cs="Times New Roman"/>
                  <w:color w:val="000000" w:themeColor="text1"/>
                </w:rPr>
              </m:ctrlPr>
            </m:sSubPr>
            <m:e>
              <m:r>
                <w:rPr>
                  <w:rFonts w:ascii="Cambria Math" w:hAnsi="Cambria Math" w:cs="Times New Roman"/>
                  <w:color w:val="000000" w:themeColor="text1"/>
                </w:rPr>
                <m:t>EPI</m:t>
              </m:r>
            </m:e>
            <m:sub>
              <m:r>
                <w:rPr>
                  <w:rFonts w:ascii="Cambria Math" w:hAnsi="Cambria Math" w:cs="Times New Roman"/>
                  <w:color w:val="000000" w:themeColor="text1"/>
                </w:rPr>
                <m:t>i</m:t>
              </m:r>
            </m:sub>
          </m:sSub>
          <m:r>
            <m:rPr>
              <m:sty m:val="p"/>
            </m:rPr>
            <w:rPr>
              <w:rFonts w:ascii="Cambria Math" w:hAnsi="Cambria Math" w:cs="Times New Roman"/>
              <w:color w:val="000000" w:themeColor="text1"/>
            </w:rPr>
            <m:t>.</m:t>
          </m:r>
          <m:func>
            <m:funcPr>
              <m:ctrlPr>
                <w:rPr>
                  <w:rFonts w:ascii="Cambria Math" w:hAnsi="Cambria Math" w:cs="Times New Roman"/>
                  <w:color w:val="000000" w:themeColor="text1"/>
                </w:rPr>
              </m:ctrlPr>
            </m:funcPr>
            <m:fName>
              <m:r>
                <m:rPr>
                  <m:sty m:val="p"/>
                </m:rPr>
                <w:rPr>
                  <w:rFonts w:ascii="Cambria Math" w:hAnsi="Cambria Math" w:cs="Times New Roman"/>
                  <w:color w:val="000000" w:themeColor="text1"/>
                </w:rPr>
                <m:t>Pr</m:t>
              </m:r>
            </m:fName>
            <m:e>
              <m:d>
                <m:dPr>
                  <m:ctrlPr>
                    <w:rPr>
                      <w:rFonts w:ascii="Cambria Math" w:hAnsi="Cambria Math" w:cs="Times New Roman"/>
                      <w:color w:val="000000" w:themeColor="text1"/>
                    </w:rPr>
                  </m:ctrlPr>
                </m:dPr>
                <m:e>
                  <m:sSub>
                    <m:sSubPr>
                      <m:ctrlPr>
                        <w:rPr>
                          <w:rFonts w:ascii="Cambria Math" w:hAnsi="Cambria Math" w:cs="Times New Roman"/>
                          <w:color w:val="000000" w:themeColor="text1"/>
                        </w:rPr>
                      </m:ctrlPr>
                    </m:sSubPr>
                    <m:e>
                      <m:r>
                        <m:rPr>
                          <m:sty m:val="p"/>
                        </m:rPr>
                        <w:rPr>
                          <w:rFonts w:ascii="Cambria Math" w:hAnsi="Cambria Math" w:cs="Times New Roman"/>
                          <w:color w:val="000000" w:themeColor="text1"/>
                        </w:rPr>
                        <m:t>case</m:t>
                      </m:r>
                    </m:e>
                    <m:sub>
                      <m:r>
                        <m:rPr>
                          <m:sty m:val="p"/>
                        </m:rPr>
                        <w:rPr>
                          <w:rFonts w:ascii="Cambria Math" w:hAnsi="Cambria Math" w:cs="Times New Roman"/>
                          <w:color w:val="000000" w:themeColor="text1"/>
                        </w:rPr>
                        <m:t>AFP</m:t>
                      </m:r>
                    </m:sub>
                  </m:sSub>
                </m:e>
              </m:d>
            </m:e>
          </m:func>
          <m:r>
            <m:rPr>
              <m:sty m:val="p"/>
            </m:rPr>
            <w:rPr>
              <w:rFonts w:ascii="Cambria Math" w:hAnsi="Cambria Math" w:cs="Times New Roman"/>
              <w:color w:val="000000" w:themeColor="text1"/>
            </w:rPr>
            <m:t>.</m:t>
          </m:r>
          <m:func>
            <m:funcPr>
              <m:ctrlPr>
                <w:rPr>
                  <w:rFonts w:ascii="Cambria Math" w:hAnsi="Cambria Math" w:cs="Times New Roman"/>
                  <w:color w:val="000000" w:themeColor="text1"/>
                </w:rPr>
              </m:ctrlPr>
            </m:funcPr>
            <m:fName>
              <m:r>
                <m:rPr>
                  <m:sty m:val="p"/>
                </m:rPr>
                <w:rPr>
                  <w:rFonts w:ascii="Cambria Math" w:hAnsi="Cambria Math" w:cs="Times New Roman"/>
                  <w:color w:val="000000" w:themeColor="text1"/>
                </w:rPr>
                <m:t>Pr</m:t>
              </m:r>
            </m:fName>
            <m:e>
              <m:d>
                <m:dPr>
                  <m:ctrlPr>
                    <w:rPr>
                      <w:rFonts w:ascii="Cambria Math" w:hAnsi="Cambria Math" w:cs="Times New Roman"/>
                      <w:color w:val="000000" w:themeColor="text1"/>
                    </w:rPr>
                  </m:ctrlPr>
                </m:dPr>
                <m:e>
                  <m:sSub>
                    <m:sSubPr>
                      <m:ctrlPr>
                        <w:rPr>
                          <w:rFonts w:ascii="Cambria Math" w:hAnsi="Cambria Math" w:cs="Times New Roman"/>
                          <w:color w:val="000000" w:themeColor="text1"/>
                        </w:rPr>
                      </m:ctrlPr>
                    </m:sSubPr>
                    <m:e>
                      <m:r>
                        <m:rPr>
                          <m:sty m:val="p"/>
                        </m:rPr>
                        <w:rPr>
                          <w:rFonts w:ascii="Cambria Math" w:hAnsi="Cambria Math" w:cs="Times New Roman"/>
                          <w:color w:val="000000" w:themeColor="text1"/>
                        </w:rPr>
                        <m:t>notification</m:t>
                      </m:r>
                    </m:e>
                    <m:sub>
                      <m:r>
                        <m:rPr>
                          <m:sty m:val="p"/>
                        </m:rPr>
                        <w:rPr>
                          <w:rFonts w:ascii="Cambria Math" w:hAnsi="Cambria Math" w:cs="Times New Roman"/>
                          <w:color w:val="000000" w:themeColor="text1"/>
                        </w:rPr>
                        <m:t>AFP</m:t>
                      </m:r>
                    </m:sub>
                  </m:sSub>
                </m:e>
              </m:d>
            </m:e>
          </m:func>
          <m:r>
            <m:rPr>
              <m:sty m:val="p"/>
            </m:rPr>
            <w:rPr>
              <w:rFonts w:ascii="Cambria Math" w:hAnsi="Cambria Math" w:cs="Times New Roman"/>
              <w:color w:val="000000" w:themeColor="text1"/>
            </w:rPr>
            <m:t>.</m:t>
          </m:r>
          <m:func>
            <m:funcPr>
              <m:ctrlPr>
                <w:rPr>
                  <w:rFonts w:ascii="Cambria Math" w:hAnsi="Cambria Math" w:cs="Times New Roman"/>
                  <w:color w:val="000000" w:themeColor="text1"/>
                </w:rPr>
              </m:ctrlPr>
            </m:funcPr>
            <m:fName>
              <m:r>
                <m:rPr>
                  <m:sty m:val="p"/>
                </m:rPr>
                <w:rPr>
                  <w:rFonts w:ascii="Cambria Math" w:hAnsi="Cambria Math" w:cs="Times New Roman"/>
                  <w:color w:val="000000" w:themeColor="text1"/>
                </w:rPr>
                <m:t>Pr</m:t>
              </m:r>
            </m:fName>
            <m:e>
              <m:d>
                <m:dPr>
                  <m:ctrlPr>
                    <w:rPr>
                      <w:rFonts w:ascii="Cambria Math" w:hAnsi="Cambria Math" w:cs="Times New Roman"/>
                      <w:color w:val="000000" w:themeColor="text1"/>
                    </w:rPr>
                  </m:ctrlPr>
                </m:dPr>
                <m:e>
                  <m:sSub>
                    <m:sSubPr>
                      <m:ctrlPr>
                        <w:rPr>
                          <w:rFonts w:ascii="Cambria Math" w:hAnsi="Cambria Math" w:cs="Times New Roman"/>
                          <w:color w:val="000000" w:themeColor="text1"/>
                        </w:rPr>
                      </m:ctrlPr>
                    </m:sSubPr>
                    <m:e>
                      <m:r>
                        <m:rPr>
                          <m:sty m:val="p"/>
                        </m:rPr>
                        <w:rPr>
                          <w:rFonts w:ascii="Cambria Math" w:hAnsi="Cambria Math" w:cs="Times New Roman"/>
                          <w:color w:val="000000" w:themeColor="text1"/>
                        </w:rPr>
                        <m:t>sample</m:t>
                      </m:r>
                    </m:e>
                    <m:sub>
                      <m:r>
                        <m:rPr>
                          <m:sty m:val="p"/>
                        </m:rPr>
                        <w:rPr>
                          <w:rFonts w:ascii="Cambria Math" w:hAnsi="Cambria Math" w:cs="Times New Roman"/>
                          <w:color w:val="000000" w:themeColor="text1"/>
                        </w:rPr>
                        <m:t>AFP</m:t>
                      </m:r>
                    </m:sub>
                  </m:sSub>
                </m:e>
              </m:d>
            </m:e>
          </m:func>
          <m:r>
            <m:rPr>
              <m:sty m:val="p"/>
            </m:rPr>
            <w:rPr>
              <w:rFonts w:ascii="Cambria Math" w:hAnsi="Cambria Math" w:cs="Times New Roman"/>
              <w:color w:val="000000" w:themeColor="text1"/>
            </w:rPr>
            <m:t>.Pr(</m:t>
          </m:r>
          <m:sSub>
            <m:sSubPr>
              <m:ctrlPr>
                <w:rPr>
                  <w:rFonts w:ascii="Cambria Math" w:hAnsi="Cambria Math" w:cs="Times New Roman"/>
                  <w:color w:val="000000" w:themeColor="text1"/>
                </w:rPr>
              </m:ctrlPr>
            </m:sSubPr>
            <m:e>
              <m:r>
                <m:rPr>
                  <m:sty m:val="p"/>
                </m:rPr>
                <w:rPr>
                  <w:rFonts w:ascii="Cambria Math" w:hAnsi="Cambria Math" w:cs="Times New Roman"/>
                  <w:color w:val="000000" w:themeColor="text1"/>
                </w:rPr>
                <m:t>test</m:t>
              </m:r>
            </m:e>
            <m:sub>
              <m:r>
                <m:rPr>
                  <m:sty m:val="p"/>
                </m:rPr>
                <w:rPr>
                  <w:rFonts w:ascii="Cambria Math" w:hAnsi="Cambria Math" w:cs="Times New Roman"/>
                  <w:color w:val="000000" w:themeColor="text1"/>
                </w:rPr>
                <m:t>AFP</m:t>
              </m:r>
            </m:sub>
          </m:sSub>
          <m:r>
            <m:rPr>
              <m:sty m:val="p"/>
            </m:rPr>
            <w:rPr>
              <w:rFonts w:ascii="Cambria Math" w:hAnsi="Cambria Math" w:cs="Times New Roman"/>
              <w:color w:val="000000" w:themeColor="text1"/>
            </w:rPr>
            <m:t>)</m:t>
          </m:r>
        </m:oMath>
      </m:oMathPara>
    </w:p>
    <w:p w14:paraId="2ED995BC" w14:textId="77777777" w:rsidR="00B8674A" w:rsidRDefault="00B8674A" w:rsidP="003D6FBB">
      <w:pPr>
        <w:spacing w:line="276" w:lineRule="auto"/>
        <w:jc w:val="both"/>
        <w:rPr>
          <w:rFonts w:ascii="Times New Roman" w:hAnsi="Times New Roman" w:cs="Times New Roman"/>
          <w:color w:val="000000" w:themeColor="text1"/>
        </w:rPr>
      </w:pPr>
    </w:p>
    <w:p w14:paraId="473209AF" w14:textId="4113A394" w:rsidR="0077381B" w:rsidRPr="004F370D" w:rsidRDefault="0077381B" w:rsidP="003D6FBB">
      <w:pPr>
        <w:spacing w:line="276" w:lineRule="auto"/>
        <w:jc w:val="both"/>
        <w:rPr>
          <w:rFonts w:ascii="Times New Roman" w:hAnsi="Times New Roman" w:cs="Times New Roman"/>
          <w:color w:val="000000" w:themeColor="text1"/>
        </w:rPr>
      </w:pPr>
      <w:r w:rsidRPr="004F370D">
        <w:rPr>
          <w:rFonts w:ascii="Times New Roman" w:hAnsi="Times New Roman" w:cs="Times New Roman"/>
          <w:color w:val="000000" w:themeColor="text1"/>
        </w:rPr>
        <w:t>To calculate the sensitivity of AFP within each LA in a given month (</w:t>
      </w:r>
      <w:proofErr w:type="spellStart"/>
      <w:proofErr w:type="gramStart"/>
      <w:r w:rsidRPr="004F370D">
        <w:rPr>
          <w:rFonts w:ascii="Times New Roman" w:hAnsi="Times New Roman" w:cs="Times New Roman"/>
          <w:color w:val="000000" w:themeColor="text1"/>
        </w:rPr>
        <w:t>SSe</w:t>
      </w:r>
      <w:r w:rsidRPr="004F370D">
        <w:rPr>
          <w:rFonts w:ascii="Times New Roman" w:hAnsi="Times New Roman" w:cs="Times New Roman"/>
          <w:color w:val="000000" w:themeColor="text1"/>
          <w:vertAlign w:val="subscript"/>
        </w:rPr>
        <w:t>AFP</w:t>
      </w:r>
      <w:r w:rsidR="003D316C">
        <w:rPr>
          <w:rFonts w:ascii="Times New Roman" w:hAnsi="Times New Roman" w:cs="Times New Roman"/>
          <w:color w:val="000000" w:themeColor="text1"/>
          <w:vertAlign w:val="subscript"/>
        </w:rPr>
        <w:t>,i</w:t>
      </w:r>
      <w:proofErr w:type="spellEnd"/>
      <w:proofErr w:type="gramEnd"/>
      <w:r w:rsidRPr="004F370D">
        <w:rPr>
          <w:rFonts w:ascii="Times New Roman" w:hAnsi="Times New Roman" w:cs="Times New Roman"/>
          <w:color w:val="000000" w:themeColor="text1"/>
        </w:rPr>
        <w:t xml:space="preserve">), we assume that all individuals (n) </w:t>
      </w:r>
      <w:r w:rsidR="003D316C">
        <w:rPr>
          <w:rFonts w:ascii="Times New Roman" w:hAnsi="Times New Roman" w:cs="Times New Roman"/>
          <w:color w:val="000000" w:themeColor="text1"/>
        </w:rPr>
        <w:t xml:space="preserve">within each LA </w:t>
      </w:r>
      <w:r w:rsidRPr="004F370D">
        <w:rPr>
          <w:rFonts w:ascii="Times New Roman" w:hAnsi="Times New Roman" w:cs="Times New Roman"/>
          <w:color w:val="000000" w:themeColor="text1"/>
        </w:rPr>
        <w:t>are included in surveillance;</w:t>
      </w:r>
    </w:p>
    <w:p w14:paraId="263786E0" w14:textId="77777777" w:rsidR="0077381B" w:rsidRPr="004F370D" w:rsidRDefault="0077381B" w:rsidP="003D6FBB">
      <w:pPr>
        <w:spacing w:line="276" w:lineRule="auto"/>
        <w:jc w:val="both"/>
        <w:rPr>
          <w:rFonts w:ascii="Times New Roman" w:hAnsi="Times New Roman" w:cs="Times New Roman"/>
          <w:color w:val="000000" w:themeColor="text1"/>
        </w:rPr>
      </w:pPr>
    </w:p>
    <w:p w14:paraId="4F6B76A8" w14:textId="48E2B1F8" w:rsidR="00E2285C" w:rsidRPr="004F370D" w:rsidRDefault="00551B55" w:rsidP="003D6FBB">
      <w:pPr>
        <w:spacing w:line="276" w:lineRule="auto"/>
        <w:jc w:val="both"/>
        <w:rPr>
          <w:rFonts w:ascii="Times New Roman" w:eastAsiaTheme="minorEastAsia" w:hAnsi="Times New Roman" w:cs="Times New Roman"/>
          <w:color w:val="000000" w:themeColor="text1"/>
        </w:rPr>
      </w:pPr>
      <m:oMathPara>
        <m:oMath>
          <m:sSub>
            <m:sSubPr>
              <m:ctrlPr>
                <w:rPr>
                  <w:rFonts w:ascii="Cambria Math" w:hAnsi="Cambria Math" w:cs="Times New Roman"/>
                  <w:color w:val="000000" w:themeColor="text1"/>
                </w:rPr>
              </m:ctrlPr>
            </m:sSubPr>
            <m:e>
              <m:r>
                <m:rPr>
                  <m:sty m:val="p"/>
                </m:rPr>
                <w:rPr>
                  <w:rFonts w:ascii="Cambria Math" w:hAnsi="Cambria Math" w:cs="Times New Roman"/>
                  <w:color w:val="000000" w:themeColor="text1"/>
                </w:rPr>
                <m:t>CSe</m:t>
              </m:r>
            </m:e>
            <m:sub>
              <m:r>
                <m:rPr>
                  <m:sty m:val="p"/>
                </m:rPr>
                <w:rPr>
                  <w:rFonts w:ascii="Cambria Math" w:hAnsi="Cambria Math" w:cs="Times New Roman"/>
                  <w:color w:val="000000" w:themeColor="text1"/>
                </w:rPr>
                <m:t>AFP,i</m:t>
              </m:r>
            </m:sub>
          </m:sSub>
          <m:r>
            <m:rPr>
              <m:sty m:val="p"/>
            </m:rPr>
            <w:rPr>
              <w:rFonts w:ascii="Cambria Math" w:hAnsi="Cambria Math" w:cs="Times New Roman"/>
              <w:color w:val="000000" w:themeColor="text1"/>
            </w:rPr>
            <m:t>=1-</m:t>
          </m:r>
          <m:sSup>
            <m:sSupPr>
              <m:ctrlPr>
                <w:rPr>
                  <w:rFonts w:ascii="Cambria Math" w:hAnsi="Cambria Math" w:cs="Times New Roman"/>
                  <w:color w:val="000000" w:themeColor="text1"/>
                </w:rPr>
              </m:ctrlPr>
            </m:sSupPr>
            <m:e>
              <m:r>
                <m:rPr>
                  <m:sty m:val="p"/>
                </m:rPr>
                <w:rPr>
                  <w:rFonts w:ascii="Cambria Math" w:hAnsi="Cambria Math" w:cs="Times New Roman"/>
                  <w:color w:val="000000" w:themeColor="text1"/>
                </w:rPr>
                <m:t>(1-</m:t>
              </m:r>
              <m:sSub>
                <m:sSubPr>
                  <m:ctrlPr>
                    <w:rPr>
                      <w:rFonts w:ascii="Cambria Math" w:hAnsi="Cambria Math" w:cs="Times New Roman"/>
                      <w:color w:val="000000" w:themeColor="text1"/>
                    </w:rPr>
                  </m:ctrlPr>
                </m:sSubPr>
                <m:e>
                  <m:r>
                    <m:rPr>
                      <m:sty m:val="p"/>
                    </m:rPr>
                    <w:rPr>
                      <w:rFonts w:ascii="Cambria Math" w:hAnsi="Cambria Math" w:cs="Times New Roman"/>
                      <w:color w:val="000000" w:themeColor="text1"/>
                    </w:rPr>
                    <m:t>SeU</m:t>
                  </m:r>
                </m:e>
                <m:sub>
                  <m:r>
                    <m:rPr>
                      <m:sty m:val="p"/>
                    </m:rPr>
                    <w:rPr>
                      <w:rFonts w:ascii="Cambria Math" w:hAnsi="Cambria Math" w:cs="Times New Roman"/>
                      <w:color w:val="000000" w:themeColor="text1"/>
                    </w:rPr>
                    <m:t>AFP,i</m:t>
                  </m:r>
                </m:sub>
              </m:sSub>
              <m:r>
                <m:rPr>
                  <m:sty m:val="p"/>
                </m:rPr>
                <w:rPr>
                  <w:rFonts w:ascii="Cambria Math" w:hAnsi="Cambria Math" w:cs="Times New Roman"/>
                  <w:color w:val="000000" w:themeColor="text1"/>
                </w:rPr>
                <m:t>)</m:t>
              </m:r>
            </m:e>
            <m:sup>
              <m:sSub>
                <m:sSubPr>
                  <m:ctrlPr>
                    <w:rPr>
                      <w:rFonts w:ascii="Cambria Math" w:hAnsi="Cambria Math" w:cs="Times New Roman"/>
                      <w:color w:val="000000" w:themeColor="text1"/>
                    </w:rPr>
                  </m:ctrlPr>
                </m:sSubPr>
                <m:e>
                  <m:r>
                    <w:rPr>
                      <w:rFonts w:ascii="Cambria Math" w:hAnsi="Cambria Math" w:cs="Times New Roman"/>
                      <w:color w:val="000000" w:themeColor="text1"/>
                    </w:rPr>
                    <m:t>n</m:t>
                  </m:r>
                </m:e>
                <m:sub>
                  <m:r>
                    <w:rPr>
                      <w:rFonts w:ascii="Cambria Math" w:hAnsi="Cambria Math" w:cs="Times New Roman"/>
                      <w:color w:val="000000" w:themeColor="text1"/>
                    </w:rPr>
                    <m:t>i</m:t>
                  </m:r>
                </m:sub>
              </m:sSub>
            </m:sup>
          </m:sSup>
        </m:oMath>
      </m:oMathPara>
    </w:p>
    <w:p w14:paraId="26B0B2DF" w14:textId="77777777" w:rsidR="007C035C" w:rsidRPr="004F370D" w:rsidRDefault="007C035C" w:rsidP="003D6FBB">
      <w:pPr>
        <w:spacing w:line="276" w:lineRule="auto"/>
        <w:jc w:val="both"/>
        <w:rPr>
          <w:rFonts w:ascii="Times New Roman" w:hAnsi="Times New Roman" w:cs="Times New Roman"/>
          <w:color w:val="000000" w:themeColor="text1"/>
        </w:rPr>
      </w:pPr>
    </w:p>
    <w:p w14:paraId="17EC4C21" w14:textId="07653B8B" w:rsidR="0077381B" w:rsidRDefault="007C035C" w:rsidP="003D6FBB">
      <w:pPr>
        <w:spacing w:line="276" w:lineRule="auto"/>
        <w:jc w:val="both"/>
        <w:rPr>
          <w:rFonts w:ascii="Times New Roman" w:hAnsi="Times New Roman" w:cs="Times New Roman"/>
          <w:color w:val="000000" w:themeColor="text1"/>
        </w:rPr>
      </w:pPr>
      <w:r w:rsidRPr="004F370D">
        <w:rPr>
          <w:rFonts w:ascii="Times New Roman" w:hAnsi="Times New Roman" w:cs="Times New Roman"/>
          <w:color w:val="000000" w:themeColor="text1"/>
        </w:rPr>
        <w:t>Similar calculations are done for</w:t>
      </w:r>
      <w:r w:rsidR="003A48A3">
        <w:rPr>
          <w:rFonts w:ascii="Times New Roman" w:hAnsi="Times New Roman" w:cs="Times New Roman"/>
          <w:color w:val="000000" w:themeColor="text1"/>
        </w:rPr>
        <w:t xml:space="preserve"> enterovirus</w:t>
      </w:r>
      <w:r w:rsidR="00122A7B">
        <w:rPr>
          <w:rFonts w:ascii="Times New Roman" w:hAnsi="Times New Roman" w:cs="Times New Roman"/>
          <w:color w:val="000000" w:themeColor="text1"/>
        </w:rPr>
        <w:t xml:space="preserve"> (</w:t>
      </w:r>
      <w:proofErr w:type="spellStart"/>
      <w:proofErr w:type="gramStart"/>
      <w:r w:rsidR="00310FDF">
        <w:rPr>
          <w:rFonts w:ascii="Times New Roman" w:hAnsi="Times New Roman" w:cs="Times New Roman"/>
          <w:color w:val="000000" w:themeColor="text1"/>
        </w:rPr>
        <w:t>C</w:t>
      </w:r>
      <w:r w:rsidRPr="004F370D">
        <w:rPr>
          <w:rFonts w:ascii="Times New Roman" w:hAnsi="Times New Roman" w:cs="Times New Roman"/>
          <w:color w:val="000000" w:themeColor="text1"/>
        </w:rPr>
        <w:t>Se</w:t>
      </w:r>
      <w:r w:rsidR="003A48A3">
        <w:rPr>
          <w:rFonts w:ascii="Times New Roman" w:hAnsi="Times New Roman" w:cs="Times New Roman"/>
          <w:color w:val="000000" w:themeColor="text1"/>
          <w:vertAlign w:val="subscript"/>
        </w:rPr>
        <w:t>ENT</w:t>
      </w:r>
      <w:r w:rsidR="003D316C">
        <w:rPr>
          <w:rFonts w:ascii="Times New Roman" w:hAnsi="Times New Roman" w:cs="Times New Roman"/>
          <w:color w:val="000000" w:themeColor="text1"/>
          <w:vertAlign w:val="subscript"/>
        </w:rPr>
        <w:t>,i</w:t>
      </w:r>
      <w:proofErr w:type="spellEnd"/>
      <w:proofErr w:type="gramEnd"/>
      <w:r w:rsidR="00122A7B">
        <w:rPr>
          <w:rFonts w:ascii="Times New Roman" w:hAnsi="Times New Roman" w:cs="Times New Roman"/>
          <w:color w:val="000000" w:themeColor="text1"/>
        </w:rPr>
        <w:t xml:space="preserve">) </w:t>
      </w:r>
      <w:r w:rsidRPr="004F370D">
        <w:rPr>
          <w:rFonts w:ascii="Times New Roman" w:hAnsi="Times New Roman" w:cs="Times New Roman"/>
          <w:color w:val="000000" w:themeColor="text1"/>
        </w:rPr>
        <w:t>and</w:t>
      </w:r>
      <w:r w:rsidR="00122A7B">
        <w:rPr>
          <w:rFonts w:ascii="Times New Roman" w:hAnsi="Times New Roman" w:cs="Times New Roman"/>
          <w:color w:val="000000" w:themeColor="text1"/>
        </w:rPr>
        <w:t xml:space="preserve"> environmental surveillance</w:t>
      </w:r>
      <w:r w:rsidRPr="004F370D">
        <w:rPr>
          <w:rFonts w:ascii="Times New Roman" w:hAnsi="Times New Roman" w:cs="Times New Roman"/>
          <w:color w:val="000000" w:themeColor="text1"/>
        </w:rPr>
        <w:t xml:space="preserve"> </w:t>
      </w:r>
      <w:r w:rsidR="00122A7B">
        <w:rPr>
          <w:rFonts w:ascii="Times New Roman" w:hAnsi="Times New Roman" w:cs="Times New Roman"/>
          <w:color w:val="000000" w:themeColor="text1"/>
        </w:rPr>
        <w:t>(</w:t>
      </w:r>
      <w:proofErr w:type="spellStart"/>
      <w:r w:rsidR="00310FDF">
        <w:rPr>
          <w:rFonts w:ascii="Times New Roman" w:hAnsi="Times New Roman" w:cs="Times New Roman"/>
          <w:color w:val="000000" w:themeColor="text1"/>
        </w:rPr>
        <w:t>C</w:t>
      </w:r>
      <w:r w:rsidRPr="004F370D">
        <w:rPr>
          <w:rFonts w:ascii="Times New Roman" w:hAnsi="Times New Roman" w:cs="Times New Roman"/>
          <w:color w:val="000000" w:themeColor="text1"/>
        </w:rPr>
        <w:t>Se</w:t>
      </w:r>
      <w:r w:rsidRPr="004F370D">
        <w:rPr>
          <w:rFonts w:ascii="Times New Roman" w:hAnsi="Times New Roman" w:cs="Times New Roman"/>
          <w:color w:val="000000" w:themeColor="text1"/>
          <w:vertAlign w:val="subscript"/>
        </w:rPr>
        <w:t>ENV</w:t>
      </w:r>
      <w:r w:rsidR="003D316C">
        <w:rPr>
          <w:rFonts w:ascii="Times New Roman" w:hAnsi="Times New Roman" w:cs="Times New Roman"/>
          <w:color w:val="000000" w:themeColor="text1"/>
          <w:vertAlign w:val="subscript"/>
        </w:rPr>
        <w:t>,i</w:t>
      </w:r>
      <w:proofErr w:type="spellEnd"/>
      <w:r w:rsidR="00122A7B">
        <w:rPr>
          <w:rFonts w:ascii="Times New Roman" w:hAnsi="Times New Roman" w:cs="Times New Roman"/>
          <w:color w:val="000000" w:themeColor="text1"/>
        </w:rPr>
        <w:t>).</w:t>
      </w:r>
      <w:r w:rsidR="00DE5DFB" w:rsidRPr="004F370D">
        <w:rPr>
          <w:rFonts w:ascii="Times New Roman" w:hAnsi="Times New Roman" w:cs="Times New Roman"/>
          <w:color w:val="000000" w:themeColor="text1"/>
        </w:rPr>
        <w:t xml:space="preserve"> All probabilities include uncertainty which is carried through the calculations and the mean and 95% credible intervals are given.</w:t>
      </w:r>
      <w:r w:rsidR="006D1E34">
        <w:rPr>
          <w:rFonts w:ascii="Times New Roman" w:hAnsi="Times New Roman" w:cs="Times New Roman"/>
          <w:color w:val="000000" w:themeColor="text1"/>
        </w:rPr>
        <w:t xml:space="preserve"> See section 5 for a description of how estimates for each element of surveillance were derived.</w:t>
      </w:r>
    </w:p>
    <w:p w14:paraId="59169456" w14:textId="52457F6F" w:rsidR="009C10CA" w:rsidRDefault="009C10CA" w:rsidP="003D6FBB">
      <w:pPr>
        <w:spacing w:line="276" w:lineRule="auto"/>
        <w:jc w:val="both"/>
        <w:rPr>
          <w:rFonts w:ascii="Times New Roman" w:hAnsi="Times New Roman" w:cs="Times New Roman"/>
          <w:color w:val="000000" w:themeColor="text1"/>
        </w:rPr>
      </w:pPr>
    </w:p>
    <w:p w14:paraId="4F369725" w14:textId="2DAC9160" w:rsidR="009C10CA" w:rsidRDefault="009C10CA" w:rsidP="003D6FBB">
      <w:pPr>
        <w:spacing w:line="276"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We then want to estimate the sensitivity across the entire system for each mode of surveillance. </w:t>
      </w:r>
      <w:proofErr w:type="gramStart"/>
      <w:r>
        <w:rPr>
          <w:rFonts w:ascii="Times New Roman" w:hAnsi="Times New Roman" w:cs="Times New Roman"/>
          <w:color w:val="000000" w:themeColor="text1"/>
        </w:rPr>
        <w:t>First</w:t>
      </w:r>
      <w:proofErr w:type="gramEnd"/>
      <w:r>
        <w:rPr>
          <w:rFonts w:ascii="Times New Roman" w:hAnsi="Times New Roman" w:cs="Times New Roman"/>
          <w:color w:val="000000" w:themeColor="text1"/>
        </w:rPr>
        <w:t xml:space="preserve"> we need to combine </w:t>
      </w:r>
      <w:r w:rsidR="00725779">
        <w:rPr>
          <w:rFonts w:ascii="Times New Roman" w:hAnsi="Times New Roman" w:cs="Times New Roman"/>
          <w:color w:val="000000" w:themeColor="text1"/>
        </w:rPr>
        <w:t xml:space="preserve">estimates </w:t>
      </w:r>
      <w:r>
        <w:rPr>
          <w:rFonts w:ascii="Times New Roman" w:hAnsi="Times New Roman" w:cs="Times New Roman"/>
          <w:color w:val="000000" w:themeColor="text1"/>
        </w:rPr>
        <w:t>LAs</w:t>
      </w:r>
      <w:r w:rsidR="00725779">
        <w:rPr>
          <w:rFonts w:ascii="Times New Roman" w:hAnsi="Times New Roman" w:cs="Times New Roman"/>
          <w:color w:val="000000" w:themeColor="text1"/>
        </w:rPr>
        <w:t xml:space="preserve"> for each surveillance system</w:t>
      </w:r>
      <w:r>
        <w:rPr>
          <w:rFonts w:ascii="Times New Roman" w:hAnsi="Times New Roman" w:cs="Times New Roman"/>
          <w:color w:val="000000" w:themeColor="text1"/>
        </w:rPr>
        <w:t>;</w:t>
      </w:r>
    </w:p>
    <w:p w14:paraId="45A0AAFD" w14:textId="3FCC7411" w:rsidR="009C10CA" w:rsidRDefault="009C10CA" w:rsidP="003D6FBB">
      <w:pPr>
        <w:spacing w:line="276" w:lineRule="auto"/>
        <w:jc w:val="both"/>
        <w:rPr>
          <w:rFonts w:ascii="Times New Roman" w:hAnsi="Times New Roman" w:cs="Times New Roman"/>
          <w:color w:val="000000" w:themeColor="text1"/>
        </w:rPr>
      </w:pPr>
    </w:p>
    <w:p w14:paraId="218D86F2" w14:textId="2ABBCE6D" w:rsidR="009C10CA" w:rsidRPr="00DD5ADB" w:rsidRDefault="00551B55" w:rsidP="003D6FBB">
      <w:pPr>
        <w:spacing w:line="276" w:lineRule="auto"/>
        <w:jc w:val="both"/>
        <w:rPr>
          <w:rFonts w:ascii="Times New Roman" w:eastAsiaTheme="minorEastAsia" w:hAnsi="Times New Roman" w:cs="Times New Roman"/>
          <w:color w:val="000000" w:themeColor="text1"/>
        </w:rPr>
      </w:pPr>
      <m:oMathPara>
        <m:oMath>
          <m:sSub>
            <m:sSubPr>
              <m:ctrlPr>
                <w:rPr>
                  <w:rFonts w:ascii="Cambria Math" w:hAnsi="Cambria Math" w:cs="Times New Roman"/>
                  <w:color w:val="000000" w:themeColor="text1"/>
                </w:rPr>
              </m:ctrlPr>
            </m:sSubPr>
            <m:e>
              <m:r>
                <m:rPr>
                  <m:sty m:val="p"/>
                </m:rPr>
                <w:rPr>
                  <w:rFonts w:ascii="Cambria Math" w:hAnsi="Cambria Math" w:cs="Times New Roman"/>
                  <w:color w:val="000000" w:themeColor="text1"/>
                </w:rPr>
                <m:t>CSe</m:t>
              </m:r>
            </m:e>
            <m:sub>
              <m:r>
                <m:rPr>
                  <m:sty m:val="p"/>
                </m:rPr>
                <w:rPr>
                  <w:rFonts w:ascii="Cambria Math" w:hAnsi="Cambria Math" w:cs="Times New Roman"/>
                  <w:color w:val="000000" w:themeColor="text1"/>
                </w:rPr>
                <m:t>AFP</m:t>
              </m:r>
            </m:sub>
          </m:sSub>
          <m:r>
            <m:rPr>
              <m:sty m:val="p"/>
            </m:rPr>
            <w:rPr>
              <w:rFonts w:ascii="Cambria Math" w:hAnsi="Cambria Math" w:cs="Times New Roman"/>
              <w:color w:val="000000" w:themeColor="text1"/>
            </w:rPr>
            <m:t>=1-</m:t>
          </m:r>
          <m:nary>
            <m:naryPr>
              <m:chr m:val="∏"/>
              <m:limLoc m:val="undOvr"/>
              <m:ctrlPr>
                <w:rPr>
                  <w:rFonts w:ascii="Cambria Math" w:hAnsi="Cambria Math" w:cs="Times New Roman"/>
                  <w:color w:val="000000" w:themeColor="text1"/>
                </w:rPr>
              </m:ctrlPr>
            </m:naryPr>
            <m:sub>
              <m:r>
                <w:rPr>
                  <w:rFonts w:ascii="Cambria Math" w:hAnsi="Cambria Math" w:cs="Times New Roman"/>
                  <w:color w:val="000000" w:themeColor="text1"/>
                </w:rPr>
                <m:t>i=1</m:t>
              </m:r>
            </m:sub>
            <m:sup>
              <m:r>
                <w:rPr>
                  <w:rFonts w:ascii="Cambria Math" w:hAnsi="Cambria Math" w:cs="Times New Roman"/>
                  <w:color w:val="000000" w:themeColor="text1"/>
                </w:rPr>
                <m:t>M</m:t>
              </m:r>
            </m:sup>
            <m:e>
              <m:sSub>
                <m:sSubPr>
                  <m:ctrlPr>
                    <w:rPr>
                      <w:rFonts w:ascii="Cambria Math" w:hAnsi="Cambria Math" w:cs="Times New Roman"/>
                      <w:i/>
                      <w:color w:val="000000" w:themeColor="text1"/>
                    </w:rPr>
                  </m:ctrlPr>
                </m:sSubPr>
                <m:e>
                  <m:r>
                    <w:rPr>
                      <w:rFonts w:ascii="Cambria Math" w:hAnsi="Cambria Math" w:cs="Times New Roman"/>
                      <w:color w:val="000000" w:themeColor="text1"/>
                    </w:rPr>
                    <m:t>CSe</m:t>
                  </m:r>
                </m:e>
                <m:sub>
                  <m:r>
                    <w:rPr>
                      <w:rFonts w:ascii="Cambria Math" w:hAnsi="Cambria Math" w:cs="Times New Roman"/>
                      <w:color w:val="000000" w:themeColor="text1"/>
                    </w:rPr>
                    <m:t>AFP,i</m:t>
                  </m:r>
                </m:sub>
              </m:sSub>
            </m:e>
          </m:nary>
        </m:oMath>
      </m:oMathPara>
    </w:p>
    <w:p w14:paraId="514911DA" w14:textId="7B3EBAA6" w:rsidR="00DD5ADB" w:rsidRDefault="00DD5ADB" w:rsidP="003D6FBB">
      <w:pPr>
        <w:spacing w:line="276" w:lineRule="auto"/>
        <w:jc w:val="both"/>
        <w:rPr>
          <w:rFonts w:ascii="Times New Roman" w:eastAsiaTheme="minorEastAsia" w:hAnsi="Times New Roman" w:cs="Times New Roman"/>
          <w:color w:val="000000" w:themeColor="text1"/>
        </w:rPr>
      </w:pPr>
    </w:p>
    <w:p w14:paraId="71D61F45" w14:textId="692702A9" w:rsidR="00725779" w:rsidRDefault="00725779" w:rsidP="003D6FBB">
      <w:pPr>
        <w:spacing w:line="276" w:lineRule="auto"/>
        <w:jc w:val="both"/>
        <w:rPr>
          <w:rFonts w:ascii="Times New Roman" w:hAnsi="Times New Roman" w:cs="Times New Roman"/>
        </w:rPr>
      </w:pPr>
      <w:r>
        <w:rPr>
          <w:rFonts w:ascii="Times New Roman" w:hAnsi="Times New Roman" w:cs="Times New Roman"/>
        </w:rPr>
        <w:t xml:space="preserve">Then these values are used to estimate the surveillance sensitivity of the entire system; </w:t>
      </w:r>
      <m:oMath>
        <m:r>
          <w:rPr>
            <w:rFonts w:ascii="Cambria Math" w:hAnsi="Cambria Math" w:cs="Times New Roman"/>
          </w:rPr>
          <m:t>CSe=1-(</m:t>
        </m:r>
        <m:d>
          <m:dPr>
            <m:ctrlPr>
              <w:rPr>
                <w:rFonts w:ascii="Cambria Math" w:hAnsi="Cambria Math" w:cs="Times New Roman"/>
                <w:i/>
              </w:rPr>
            </m:ctrlPr>
          </m:dPr>
          <m:e>
            <m:r>
              <w:rPr>
                <w:rFonts w:ascii="Cambria Math" w:hAnsi="Cambria Math" w:cs="Times New Roman"/>
              </w:rPr>
              <m:t>1-</m:t>
            </m:r>
            <m:sSub>
              <m:sSubPr>
                <m:ctrlPr>
                  <w:rPr>
                    <w:rFonts w:ascii="Cambria Math" w:hAnsi="Cambria Math" w:cs="Times New Roman"/>
                    <w:i/>
                  </w:rPr>
                </m:ctrlPr>
              </m:sSubPr>
              <m:e>
                <m:r>
                  <w:rPr>
                    <w:rFonts w:ascii="Cambria Math" w:hAnsi="Cambria Math" w:cs="Times New Roman"/>
                  </w:rPr>
                  <m:t>CSe</m:t>
                </m:r>
              </m:e>
              <m:sub>
                <m:r>
                  <w:rPr>
                    <w:rFonts w:ascii="Cambria Math" w:hAnsi="Cambria Math" w:cs="Times New Roman"/>
                  </w:rPr>
                  <m:t>AFP</m:t>
                </m:r>
              </m:sub>
            </m:sSub>
          </m:e>
        </m:d>
        <m:d>
          <m:dPr>
            <m:ctrlPr>
              <w:rPr>
                <w:rFonts w:ascii="Cambria Math" w:hAnsi="Cambria Math" w:cs="Times New Roman"/>
                <w:i/>
              </w:rPr>
            </m:ctrlPr>
          </m:dPr>
          <m:e>
            <m:r>
              <w:rPr>
                <w:rFonts w:ascii="Cambria Math" w:hAnsi="Cambria Math" w:cs="Times New Roman"/>
              </w:rPr>
              <m:t>1-</m:t>
            </m:r>
            <m:sSub>
              <m:sSubPr>
                <m:ctrlPr>
                  <w:rPr>
                    <w:rFonts w:ascii="Cambria Math" w:hAnsi="Cambria Math" w:cs="Times New Roman"/>
                    <w:i/>
                  </w:rPr>
                </m:ctrlPr>
              </m:sSubPr>
              <m:e>
                <m:r>
                  <w:rPr>
                    <w:rFonts w:ascii="Cambria Math" w:hAnsi="Cambria Math" w:cs="Times New Roman"/>
                  </w:rPr>
                  <m:t>CSe</m:t>
                </m:r>
              </m:e>
              <m:sub>
                <m:r>
                  <w:rPr>
                    <w:rFonts w:ascii="Cambria Math" w:hAnsi="Cambria Math" w:cs="Times New Roman"/>
                  </w:rPr>
                  <m:t>ENT</m:t>
                </m:r>
              </m:sub>
            </m:sSub>
          </m:e>
        </m:d>
        <m:d>
          <m:dPr>
            <m:ctrlPr>
              <w:rPr>
                <w:rFonts w:ascii="Cambria Math" w:hAnsi="Cambria Math" w:cs="Times New Roman"/>
                <w:i/>
              </w:rPr>
            </m:ctrlPr>
          </m:dPr>
          <m:e>
            <m:r>
              <w:rPr>
                <w:rFonts w:ascii="Cambria Math" w:hAnsi="Cambria Math" w:cs="Times New Roman"/>
              </w:rPr>
              <m:t>1-</m:t>
            </m:r>
            <m:sSub>
              <m:sSubPr>
                <m:ctrlPr>
                  <w:rPr>
                    <w:rFonts w:ascii="Cambria Math" w:hAnsi="Cambria Math" w:cs="Times New Roman"/>
                    <w:i/>
                  </w:rPr>
                </m:ctrlPr>
              </m:sSubPr>
              <m:e>
                <m:r>
                  <w:rPr>
                    <w:rFonts w:ascii="Cambria Math" w:hAnsi="Cambria Math" w:cs="Times New Roman"/>
                  </w:rPr>
                  <m:t>CSe</m:t>
                </m:r>
              </m:e>
              <m:sub>
                <m:r>
                  <w:rPr>
                    <w:rFonts w:ascii="Cambria Math" w:hAnsi="Cambria Math" w:cs="Times New Roman"/>
                  </w:rPr>
                  <m:t>ENV</m:t>
                </m:r>
              </m:sub>
            </m:sSub>
          </m:e>
        </m:d>
        <m:r>
          <w:rPr>
            <w:rFonts w:ascii="Cambria Math" w:hAnsi="Cambria Math" w:cs="Times New Roman"/>
          </w:rPr>
          <m:t>)</m:t>
        </m:r>
      </m:oMath>
      <w:r>
        <w:rPr>
          <w:rFonts w:ascii="Times New Roman" w:eastAsiaTheme="minorEastAsia" w:hAnsi="Times New Roman" w:cs="Times New Roman"/>
        </w:rPr>
        <w:t>.</w:t>
      </w:r>
      <w:r>
        <w:rPr>
          <w:rFonts w:ascii="Times New Roman" w:hAnsi="Times New Roman" w:cs="Times New Roman"/>
        </w:rPr>
        <w:t xml:space="preserve"> </w:t>
      </w:r>
    </w:p>
    <w:p w14:paraId="7F242A54" w14:textId="77777777" w:rsidR="00725779" w:rsidRDefault="00725779" w:rsidP="003D6FBB">
      <w:pPr>
        <w:spacing w:line="276" w:lineRule="auto"/>
        <w:jc w:val="both"/>
        <w:rPr>
          <w:rFonts w:ascii="Times New Roman" w:hAnsi="Times New Roman" w:cs="Times New Roman"/>
        </w:rPr>
      </w:pPr>
    </w:p>
    <w:p w14:paraId="308B6612" w14:textId="13E77322" w:rsidR="00DD5ADB" w:rsidRPr="009C10CA" w:rsidRDefault="00DD5ADB" w:rsidP="003D6FBB">
      <w:pPr>
        <w:spacing w:line="276" w:lineRule="auto"/>
        <w:jc w:val="both"/>
        <w:rPr>
          <w:rFonts w:ascii="Times New Roman" w:eastAsiaTheme="minorEastAsia" w:hAnsi="Times New Roman" w:cs="Times New Roman"/>
          <w:color w:val="000000" w:themeColor="text1"/>
        </w:rPr>
      </w:pPr>
      <w:r>
        <w:rPr>
          <w:rFonts w:ascii="Times New Roman" w:hAnsi="Times New Roman" w:cs="Times New Roman"/>
        </w:rPr>
        <w:t>As with other high-income countries sewage collects into a catchment area so maps from water companies can be used to determine the extent of population coverage if ENV is initiated at a specific sewage works. C</w:t>
      </w:r>
      <w:r w:rsidRPr="007B02C5">
        <w:rPr>
          <w:rFonts w:ascii="Times New Roman" w:hAnsi="Times New Roman" w:cs="Times New Roman"/>
        </w:rPr>
        <w:t xml:space="preserve">omposite samples are taken from </w:t>
      </w:r>
      <w:r>
        <w:rPr>
          <w:rFonts w:ascii="Times New Roman" w:hAnsi="Times New Roman" w:cs="Times New Roman"/>
        </w:rPr>
        <w:t>the</w:t>
      </w:r>
      <w:r w:rsidRPr="007B02C5">
        <w:rPr>
          <w:rFonts w:ascii="Times New Roman" w:hAnsi="Times New Roman" w:cs="Times New Roman"/>
        </w:rPr>
        <w:t xml:space="preserve"> inlet of the sewage works and </w:t>
      </w:r>
      <w:r>
        <w:rPr>
          <w:rFonts w:ascii="Times New Roman" w:hAnsi="Times New Roman" w:cs="Times New Roman"/>
        </w:rPr>
        <w:t>previous research suggests they have a high sensitivity to poliovirus if an individual is shedding within the last</w:t>
      </w:r>
      <w:r w:rsidRPr="007B02C5">
        <w:rPr>
          <w:rFonts w:ascii="Times New Roman" w:hAnsi="Times New Roman" w:cs="Times New Roman"/>
        </w:rPr>
        <w:t xml:space="preserve"> </w:t>
      </w:r>
      <w:r>
        <w:rPr>
          <w:rFonts w:ascii="Times New Roman" w:hAnsi="Times New Roman" w:cs="Times New Roman"/>
        </w:rPr>
        <w:t>week</w:t>
      </w:r>
      <w:r w:rsidRPr="007B02C5">
        <w:rPr>
          <w:rFonts w:ascii="Times New Roman" w:hAnsi="Times New Roman" w:cs="Times New Roman"/>
        </w:rPr>
        <w:t>.</w:t>
      </w:r>
      <w:r w:rsidR="00767815">
        <w:rPr>
          <w:rFonts w:ascii="Times New Roman" w:hAnsi="Times New Roman" w:cs="Times New Roman"/>
        </w:rPr>
        <w:fldChar w:fldCharType="begin"/>
      </w:r>
      <w:r w:rsidR="00767815">
        <w:rPr>
          <w:rFonts w:ascii="Times New Roman" w:hAnsi="Times New Roman" w:cs="Times New Roman"/>
        </w:rPr>
        <w:instrText xml:space="preserve"> ADDIN ZOTERO_ITEM CSL_CITATION {"citationID":"cztevzVX","properties":{"formattedCitation":"\\super 3\\nosupersub{}","plainCitation":"3","noteIndex":0},"citationItems":[{"id":637,"uris":["http://zotero.org/users/5061339/items/ZDKMXF6G"],"uri":["http://zotero.org/users/5061339/items/ZDKMXF6G"],"itemData":{"id":637,"type":"article-journal","abstract":"The progress of the Global Polio Eradication Initiative is monitored by acute flaccid paralysis (AFP) surveillance supplemented with environmental surveillance in selected areas. To assess the sensitivity of environmental surveillance, stools from (re)vaccinated elderly persons with a low seroprevalence and from wastewater were concurrently collected and analyzed in the Netherlands over a prolonged period of time. A total number of 228 healthy individuals with different levels of immunity were challenged with monovalent oral polio vaccine serotype 1 or 3. Poliovirus concentrations were determined by the titration of fecal suspensions on poliovirus-sensitive L20B cells and of sewage concentrates by L20B monolayer plaque assay. Almost half of the individuals (45%) shed poliovirus on day 3 after challenge, which peaked (57%) on day 8 with an average poliovirus excretion of 1.3 × 10(5) TCID(50) per g of feces and gradually decreased to less than 5% on day 42. The virus concentrations in sewage peaked on days 6 to 8 at approximately 100 PFU per liter, remained high until day 14, and subsequently decreased to less than 10 PFU per liter on day 29. The estimated poliovirus concentration in sewage approximated the measured initial virus excretion in feces, within 1 log(10) variation, resulting in a sensitivity of detection of 100 infected but mostly asymptomatic individuals in tens of thousands of individuals. An additional second peak observed in sewage may indicate secondary transmission missed by enterovirus or AFP surveillance in patients. This enables the detection of circulating poliovirus by environmental surveillance, supporting its feasibility as an early warning system.","container-title":"Applied and Environmental Microbiology","DOI":"10.1128/AEM.07972-11","ISSN":"00992240","issue":"11","note":"PMID: 22447593","page":"3800–3805","title":"Feasibility of quantitative environmental surveillance in poliovirus eradication strategies","volume":"78","author":[{"family":"Lodder","given":"W. J."},{"family":"Buisman","given":"A. M."},{"family":"Rutjes","given":"S. A."},{"family":"Heijne","given":"J. C."},{"family":"Teunis","given":"P. F."},{"family":"Roda Husman","given":"A. M.","non-dropping-particle":"de"}],"issued":{"date-parts":[["2012"]]}}}],"schema":"https://github.com/citation-style-language/schema/raw/master/csl-citation.json"} </w:instrText>
      </w:r>
      <w:r w:rsidR="00767815">
        <w:rPr>
          <w:rFonts w:ascii="Times New Roman" w:hAnsi="Times New Roman" w:cs="Times New Roman"/>
        </w:rPr>
        <w:fldChar w:fldCharType="separate"/>
      </w:r>
      <w:r w:rsidR="00767815" w:rsidRPr="00767815">
        <w:rPr>
          <w:rFonts w:ascii="Times New Roman" w:hAnsi="Times New Roman" w:cs="Times New Roman"/>
          <w:vertAlign w:val="superscript"/>
          <w:lang w:val="en-US"/>
        </w:rPr>
        <w:t>3</w:t>
      </w:r>
      <w:r w:rsidR="00767815">
        <w:rPr>
          <w:rFonts w:ascii="Times New Roman" w:hAnsi="Times New Roman" w:cs="Times New Roman"/>
        </w:rPr>
        <w:fldChar w:fldCharType="end"/>
      </w:r>
      <w:r w:rsidRPr="007B02C5">
        <w:rPr>
          <w:rFonts w:ascii="Times New Roman" w:hAnsi="Times New Roman" w:cs="Times New Roman"/>
        </w:rPr>
        <w:t xml:space="preserve"> </w:t>
      </w:r>
      <w:r>
        <w:rPr>
          <w:rFonts w:ascii="Times New Roman" w:hAnsi="Times New Roman" w:cs="Times New Roman"/>
        </w:rPr>
        <w:t>Shedding studies have illustrated a high sensitivity of detecting poliovirus from just one composite sample and so the sensitivity of ENV is largely influenced by the frequency of sampling. If an individual sheds poliovirus for approximately 16 days,</w:t>
      </w:r>
      <w:r w:rsidR="00767815">
        <w:rPr>
          <w:rFonts w:ascii="Times New Roman" w:hAnsi="Times New Roman" w:cs="Times New Roman"/>
        </w:rPr>
        <w:fldChar w:fldCharType="begin"/>
      </w:r>
      <w:r w:rsidR="00767815">
        <w:rPr>
          <w:rFonts w:ascii="Times New Roman" w:hAnsi="Times New Roman" w:cs="Times New Roman"/>
        </w:rPr>
        <w:instrText xml:space="preserve"> ADDIN ZOTERO_ITEM CSL_CITATION {"citationID":"GJRU8b4e","properties":{"formattedCitation":"\\super 3\\nosupersub{}","plainCitation":"3","noteIndex":0},"citationItems":[{"id":637,"uris":["http://zotero.org/users/5061339/items/ZDKMXF6G"],"uri":["http://zotero.org/users/5061339/items/ZDKMXF6G"],"itemData":{"id":637,"type":"article-journal","abstract":"The progress of the Global Polio Eradication Initiative is monitored by acute flaccid paralysis (AFP) surveillance supplemented with environmental surveillance in selected areas. To assess the sensitivity of environmental surveillance, stools from (re)vaccinated elderly persons with a low seroprevalence and from wastewater were concurrently collected and analyzed in the Netherlands over a prolonged period of time. A total number of 228 healthy individuals with different levels of immunity were challenged with monovalent oral polio vaccine serotype 1 or 3. Poliovirus concentrations were determined by the titration of fecal suspensions on poliovirus-sensitive L20B cells and of sewage concentrates by L20B monolayer plaque assay. Almost half of the individuals (45%) shed poliovirus on day 3 after challenge, which peaked (57%) on day 8 with an average poliovirus excretion of 1.3 × 10(5) TCID(50) per g of feces and gradually decreased to less than 5% on day 42. The virus concentrations in sewage peaked on days 6 to 8 at approximately 100 PFU per liter, remained high until day 14, and subsequently decreased to less than 10 PFU per liter on day 29. The estimated poliovirus concentration in sewage approximated the measured initial virus excretion in feces, within 1 log(10) variation, resulting in a sensitivity of detection of 100 infected but mostly asymptomatic individuals in tens of thousands of individuals. An additional second peak observed in sewage may indicate secondary transmission missed by enterovirus or AFP surveillance in patients. This enables the detection of circulating poliovirus by environmental surveillance, supporting its feasibility as an early warning system.","container-title":"Applied and Environmental Microbiology","DOI":"10.1128/AEM.07972-11","ISSN":"00992240","issue":"11","note":"PMID: 22447593","page":"3800–3805","title":"Feasibility of quantitative environmental surveillance in poliovirus eradication strategies","volume":"78","author":[{"family":"Lodder","given":"W. J."},{"family":"Buisman","given":"A. M."},{"family":"Rutjes","given":"S. A."},{"family":"Heijne","given":"J. C."},{"family":"Teunis","given":"P. F."},{"family":"Roda Husman","given":"A. M.","non-dropping-particle":"de"}],"issued":{"date-parts":[["2012"]]}}}],"schema":"https://github.com/citation-style-language/schema/raw/master/csl-citation.json"} </w:instrText>
      </w:r>
      <w:r w:rsidR="00767815">
        <w:rPr>
          <w:rFonts w:ascii="Times New Roman" w:hAnsi="Times New Roman" w:cs="Times New Roman"/>
        </w:rPr>
        <w:fldChar w:fldCharType="separate"/>
      </w:r>
      <w:r w:rsidR="00767815" w:rsidRPr="00767815">
        <w:rPr>
          <w:rFonts w:ascii="Times New Roman" w:hAnsi="Times New Roman" w:cs="Times New Roman"/>
          <w:vertAlign w:val="superscript"/>
          <w:lang w:val="en-US"/>
        </w:rPr>
        <w:t>3</w:t>
      </w:r>
      <w:r w:rsidR="00767815">
        <w:rPr>
          <w:rFonts w:ascii="Times New Roman" w:hAnsi="Times New Roman" w:cs="Times New Roman"/>
        </w:rPr>
        <w:fldChar w:fldCharType="end"/>
      </w:r>
      <w:r>
        <w:rPr>
          <w:rFonts w:ascii="Times New Roman" w:hAnsi="Times New Roman" w:cs="Times New Roman"/>
        </w:rPr>
        <w:t xml:space="preserve"> poliovirus could be detected within sewage for up to 23 days from one individual, resulting in a monthly sampling frequency corresponding to a detection probability of (23+1)/30=0.80</w:t>
      </w:r>
      <w:r w:rsidRPr="007B02C5">
        <w:rPr>
          <w:rFonts w:ascii="Times New Roman" w:hAnsi="Times New Roman" w:cs="Times New Roman"/>
        </w:rPr>
        <w:t>.</w:t>
      </w:r>
      <w:r>
        <w:rPr>
          <w:rFonts w:ascii="Times New Roman" w:hAnsi="Times New Roman" w:cs="Times New Roman"/>
        </w:rPr>
        <w:t xml:space="preserve"> The duration of shedding in IPV vaccinated individuals is lower,</w:t>
      </w:r>
      <w:r w:rsidR="00767815">
        <w:rPr>
          <w:rFonts w:ascii="Times New Roman" w:hAnsi="Times New Roman" w:cs="Times New Roman"/>
        </w:rPr>
        <w:fldChar w:fldCharType="begin"/>
      </w:r>
      <w:r w:rsidR="00767815">
        <w:rPr>
          <w:rFonts w:ascii="Times New Roman" w:hAnsi="Times New Roman" w:cs="Times New Roman"/>
        </w:rPr>
        <w:instrText xml:space="preserve"> ADDIN ZOTERO_ITEM CSL_CITATION {"citationID":"sWkb8phh","properties":{"formattedCitation":"\\super 1\\nosupersub{}","plainCitation":"1","noteIndex":0},"citationItems":[{"id":336,"uris":["http://zotero.org/users/5061339/items/B4TJI3WE"],"uri":["http://zotero.org/users/5061339/items/B4TJI3WE"],"itemData":{"id":336,"type":"article-journal","abstract":"Inactivated poliovirus vaccine (IPV) may be used in mass vaccination campaigns during the final stages of polio eradication. It is also likely to be adopted by many countries following the coordinated global cessation of vaccination with oral poliovirus vaccine (OPV) after eradication. The success of IPV in the control of poliomyelitis outbreaks will depend on the degree of nasopharyngeal and intestinal mucosal immunity induced against poliovirus infection. We performed a systematic review of studies published through May 2011 that recorded the prevalence of poliovirus shedding in stool samples or nasopharyngeal secretions collected 5-30 days after a \"challenge\" dose of OPV. Studies were combined in a meta-analysis of the odds of shedding among children vaccinated according to IPV, OPV, and combination schedules. We identified 31 studies of shedding in stool and four in nasopharyngeal samples that met the inclusion criteria. Individuals vaccinated with OPV were protected against infection and shedding of poliovirus in stool samples collected after challenge compared with unvaccinated individuals (summary odds ratio [OR] for shedding 0.13 (95% confidence interval [CI] 0.08-0.24)). In contrast, IPV provided no protection against shedding compared with unvaccinated individuals (summary OR 0.81 [95% CI 0.59-1.11]) or when given in addition to OPV, compared with individuals given OPV alone (summary OR 1.14 [95% CI 0.82-1.58]). There were insufficient studies of nasopharyngeal shedding to draw a conclusion. IPV does not induce sufficient intestinal mucosal immunity to reduce the prevalence of fecal poliovirus shedding after challenge, although there was some evidence that it can reduce the quantity of virus shed. The impact of IPV on poliovirus transmission in countries where fecal-oral spread is common is unknown but is likely to be limited compared with OPV.","container-title":"PLoS Pathogens","DOI":"10.1371/journal.ppat.1002599","ISSN":"15537366","issue":"4","note":"PMID: 22532797","title":"Systematic review of mucosal immunity induced by oral and inactivated poliovirus vaccines against virus shedding following oral poliovirus challenge","volume":"8","author":[{"family":"Hird","given":"Thomas R."},{"family":"Grassly","given":"Nicholas C."}],"issued":{"date-parts":[["2012"]]}}}],"schema":"https://github.com/citation-style-language/schema/raw/master/csl-citation.json"} </w:instrText>
      </w:r>
      <w:r w:rsidR="00767815">
        <w:rPr>
          <w:rFonts w:ascii="Times New Roman" w:hAnsi="Times New Roman" w:cs="Times New Roman"/>
        </w:rPr>
        <w:fldChar w:fldCharType="separate"/>
      </w:r>
      <w:r w:rsidR="00767815" w:rsidRPr="00767815">
        <w:rPr>
          <w:rFonts w:ascii="Times New Roman" w:hAnsi="Times New Roman" w:cs="Times New Roman"/>
          <w:vertAlign w:val="superscript"/>
          <w:lang w:val="en-US"/>
        </w:rPr>
        <w:t>1</w:t>
      </w:r>
      <w:r w:rsidR="00767815">
        <w:rPr>
          <w:rFonts w:ascii="Times New Roman" w:hAnsi="Times New Roman" w:cs="Times New Roman"/>
        </w:rPr>
        <w:fldChar w:fldCharType="end"/>
      </w:r>
      <w:r>
        <w:rPr>
          <w:rFonts w:ascii="Times New Roman" w:hAnsi="Times New Roman" w:cs="Times New Roman"/>
        </w:rPr>
        <w:t xml:space="preserve"> but if more than one individual is shedding poliovirus the probability of detection would increase. To account for the known variation in shedding and uncertainty in the number of shedders the probability of detection is given wide confidence intervals</w:t>
      </w:r>
      <w:r w:rsidR="005E1451">
        <w:rPr>
          <w:rFonts w:ascii="Times New Roman" w:hAnsi="Times New Roman" w:cs="Times New Roman"/>
        </w:rPr>
        <w:t xml:space="preserve"> and monte-</w:t>
      </w:r>
      <w:proofErr w:type="spellStart"/>
      <w:r w:rsidR="005E1451">
        <w:rPr>
          <w:rFonts w:ascii="Times New Roman" w:hAnsi="Times New Roman" w:cs="Times New Roman"/>
        </w:rPr>
        <w:t>carlo</w:t>
      </w:r>
      <w:proofErr w:type="spellEnd"/>
      <w:r w:rsidR="005E1451">
        <w:rPr>
          <w:rFonts w:ascii="Times New Roman" w:hAnsi="Times New Roman" w:cs="Times New Roman"/>
        </w:rPr>
        <w:t xml:space="preserve"> simulation is used to sample from these distributions</w:t>
      </w:r>
      <w:r>
        <w:rPr>
          <w:rFonts w:ascii="Times New Roman" w:hAnsi="Times New Roman" w:cs="Times New Roman"/>
        </w:rPr>
        <w:t xml:space="preserve"> (Table 3). Fortnightly sampling within one location would increase the detection probability to 1.00.</w:t>
      </w:r>
      <w:r w:rsidRPr="007B02C5">
        <w:rPr>
          <w:rFonts w:ascii="Times New Roman" w:hAnsi="Times New Roman" w:cs="Times New Roman"/>
        </w:rPr>
        <w:t xml:space="preserve"> </w:t>
      </w:r>
      <w:r>
        <w:rPr>
          <w:rFonts w:ascii="Times New Roman" w:hAnsi="Times New Roman" w:cs="Times New Roman"/>
        </w:rPr>
        <w:t>Sensitivity of detection is thought to reduce with increasing sewage flow</w:t>
      </w:r>
      <w:r w:rsidR="00767815">
        <w:rPr>
          <w:rFonts w:ascii="Times New Roman" w:hAnsi="Times New Roman" w:cs="Times New Roman"/>
        </w:rPr>
        <w:fldChar w:fldCharType="begin"/>
      </w:r>
      <w:r w:rsidR="00767815">
        <w:rPr>
          <w:rFonts w:ascii="Times New Roman" w:hAnsi="Times New Roman" w:cs="Times New Roman"/>
        </w:rPr>
        <w:instrText xml:space="preserve"> ADDIN ZOTERO_ITEM CSL_CITATION {"citationID":"Pk0X6IoJ","properties":{"formattedCitation":"\\super 4\\nosupersub{}","plainCitation":"4","noteIndex":0},"citationItems":[{"id":1220,"uris":["http://zotero.org/users/5061339/items/H2JINIIK"],"uri":["http://zotero.org/users/5061339/items/H2JINIIK"],"itemData":{"id":1220,"type":"article-journal","abstract":"In order to assess the feasibility of environmental poliovirus surveillance, known amounts of poliovirus type 1, strain Sabin, were flushed into the sewage network of Helsinki. Grab specimens collected at a remote downstream location and concentrated about a 100-fold revealed infectious poliovirus on four successive days in all three separate experiments. As for concentration, a simple two-phase separation method was found to be at least as useful as a several-fold more resource-demanding polyethylene glycol (PEG) precipitation method. Recovery of the introduced virus was remarkably high (more than 10%). Using the current system, it might be possible to detect poliovirus circulation in a population of 700,000 people by examining a single 400 ml sewage specimen, if 1 out of 10,000 inhabitants were excreting the virus. It is concluded that environmental surveillance is a sensitive approach to monitor silent poliovirus circulation in populations served by a sewage network.","container-title":"Epidemiology and infection","ISSN":"0950-2688","issue":"1","note":"PMID: 11561962","page":"101–106","title":"Poliovirus surveillance by examining sewage specimens. Quantitative recovery of virus after introduction into sewerage at remote upstream location.","volume":"127","author":[{"family":"Hovi","given":"T"},{"family":"Stenvik","given":"M"},{"family":"Partanen","given":"H"},{"family":"Kangas","given":"A"}],"issued":{"date-parts":[["2001",8]]}}}],"schema":"https://github.com/citation-style-language/schema/raw/master/csl-citation.json"} </w:instrText>
      </w:r>
      <w:r w:rsidR="00767815">
        <w:rPr>
          <w:rFonts w:ascii="Times New Roman" w:hAnsi="Times New Roman" w:cs="Times New Roman"/>
        </w:rPr>
        <w:fldChar w:fldCharType="separate"/>
      </w:r>
      <w:r w:rsidR="00767815" w:rsidRPr="00767815">
        <w:rPr>
          <w:rFonts w:ascii="Times New Roman" w:hAnsi="Times New Roman" w:cs="Times New Roman"/>
          <w:vertAlign w:val="superscript"/>
          <w:lang w:val="en-US"/>
        </w:rPr>
        <w:t>4</w:t>
      </w:r>
      <w:r w:rsidR="00767815">
        <w:rPr>
          <w:rFonts w:ascii="Times New Roman" w:hAnsi="Times New Roman" w:cs="Times New Roman"/>
        </w:rPr>
        <w:fldChar w:fldCharType="end"/>
      </w:r>
      <w:r>
        <w:rPr>
          <w:rFonts w:ascii="Times New Roman" w:hAnsi="Times New Roman" w:cs="Times New Roman"/>
        </w:rPr>
        <w:t xml:space="preserve"> and so sensitivity may be lower in sewage sites processing wastewater from a large (&gt;100,000) population, but empirical studies that test this are lacking.</w:t>
      </w:r>
    </w:p>
    <w:p w14:paraId="51D08A33" w14:textId="77777777" w:rsidR="007C035C" w:rsidRPr="004F370D" w:rsidRDefault="007C035C" w:rsidP="003D6FBB">
      <w:pPr>
        <w:spacing w:line="276" w:lineRule="auto"/>
        <w:jc w:val="both"/>
        <w:rPr>
          <w:rFonts w:ascii="Times New Roman" w:hAnsi="Times New Roman" w:cs="Times New Roman"/>
          <w:color w:val="000000" w:themeColor="text1"/>
        </w:rPr>
      </w:pPr>
    </w:p>
    <w:p w14:paraId="6DFC85F2" w14:textId="7BFEBBD2" w:rsidR="00065CA6" w:rsidRPr="00B94660" w:rsidRDefault="00065CA6" w:rsidP="003D6FBB">
      <w:pPr>
        <w:pStyle w:val="ListParagraph"/>
        <w:numPr>
          <w:ilvl w:val="0"/>
          <w:numId w:val="1"/>
        </w:numPr>
        <w:spacing w:line="276" w:lineRule="auto"/>
        <w:jc w:val="both"/>
        <w:rPr>
          <w:rFonts w:ascii="Times New Roman" w:hAnsi="Times New Roman" w:cs="Times New Roman"/>
          <w:b/>
          <w:bCs/>
          <w:color w:val="000000" w:themeColor="text1"/>
        </w:rPr>
      </w:pPr>
      <w:r w:rsidRPr="00B94660">
        <w:rPr>
          <w:rFonts w:ascii="Times New Roman" w:hAnsi="Times New Roman" w:cs="Times New Roman"/>
          <w:b/>
          <w:bCs/>
          <w:color w:val="000000" w:themeColor="text1"/>
        </w:rPr>
        <w:t>Estimation of the probability of being polio-free</w:t>
      </w:r>
    </w:p>
    <w:p w14:paraId="767865B1" w14:textId="5D5749E2" w:rsidR="00FC25C2" w:rsidRPr="004F370D" w:rsidRDefault="00FC25C2" w:rsidP="003D6FBB">
      <w:pPr>
        <w:spacing w:line="276" w:lineRule="auto"/>
        <w:jc w:val="both"/>
        <w:rPr>
          <w:rFonts w:ascii="Times New Roman" w:hAnsi="Times New Roman" w:cs="Times New Roman"/>
          <w:color w:val="000000" w:themeColor="text1"/>
        </w:rPr>
      </w:pPr>
    </w:p>
    <w:p w14:paraId="35504E90" w14:textId="2C5873F0" w:rsidR="00DD5ADB" w:rsidRDefault="00DD5ADB" w:rsidP="003D6FBB">
      <w:pPr>
        <w:spacing w:line="276" w:lineRule="auto"/>
        <w:jc w:val="both"/>
        <w:rPr>
          <w:rFonts w:ascii="Times New Roman" w:eastAsiaTheme="minorEastAsia" w:hAnsi="Times New Roman" w:cs="Times New Roman"/>
        </w:rPr>
      </w:pPr>
      <w:r>
        <w:rPr>
          <w:rFonts w:ascii="Times New Roman" w:hAnsi="Times New Roman" w:cs="Times New Roman"/>
        </w:rPr>
        <w:t xml:space="preserve">Using the principal of the negative predictive value of a test, </w:t>
      </w:r>
      <w:r w:rsidR="008F2CF3">
        <w:rPr>
          <w:rFonts w:ascii="Times New Roman" w:hAnsi="Times New Roman" w:cs="Times New Roman"/>
        </w:rPr>
        <w:t xml:space="preserve">and assuming that </w:t>
      </w:r>
      <w:r w:rsidR="00192BF1">
        <w:rPr>
          <w:rFonts w:ascii="Times New Roman" w:hAnsi="Times New Roman" w:cs="Times New Roman"/>
        </w:rPr>
        <w:t xml:space="preserve">testing has 100% specificity, </w:t>
      </w:r>
      <w:r>
        <w:rPr>
          <w:rFonts w:ascii="Times New Roman" w:hAnsi="Times New Roman" w:cs="Times New Roman"/>
        </w:rPr>
        <w:t>the probability of being infection free within a given month (</w:t>
      </w:r>
      <w:r w:rsidRPr="003E1613">
        <w:rPr>
          <w:rFonts w:ascii="Times New Roman" w:hAnsi="Times New Roman" w:cs="Times New Roman"/>
          <w:i/>
          <w:iCs/>
        </w:rPr>
        <w:t>t</w:t>
      </w:r>
      <w:r>
        <w:rPr>
          <w:rFonts w:ascii="Times New Roman" w:hAnsi="Times New Roman" w:cs="Times New Roman"/>
        </w:rPr>
        <w:t xml:space="preserve">) is </w:t>
      </w:r>
      <m:oMath>
        <m:r>
          <w:rPr>
            <w:rFonts w:ascii="Cambria Math" w:hAnsi="Cambria Math" w:cs="Times New Roman"/>
          </w:rPr>
          <m:t>P(</m:t>
        </m:r>
        <m:sSub>
          <m:sSubPr>
            <m:ctrlPr>
              <w:rPr>
                <w:rFonts w:ascii="Cambria Math" w:hAnsi="Cambria Math" w:cs="Times New Roman"/>
                <w:iCs/>
              </w:rPr>
            </m:ctrlPr>
          </m:sSubPr>
          <m:e>
            <m:r>
              <w:rPr>
                <w:rFonts w:ascii="Cambria Math" w:hAnsi="Cambria Math" w:cs="Times New Roman"/>
              </w:rPr>
              <m:t>free</m:t>
            </m:r>
          </m:e>
          <m:sub>
            <m:r>
              <w:rPr>
                <w:rFonts w:ascii="Cambria Math" w:hAnsi="Cambria Math" w:cs="Times New Roman"/>
              </w:rPr>
              <m:t>t</m:t>
            </m:r>
          </m:sub>
        </m:sSub>
        <m:r>
          <w:rPr>
            <w:rFonts w:ascii="Cambria Math" w:hAnsi="Cambria Math" w:cs="Times New Roman"/>
          </w:rPr>
          <m:t>)=</m:t>
        </m:r>
        <m:f>
          <m:fPr>
            <m:type m:val="lin"/>
            <m:ctrlPr>
              <w:rPr>
                <w:rFonts w:ascii="Cambria Math" w:hAnsi="Cambria Math" w:cs="Times New Roman"/>
                <w:i/>
              </w:rPr>
            </m:ctrlPr>
          </m:fPr>
          <m:num>
            <m:r>
              <w:rPr>
                <w:rFonts w:ascii="Cambria Math" w:hAnsi="Cambria Math" w:cs="Times New Roman"/>
              </w:rPr>
              <m:t>(1-P)</m:t>
            </m:r>
          </m:num>
          <m:den>
            <m:r>
              <w:rPr>
                <w:rFonts w:ascii="Cambria Math" w:hAnsi="Cambria Math" w:cs="Times New Roman"/>
              </w:rPr>
              <m:t>(1-P.</m:t>
            </m:r>
            <m:sSub>
              <m:sSubPr>
                <m:ctrlPr>
                  <w:rPr>
                    <w:rFonts w:ascii="Cambria Math" w:hAnsi="Cambria Math" w:cs="Times New Roman"/>
                    <w:i/>
                  </w:rPr>
                </m:ctrlPr>
              </m:sSubPr>
              <m:e>
                <m:r>
                  <w:rPr>
                    <w:rFonts w:ascii="Cambria Math" w:hAnsi="Cambria Math" w:cs="Times New Roman"/>
                  </w:rPr>
                  <m:t>CSe</m:t>
                </m:r>
              </m:e>
              <m:sub>
                <m:r>
                  <w:rPr>
                    <w:rFonts w:ascii="Cambria Math" w:hAnsi="Cambria Math" w:cs="Times New Roman"/>
                  </w:rPr>
                  <m:t>t</m:t>
                </m:r>
              </m:sub>
            </m:sSub>
            <m:r>
              <w:rPr>
                <w:rFonts w:ascii="Cambria Math" w:hAnsi="Cambria Math" w:cs="Times New Roman"/>
              </w:rPr>
              <m:t>)</m:t>
            </m:r>
          </m:den>
        </m:f>
      </m:oMath>
      <w:r>
        <w:rPr>
          <w:rFonts w:ascii="Times New Roman" w:eastAsiaTheme="minorEastAsia" w:hAnsi="Times New Roman" w:cs="Times New Roman"/>
        </w:rPr>
        <w:t xml:space="preserve">, where </w:t>
      </w:r>
      <w:r w:rsidRPr="00450178">
        <w:rPr>
          <w:rFonts w:ascii="Times New Roman" w:eastAsiaTheme="minorEastAsia" w:hAnsi="Times New Roman" w:cs="Times New Roman"/>
          <w:i/>
          <w:iCs/>
        </w:rPr>
        <w:t>P</w:t>
      </w:r>
      <w:r>
        <w:rPr>
          <w:rFonts w:ascii="Times New Roman" w:eastAsiaTheme="minorEastAsia" w:hAnsi="Times New Roman" w:cs="Times New Roman"/>
        </w:rPr>
        <w:t xml:space="preserve"> is the prior for being infected and </w:t>
      </w:r>
      <m:oMath>
        <m:r>
          <w:rPr>
            <w:rFonts w:ascii="Cambria Math" w:eastAsiaTheme="minorEastAsia" w:hAnsi="Cambria Math" w:cs="Times New Roman"/>
          </w:rPr>
          <m:t>CSe</m:t>
        </m:r>
      </m:oMath>
      <w:r>
        <w:rPr>
          <w:rFonts w:ascii="Times New Roman" w:eastAsiaTheme="minorEastAsia" w:hAnsi="Times New Roman" w:cs="Times New Roman"/>
        </w:rPr>
        <w:t xml:space="preserve"> refers to diagnostic sensitivity</w:t>
      </w:r>
      <w:r w:rsidR="006F5254">
        <w:rPr>
          <w:rFonts w:ascii="Times New Roman" w:eastAsiaTheme="minorEastAsia" w:hAnsi="Times New Roman" w:cs="Times New Roman"/>
        </w:rPr>
        <w:t>, which in this case is the sensitivity of the surveillance system</w:t>
      </w:r>
      <w:r>
        <w:rPr>
          <w:rFonts w:ascii="Times New Roman" w:eastAsiaTheme="minorEastAsia" w:hAnsi="Times New Roman" w:cs="Times New Roman"/>
        </w:rPr>
        <w:t xml:space="preserve">. </w:t>
      </w:r>
      <w:r w:rsidR="00192BF1">
        <w:rPr>
          <w:rFonts w:ascii="Times New Roman" w:eastAsiaTheme="minorEastAsia" w:hAnsi="Times New Roman" w:cs="Times New Roman"/>
        </w:rPr>
        <w:t xml:space="preserve">Each prior probability is the </w:t>
      </w:r>
      <m:oMath>
        <m:r>
          <w:rPr>
            <w:rFonts w:ascii="Cambria Math" w:eastAsiaTheme="minorEastAsia" w:hAnsi="Cambria Math" w:cs="Times New Roman"/>
          </w:rPr>
          <m:t>P(</m:t>
        </m:r>
        <m:sSub>
          <m:sSubPr>
            <m:ctrlPr>
              <w:rPr>
                <w:rFonts w:ascii="Cambria Math" w:eastAsiaTheme="minorEastAsia" w:hAnsi="Cambria Math" w:cs="Times New Roman"/>
                <w:i/>
              </w:rPr>
            </m:ctrlPr>
          </m:sSubPr>
          <m:e>
            <m:r>
              <w:rPr>
                <w:rFonts w:ascii="Cambria Math" w:eastAsiaTheme="minorEastAsia" w:hAnsi="Cambria Math" w:cs="Times New Roman"/>
              </w:rPr>
              <m:t>free</m:t>
            </m:r>
          </m:e>
          <m:sub>
            <m:r>
              <w:rPr>
                <w:rFonts w:ascii="Cambria Math" w:eastAsiaTheme="minorEastAsia" w:hAnsi="Cambria Math" w:cs="Times New Roman"/>
              </w:rPr>
              <m:t>t</m:t>
            </m:r>
          </m:sub>
        </m:sSub>
        <m:r>
          <w:rPr>
            <w:rFonts w:ascii="Cambria Math" w:eastAsiaTheme="minorEastAsia" w:hAnsi="Cambria Math" w:cs="Times New Roman"/>
          </w:rPr>
          <m:t>)</m:t>
        </m:r>
      </m:oMath>
      <w:r w:rsidR="00192BF1">
        <w:rPr>
          <w:rFonts w:ascii="Times New Roman" w:eastAsiaTheme="minorEastAsia" w:hAnsi="Times New Roman" w:cs="Times New Roman"/>
        </w:rPr>
        <w:t xml:space="preserve"> for the previous time period, which is a combination of being free during the previous time period and accounting for the probability of introduction. We also need to account for</w:t>
      </w:r>
      <w:r>
        <w:rPr>
          <w:rFonts w:ascii="Times New Roman" w:eastAsiaTheme="minorEastAsia" w:hAnsi="Times New Roman" w:cs="Times New Roman"/>
        </w:rPr>
        <w:t xml:space="preserve"> poliovirus introduction for each calendar month (</w:t>
      </w:r>
      <m:oMath>
        <m:r>
          <w:rPr>
            <w:rFonts w:ascii="Cambria Math" w:eastAsiaTheme="minorEastAsia" w:hAnsi="Cambria Math" w:cs="Times New Roman"/>
          </w:rPr>
          <m:t>P(</m:t>
        </m:r>
        <m:sSub>
          <m:sSubPr>
            <m:ctrlPr>
              <w:rPr>
                <w:rFonts w:ascii="Cambria Math" w:eastAsiaTheme="minorEastAsia" w:hAnsi="Cambria Math" w:cs="Times New Roman"/>
                <w:i/>
              </w:rPr>
            </m:ctrlPr>
          </m:sSubPr>
          <m:e>
            <m:r>
              <w:rPr>
                <w:rFonts w:ascii="Cambria Math" w:eastAsiaTheme="minorEastAsia" w:hAnsi="Cambria Math" w:cs="Times New Roman"/>
              </w:rPr>
              <m:t>Intro</m:t>
            </m:r>
          </m:e>
          <m:sub>
            <m:r>
              <w:rPr>
                <w:rFonts w:ascii="Cambria Math" w:eastAsiaTheme="minorEastAsia" w:hAnsi="Cambria Math" w:cs="Times New Roman"/>
              </w:rPr>
              <m:t>t</m:t>
            </m:r>
          </m:sub>
        </m:sSub>
        <m:r>
          <w:rPr>
            <w:rFonts w:ascii="Cambria Math" w:eastAsiaTheme="minorEastAsia" w:hAnsi="Cambria Math" w:cs="Times New Roman"/>
          </w:rPr>
          <m:t>)</m:t>
        </m:r>
      </m:oMath>
      <w:r>
        <w:rPr>
          <w:rFonts w:ascii="Times New Roman" w:eastAsiaTheme="minorEastAsia" w:hAnsi="Times New Roman" w:cs="Times New Roman"/>
        </w:rPr>
        <w:t>). The probability of being infection free within a calendar month is then given as;</w:t>
      </w:r>
    </w:p>
    <w:p w14:paraId="64E2C772" w14:textId="77777777" w:rsidR="00DD5ADB" w:rsidRDefault="00DD5ADB" w:rsidP="003D6FBB">
      <w:pPr>
        <w:jc w:val="both"/>
        <w:rPr>
          <w:rFonts w:ascii="Times New Roman" w:eastAsiaTheme="minorEastAsia" w:hAnsi="Times New Roman" w:cs="Times New Roman"/>
        </w:rPr>
      </w:pPr>
    </w:p>
    <w:p w14:paraId="2CC9EBAC" w14:textId="65D2C948" w:rsidR="00192BF1" w:rsidRPr="00756B13" w:rsidRDefault="00192BF1" w:rsidP="003D6FBB">
      <w:pPr>
        <w:jc w:val="both"/>
        <w:rPr>
          <w:rFonts w:ascii="Times New Roman" w:eastAsiaTheme="minorEastAsia" w:hAnsi="Times New Roman" w:cs="Times New Roman"/>
        </w:rPr>
      </w:pPr>
      <m:oMath>
        <m:r>
          <w:rPr>
            <w:rFonts w:ascii="Cambria Math" w:eastAsiaTheme="minorEastAsia" w:hAnsi="Cambria Math" w:cs="Times New Roman"/>
          </w:rPr>
          <m:t>P</m:t>
        </m:r>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free</m:t>
                </m:r>
              </m:e>
              <m:sub>
                <m:r>
                  <w:rPr>
                    <w:rFonts w:ascii="Cambria Math" w:eastAsiaTheme="minorEastAsia" w:hAnsi="Cambria Math" w:cs="Times New Roman"/>
                  </w:rPr>
                  <m:t>t-1</m:t>
                </m:r>
              </m:sub>
            </m:sSub>
          </m:e>
        </m:d>
        <m:r>
          <w:rPr>
            <w:rFonts w:ascii="Cambria Math" w:eastAsiaTheme="minorEastAsia" w:hAnsi="Cambria Math" w:cs="Times New Roman"/>
          </w:rPr>
          <m:t>=1-</m:t>
        </m:r>
        <m:d>
          <m:dPr>
            <m:ctrlPr>
              <w:rPr>
                <w:rFonts w:ascii="Cambria Math" w:eastAsiaTheme="minorEastAsia" w:hAnsi="Cambria Math" w:cs="Times New Roman"/>
                <w:i/>
              </w:rPr>
            </m:ctrlPr>
          </m:dPr>
          <m:e>
            <m:r>
              <w:rPr>
                <w:rFonts w:ascii="Cambria Math" w:eastAsiaTheme="minorEastAsia" w:hAnsi="Cambria Math" w:cs="Times New Roman"/>
              </w:rPr>
              <m:t>P</m:t>
            </m:r>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infect</m:t>
                    </m:r>
                  </m:e>
                  <m:sub>
                    <m:r>
                      <w:rPr>
                        <w:rFonts w:ascii="Cambria Math" w:eastAsiaTheme="minorEastAsia" w:hAnsi="Cambria Math" w:cs="Times New Roman"/>
                      </w:rPr>
                      <m:t>t-1</m:t>
                    </m:r>
                  </m:sub>
                </m:sSub>
              </m:e>
            </m:d>
            <m:r>
              <w:rPr>
                <w:rFonts w:ascii="Cambria Math" w:eastAsiaTheme="minorEastAsia" w:hAnsi="Cambria Math" w:cs="Times New Roman"/>
              </w:rPr>
              <m:t>+P</m:t>
            </m:r>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intro</m:t>
                    </m:r>
                  </m:e>
                  <m:sub>
                    <m:r>
                      <w:rPr>
                        <w:rFonts w:ascii="Cambria Math" w:eastAsiaTheme="minorEastAsia" w:hAnsi="Cambria Math" w:cs="Times New Roman"/>
                      </w:rPr>
                      <m:t>t-1</m:t>
                    </m:r>
                  </m:sub>
                </m:sSub>
              </m:e>
            </m:d>
            <m:r>
              <w:rPr>
                <w:rFonts w:ascii="Cambria Math" w:eastAsiaTheme="minorEastAsia" w:hAnsi="Cambria Math" w:cs="Times New Roman"/>
              </w:rPr>
              <m:t>-P</m:t>
            </m:r>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infect</m:t>
                    </m:r>
                  </m:e>
                  <m:sub>
                    <m:r>
                      <w:rPr>
                        <w:rFonts w:ascii="Cambria Math" w:eastAsiaTheme="minorEastAsia" w:hAnsi="Cambria Math" w:cs="Times New Roman"/>
                      </w:rPr>
                      <m:t>t-1</m:t>
                    </m:r>
                  </m:sub>
                </m:sSub>
              </m:e>
            </m:d>
            <m:r>
              <w:rPr>
                <w:rFonts w:ascii="Cambria Math" w:eastAsiaTheme="minorEastAsia" w:hAnsi="Cambria Math" w:cs="Times New Roman"/>
              </w:rPr>
              <m:t>.P</m:t>
            </m:r>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intro</m:t>
                    </m:r>
                  </m:e>
                  <m:sub>
                    <m:r>
                      <w:rPr>
                        <w:rFonts w:ascii="Cambria Math" w:eastAsiaTheme="minorEastAsia" w:hAnsi="Cambria Math" w:cs="Times New Roman"/>
                      </w:rPr>
                      <m:t>t-1</m:t>
                    </m:r>
                  </m:sub>
                </m:sSub>
              </m:e>
            </m:d>
          </m:e>
        </m:d>
      </m:oMath>
      <w:r w:rsidR="00756B13">
        <w:rPr>
          <w:rFonts w:ascii="Times New Roman" w:eastAsiaTheme="minorEastAsia" w:hAnsi="Times New Roman" w:cs="Times New Roman"/>
        </w:rPr>
        <w:t xml:space="preserve"> </w:t>
      </w:r>
      <w:r w:rsidR="00756B13" w:rsidRPr="00756B13">
        <w:rPr>
          <w:rFonts w:ascii="Times New Roman" w:eastAsiaTheme="minorEastAsia" w:hAnsi="Times New Roman" w:cs="Times New Roman"/>
          <w:sz w:val="22"/>
          <w:szCs w:val="22"/>
        </w:rPr>
        <w:t>equation 4.1</w:t>
      </w:r>
    </w:p>
    <w:p w14:paraId="4AC62785" w14:textId="77777777" w:rsidR="00756B13" w:rsidRPr="00756B13" w:rsidRDefault="00756B13" w:rsidP="003D6FBB">
      <w:pPr>
        <w:jc w:val="both"/>
        <w:rPr>
          <w:rFonts w:ascii="Times New Roman" w:eastAsiaTheme="minorEastAsia" w:hAnsi="Times New Roman" w:cs="Times New Roman"/>
        </w:rPr>
      </w:pPr>
    </w:p>
    <w:p w14:paraId="73FC68E0" w14:textId="411062FF" w:rsidR="00DD5ADB" w:rsidRPr="00D9071A" w:rsidRDefault="00756B13" w:rsidP="003D6FBB">
      <w:pPr>
        <w:jc w:val="both"/>
        <w:rPr>
          <w:rFonts w:ascii="Times New Roman" w:hAnsi="Times New Roman" w:cs="Times New Roman"/>
        </w:rPr>
      </w:pPr>
      <m:oMath>
        <m:r>
          <w:rPr>
            <w:rFonts w:ascii="Cambria Math" w:hAnsi="Cambria Math" w:cs="Times New Roman"/>
          </w:rPr>
          <m:t>P</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free</m:t>
                </m:r>
              </m:e>
              <m:sub>
                <m:r>
                  <w:rPr>
                    <w:rFonts w:ascii="Cambria Math" w:hAnsi="Cambria Math" w:cs="Times New Roman"/>
                  </w:rPr>
                  <m:t>t</m:t>
                </m:r>
              </m:sub>
            </m:sSub>
          </m:e>
        </m:d>
        <m:r>
          <w:rPr>
            <w:rFonts w:ascii="Cambria Math" w:hAnsi="Cambria Math" w:cs="Times New Roman"/>
          </w:rPr>
          <m:t>=(1-P(</m:t>
        </m:r>
        <m:sSub>
          <m:sSubPr>
            <m:ctrlPr>
              <w:rPr>
                <w:rFonts w:ascii="Cambria Math" w:hAnsi="Cambria Math" w:cs="Times New Roman"/>
                <w:i/>
              </w:rPr>
            </m:ctrlPr>
          </m:sSubPr>
          <m:e>
            <m:r>
              <w:rPr>
                <w:rFonts w:ascii="Cambria Math" w:hAnsi="Cambria Math" w:cs="Times New Roman"/>
              </w:rPr>
              <m:t>free</m:t>
            </m:r>
          </m:e>
          <m:sub>
            <m:r>
              <w:rPr>
                <w:rFonts w:ascii="Cambria Math" w:hAnsi="Cambria Math" w:cs="Times New Roman"/>
              </w:rPr>
              <m:t>t-1</m:t>
            </m:r>
          </m:sub>
        </m:sSub>
        <m:r>
          <w:rPr>
            <w:rFonts w:ascii="Cambria Math" w:hAnsi="Cambria Math" w:cs="Times New Roman"/>
          </w:rPr>
          <m:t>))/(1-P</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free</m:t>
                </m:r>
              </m:e>
              <m:sub>
                <m:r>
                  <w:rPr>
                    <w:rFonts w:ascii="Cambria Math" w:hAnsi="Cambria Math" w:cs="Times New Roman"/>
                  </w:rPr>
                  <m:t>t-1</m:t>
                </m:r>
              </m:sub>
            </m:sSub>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CSe</m:t>
            </m:r>
          </m:e>
          <m:sub>
            <m:r>
              <w:rPr>
                <w:rFonts w:ascii="Cambria Math" w:hAnsi="Cambria Math" w:cs="Times New Roman"/>
              </w:rPr>
              <m:t>t</m:t>
            </m:r>
          </m:sub>
        </m:sSub>
      </m:oMath>
      <w:r>
        <w:rPr>
          <w:rFonts w:ascii="Times New Roman" w:eastAsiaTheme="minorEastAsia" w:hAnsi="Times New Roman" w:cs="Times New Roman"/>
        </w:rPr>
        <w:t xml:space="preserve">                                         equation 4.2</w:t>
      </w:r>
    </w:p>
    <w:p w14:paraId="33F6FBB6" w14:textId="25235148" w:rsidR="00DD5ADB" w:rsidRDefault="00DD5ADB" w:rsidP="003D6FBB">
      <w:pPr>
        <w:spacing w:line="276" w:lineRule="auto"/>
        <w:jc w:val="both"/>
        <w:rPr>
          <w:rFonts w:ascii="Times New Roman" w:eastAsiaTheme="minorEastAsia" w:hAnsi="Times New Roman" w:cs="Times New Roman"/>
          <w:color w:val="000000" w:themeColor="text1"/>
        </w:rPr>
      </w:pPr>
    </w:p>
    <w:p w14:paraId="1BB9E4AC" w14:textId="5A8B3B4A" w:rsidR="00DD5ADB" w:rsidRPr="007B02C5" w:rsidRDefault="00DD5ADB" w:rsidP="003D6FBB">
      <w:pPr>
        <w:jc w:val="both"/>
        <w:rPr>
          <w:rFonts w:ascii="Times New Roman" w:hAnsi="Times New Roman" w:cs="Times New Roman"/>
        </w:rPr>
      </w:pPr>
      <w:r>
        <w:rPr>
          <w:rFonts w:ascii="Times New Roman" w:hAnsi="Times New Roman" w:cs="Times New Roman"/>
        </w:rPr>
        <w:t>Different sampling strategies are considered for ENV surveillance.</w:t>
      </w:r>
      <w:r w:rsidRPr="007B02C5">
        <w:rPr>
          <w:rFonts w:ascii="Times New Roman" w:hAnsi="Times New Roman" w:cs="Times New Roman"/>
        </w:rPr>
        <w:t xml:space="preserve"> </w:t>
      </w:r>
      <w:r>
        <w:rPr>
          <w:rFonts w:ascii="Times New Roman" w:hAnsi="Times New Roman" w:cs="Times New Roman"/>
        </w:rPr>
        <w:t xml:space="preserve">The rate of poliovirus introduction is unknown, consequently the rate is estimated from approximating population movements to and from countries reporting poliomyelitis cases and the probability of shedding. From the International Passenger Survey </w:t>
      </w:r>
      <w:r w:rsidR="00C71CCB">
        <w:rPr>
          <w:rFonts w:ascii="Times New Roman" w:hAnsi="Times New Roman" w:cs="Times New Roman"/>
        </w:rPr>
        <w:t xml:space="preserve">(Figure </w:t>
      </w:r>
      <w:r w:rsidR="005E5663">
        <w:rPr>
          <w:rFonts w:ascii="Times New Roman" w:hAnsi="Times New Roman" w:cs="Times New Roman"/>
        </w:rPr>
        <w:t>3</w:t>
      </w:r>
      <w:r w:rsidR="00C71CCB">
        <w:rPr>
          <w:rFonts w:ascii="Times New Roman" w:hAnsi="Times New Roman" w:cs="Times New Roman"/>
        </w:rPr>
        <w:t xml:space="preserve">) </w:t>
      </w:r>
      <w:r>
        <w:rPr>
          <w:rFonts w:ascii="Times New Roman" w:hAnsi="Times New Roman" w:cs="Times New Roman"/>
        </w:rPr>
        <w:t xml:space="preserve">we can approximate the numbers of individuals that travel to and from </w:t>
      </w:r>
      <w:r w:rsidR="00E52998">
        <w:rPr>
          <w:rFonts w:ascii="Times New Roman" w:hAnsi="Times New Roman" w:cs="Times New Roman"/>
        </w:rPr>
        <w:t xml:space="preserve">countries reporting </w:t>
      </w:r>
      <w:r>
        <w:rPr>
          <w:rFonts w:ascii="Times New Roman" w:hAnsi="Times New Roman" w:cs="Times New Roman"/>
        </w:rPr>
        <w:t xml:space="preserve">polio </w:t>
      </w:r>
      <w:r w:rsidR="00E52998">
        <w:rPr>
          <w:rFonts w:ascii="Times New Roman" w:hAnsi="Times New Roman" w:cs="Times New Roman"/>
        </w:rPr>
        <w:t>cases</w:t>
      </w:r>
      <w:r>
        <w:rPr>
          <w:rFonts w:ascii="Times New Roman" w:hAnsi="Times New Roman" w:cs="Times New Roman"/>
        </w:rPr>
        <w:t xml:space="preserve"> and combine this with the reported incidence </w:t>
      </w:r>
      <w:r w:rsidR="00A34B2D">
        <w:rPr>
          <w:rFonts w:ascii="Times New Roman" w:hAnsi="Times New Roman" w:cs="Times New Roman"/>
        </w:rPr>
        <w:t xml:space="preserve">of wild and VDPV within each country </w:t>
      </w:r>
      <w:r>
        <w:rPr>
          <w:rFonts w:ascii="Times New Roman" w:hAnsi="Times New Roman" w:cs="Times New Roman"/>
        </w:rPr>
        <w:t>to provide an upper estimate of the rate of introduction</w:t>
      </w:r>
      <w:r w:rsidRPr="007B02C5">
        <w:rPr>
          <w:rFonts w:ascii="Times New Roman" w:hAnsi="Times New Roman" w:cs="Times New Roman"/>
        </w:rPr>
        <w:t>.</w:t>
      </w:r>
      <w:r w:rsidRPr="005A4A98">
        <w:rPr>
          <w:rFonts w:ascii="Times New Roman" w:hAnsi="Times New Roman" w:cs="Times New Roman"/>
        </w:rPr>
        <w:t xml:space="preserve"> </w:t>
      </w:r>
      <w:r w:rsidRPr="007B02C5">
        <w:rPr>
          <w:rFonts w:ascii="Times New Roman" w:hAnsi="Times New Roman" w:cs="Times New Roman"/>
        </w:rPr>
        <w:t>Low (1x10</w:t>
      </w:r>
      <w:r w:rsidRPr="007B02C5">
        <w:rPr>
          <w:rFonts w:ascii="Times New Roman" w:hAnsi="Times New Roman" w:cs="Times New Roman"/>
          <w:vertAlign w:val="superscript"/>
        </w:rPr>
        <w:t>-4</w:t>
      </w:r>
      <w:r w:rsidRPr="007B02C5">
        <w:rPr>
          <w:rFonts w:ascii="Times New Roman" w:hAnsi="Times New Roman" w:cs="Times New Roman"/>
        </w:rPr>
        <w:t>), medium (1x10</w:t>
      </w:r>
      <w:r w:rsidRPr="007B02C5">
        <w:rPr>
          <w:rFonts w:ascii="Times New Roman" w:hAnsi="Times New Roman" w:cs="Times New Roman"/>
          <w:vertAlign w:val="superscript"/>
        </w:rPr>
        <w:t>-3</w:t>
      </w:r>
      <w:r w:rsidRPr="007B02C5">
        <w:rPr>
          <w:rFonts w:ascii="Times New Roman" w:hAnsi="Times New Roman" w:cs="Times New Roman"/>
        </w:rPr>
        <w:t>) and high (5x10</w:t>
      </w:r>
      <w:r w:rsidRPr="007B02C5">
        <w:rPr>
          <w:rFonts w:ascii="Times New Roman" w:hAnsi="Times New Roman" w:cs="Times New Roman"/>
          <w:vertAlign w:val="superscript"/>
        </w:rPr>
        <w:t>-3</w:t>
      </w:r>
      <w:r w:rsidRPr="007B02C5">
        <w:rPr>
          <w:rFonts w:ascii="Times New Roman" w:hAnsi="Times New Roman" w:cs="Times New Roman"/>
        </w:rPr>
        <w:t xml:space="preserve">) probabilities of poliovirus introduction per month were used to account </w:t>
      </w:r>
      <w:r>
        <w:rPr>
          <w:rFonts w:ascii="Times New Roman" w:hAnsi="Times New Roman" w:cs="Times New Roman"/>
        </w:rPr>
        <w:t>the true value being unknown.</w:t>
      </w:r>
    </w:p>
    <w:p w14:paraId="0B5933CB" w14:textId="77777777" w:rsidR="00DD5ADB" w:rsidRDefault="00DD5ADB" w:rsidP="003D6FBB">
      <w:pPr>
        <w:pStyle w:val="Heading1"/>
        <w:jc w:val="both"/>
        <w:rPr>
          <w:rFonts w:ascii="Times New Roman" w:hAnsi="Times New Roman" w:cs="Times New Roman"/>
        </w:rPr>
      </w:pPr>
    </w:p>
    <w:p w14:paraId="023CDDC8" w14:textId="77777777" w:rsidR="00E52998" w:rsidRDefault="00E52998" w:rsidP="003D6FBB">
      <w:pPr>
        <w:keepNext/>
        <w:jc w:val="both"/>
      </w:pPr>
      <w:r>
        <w:rPr>
          <w:noProof/>
        </w:rPr>
        <w:drawing>
          <wp:inline distT="0" distB="0" distL="0" distR="0" wp14:anchorId="7DE32746" wp14:editId="0CFF6389">
            <wp:extent cx="5727700" cy="20002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2Suppl.jpg"/>
                    <pic:cNvPicPr/>
                  </pic:nvPicPr>
                  <pic:blipFill>
                    <a:blip r:embed="rId9">
                      <a:extLst>
                        <a:ext uri="{28A0092B-C50C-407E-A947-70E740481C1C}">
                          <a14:useLocalDpi xmlns:a14="http://schemas.microsoft.com/office/drawing/2010/main" val="0"/>
                        </a:ext>
                      </a:extLst>
                    </a:blip>
                    <a:stretch>
                      <a:fillRect/>
                    </a:stretch>
                  </pic:blipFill>
                  <pic:spPr>
                    <a:xfrm>
                      <a:off x="0" y="0"/>
                      <a:ext cx="5727700" cy="2000250"/>
                    </a:xfrm>
                    <a:prstGeom prst="rect">
                      <a:avLst/>
                    </a:prstGeom>
                  </pic:spPr>
                </pic:pic>
              </a:graphicData>
            </a:graphic>
          </wp:inline>
        </w:drawing>
      </w:r>
    </w:p>
    <w:p w14:paraId="08D2C561" w14:textId="0608BA92" w:rsidR="00E52998" w:rsidRDefault="00E52998" w:rsidP="003D6FBB">
      <w:pPr>
        <w:pStyle w:val="Caption"/>
        <w:jc w:val="both"/>
        <w:rPr>
          <w:color w:val="000000" w:themeColor="text1"/>
        </w:rPr>
      </w:pPr>
      <w:r w:rsidRPr="008D26E4">
        <w:rPr>
          <w:color w:val="000000" w:themeColor="text1"/>
        </w:rPr>
        <w:t xml:space="preserve">Figure </w:t>
      </w:r>
      <w:r w:rsidR="008D26E4" w:rsidRPr="008D26E4">
        <w:rPr>
          <w:color w:val="000000" w:themeColor="text1"/>
        </w:rPr>
        <w:t>3</w:t>
      </w:r>
      <w:r w:rsidRPr="008D26E4">
        <w:rPr>
          <w:color w:val="000000" w:themeColor="text1"/>
        </w:rPr>
        <w:t>. Estimates of the number of visits to and from countries that have reported poliomyelitis cases</w:t>
      </w:r>
      <w:r w:rsidR="003D6FBB">
        <w:rPr>
          <w:color w:val="000000" w:themeColor="text1"/>
        </w:rPr>
        <w:t xml:space="preserve"> (IPS data)</w:t>
      </w:r>
      <w:r w:rsidRPr="008D26E4">
        <w:rPr>
          <w:color w:val="000000" w:themeColor="text1"/>
        </w:rPr>
        <w:t>.</w:t>
      </w:r>
    </w:p>
    <w:p w14:paraId="01954629" w14:textId="77777777" w:rsidR="00835330" w:rsidRDefault="00835330" w:rsidP="003D6FBB">
      <w:pPr>
        <w:jc w:val="both"/>
      </w:pPr>
    </w:p>
    <w:p w14:paraId="0E9EA197" w14:textId="77777777" w:rsidR="00835330" w:rsidRDefault="00835330" w:rsidP="003D6FBB">
      <w:pPr>
        <w:pStyle w:val="Caption"/>
        <w:jc w:val="both"/>
        <w:rPr>
          <w:rFonts w:cstheme="minorHAnsi"/>
          <w:b/>
        </w:rPr>
      </w:pPr>
    </w:p>
    <w:p w14:paraId="6A9A0984" w14:textId="77777777" w:rsidR="00835330" w:rsidRDefault="00835330" w:rsidP="003D6FBB">
      <w:pPr>
        <w:pStyle w:val="Caption"/>
        <w:jc w:val="both"/>
        <w:rPr>
          <w:rFonts w:cstheme="minorHAnsi"/>
          <w:b/>
        </w:rPr>
      </w:pPr>
    </w:p>
    <w:p w14:paraId="73EBA41A" w14:textId="77777777" w:rsidR="00835330" w:rsidRDefault="00835330" w:rsidP="003D6FBB">
      <w:pPr>
        <w:pStyle w:val="Caption"/>
        <w:jc w:val="both"/>
        <w:rPr>
          <w:rFonts w:cstheme="minorHAnsi"/>
          <w:b/>
        </w:rPr>
      </w:pPr>
    </w:p>
    <w:p w14:paraId="46879348" w14:textId="77777777" w:rsidR="00835330" w:rsidRDefault="00835330" w:rsidP="003D6FBB">
      <w:pPr>
        <w:pStyle w:val="Caption"/>
        <w:jc w:val="both"/>
        <w:rPr>
          <w:rFonts w:cstheme="minorHAnsi"/>
          <w:b/>
        </w:rPr>
      </w:pPr>
    </w:p>
    <w:p w14:paraId="196D9064" w14:textId="77777777" w:rsidR="00835330" w:rsidRDefault="00835330" w:rsidP="003D6FBB">
      <w:pPr>
        <w:pStyle w:val="Caption"/>
        <w:jc w:val="both"/>
        <w:rPr>
          <w:rFonts w:cstheme="minorHAnsi"/>
          <w:b/>
        </w:rPr>
      </w:pPr>
    </w:p>
    <w:p w14:paraId="5AC0F10D" w14:textId="77777777" w:rsidR="00835330" w:rsidRDefault="00835330" w:rsidP="003D6FBB">
      <w:pPr>
        <w:pStyle w:val="Caption"/>
        <w:jc w:val="both"/>
        <w:rPr>
          <w:rFonts w:cstheme="minorHAnsi"/>
          <w:b/>
        </w:rPr>
      </w:pPr>
    </w:p>
    <w:p w14:paraId="45866C28" w14:textId="18EAC506" w:rsidR="00835330" w:rsidRPr="00835330" w:rsidRDefault="00835330" w:rsidP="003D6FBB">
      <w:pPr>
        <w:jc w:val="both"/>
        <w:sectPr w:rsidR="00835330" w:rsidRPr="00835330" w:rsidSect="00B03ED3">
          <w:pgSz w:w="11900" w:h="16840"/>
          <w:pgMar w:top="1440" w:right="1440" w:bottom="1440" w:left="1440" w:header="708" w:footer="708" w:gutter="0"/>
          <w:cols w:space="708"/>
          <w:docGrid w:linePitch="360"/>
        </w:sectPr>
      </w:pPr>
    </w:p>
    <w:p w14:paraId="56F1FAAA" w14:textId="77777777" w:rsidR="00DD5ADB" w:rsidRPr="006D1E34" w:rsidRDefault="00DD5ADB" w:rsidP="003D6FBB">
      <w:pPr>
        <w:spacing w:line="276" w:lineRule="auto"/>
        <w:jc w:val="both"/>
        <w:rPr>
          <w:rFonts w:ascii="Times New Roman" w:eastAsiaTheme="minorEastAsia" w:hAnsi="Times New Roman" w:cs="Times New Roman"/>
          <w:color w:val="000000" w:themeColor="text1"/>
        </w:rPr>
      </w:pPr>
    </w:p>
    <w:p w14:paraId="329EE7C3" w14:textId="77777777" w:rsidR="006D1E34" w:rsidRPr="004F370D" w:rsidRDefault="006D1E34" w:rsidP="003D6FBB">
      <w:pPr>
        <w:spacing w:line="276" w:lineRule="auto"/>
        <w:jc w:val="both"/>
        <w:rPr>
          <w:rFonts w:ascii="Times New Roman" w:hAnsi="Times New Roman" w:cs="Times New Roman"/>
          <w:color w:val="000000" w:themeColor="text1"/>
        </w:rPr>
      </w:pPr>
    </w:p>
    <w:p w14:paraId="20F6BDC6" w14:textId="4AA4B789" w:rsidR="00751B9E" w:rsidRPr="006D1E34" w:rsidRDefault="00751B9E" w:rsidP="003D6FBB">
      <w:pPr>
        <w:pStyle w:val="ListParagraph"/>
        <w:numPr>
          <w:ilvl w:val="0"/>
          <w:numId w:val="1"/>
        </w:numPr>
        <w:spacing w:line="276" w:lineRule="auto"/>
        <w:jc w:val="both"/>
        <w:rPr>
          <w:rFonts w:ascii="Times New Roman" w:hAnsi="Times New Roman" w:cs="Times New Roman"/>
          <w:b/>
          <w:bCs/>
          <w:color w:val="000000" w:themeColor="text1"/>
        </w:rPr>
      </w:pPr>
      <w:r w:rsidRPr="006D1E34">
        <w:rPr>
          <w:rFonts w:ascii="Times New Roman" w:hAnsi="Times New Roman" w:cs="Times New Roman"/>
          <w:b/>
          <w:bCs/>
          <w:color w:val="000000" w:themeColor="text1"/>
        </w:rPr>
        <w:t>Justification for probabilities used in the scenario tree modelling</w:t>
      </w:r>
    </w:p>
    <w:p w14:paraId="1CCAB587" w14:textId="70F1884B" w:rsidR="00680B9F" w:rsidRPr="004F370D" w:rsidRDefault="00680B9F" w:rsidP="003D6FBB">
      <w:pPr>
        <w:spacing w:line="276" w:lineRule="auto"/>
        <w:jc w:val="both"/>
        <w:rPr>
          <w:rFonts w:ascii="Times New Roman" w:hAnsi="Times New Roman" w:cs="Times New Roman"/>
          <w:color w:val="000000" w:themeColor="text1"/>
        </w:rPr>
      </w:pPr>
    </w:p>
    <w:p w14:paraId="7D06915D" w14:textId="6DDA2EAC" w:rsidR="00680B9F" w:rsidRPr="004F370D" w:rsidRDefault="00680B9F" w:rsidP="003D6FBB">
      <w:pPr>
        <w:spacing w:line="276" w:lineRule="auto"/>
        <w:jc w:val="both"/>
        <w:rPr>
          <w:rFonts w:ascii="Times New Roman" w:hAnsi="Times New Roman" w:cs="Times New Roman"/>
          <w:color w:val="000000" w:themeColor="text1"/>
        </w:rPr>
      </w:pPr>
      <w:r w:rsidRPr="004F370D">
        <w:rPr>
          <w:rFonts w:ascii="Times New Roman" w:hAnsi="Times New Roman" w:cs="Times New Roman"/>
          <w:color w:val="000000" w:themeColor="text1"/>
        </w:rPr>
        <w:t xml:space="preserve">In most probabilities estimated below, a mean and 95% confidence intervals are provided from the available data. These values were inputted to the model by specifying a beta distribution with parameters </w:t>
      </w:r>
      <m:oMath>
        <m:r>
          <m:rPr>
            <m:sty m:val="p"/>
          </m:rPr>
          <w:rPr>
            <w:rFonts w:ascii="Cambria Math" w:hAnsi="Cambria Math" w:cs="Times New Roman"/>
            <w:color w:val="000000" w:themeColor="text1"/>
          </w:rPr>
          <m:t>α</m:t>
        </m:r>
      </m:oMath>
      <w:r w:rsidRPr="004F370D">
        <w:rPr>
          <w:rFonts w:ascii="Times New Roman" w:eastAsiaTheme="minorEastAsia" w:hAnsi="Times New Roman" w:cs="Times New Roman"/>
          <w:color w:val="000000" w:themeColor="text1"/>
        </w:rPr>
        <w:t xml:space="preserve"> and </w:t>
      </w:r>
      <m:oMath>
        <m:r>
          <m:rPr>
            <m:sty m:val="p"/>
          </m:rPr>
          <w:rPr>
            <w:rFonts w:ascii="Cambria Math" w:eastAsiaTheme="minorEastAsia" w:hAnsi="Cambria Math" w:cs="Times New Roman"/>
            <w:color w:val="000000" w:themeColor="text1"/>
          </w:rPr>
          <m:t>β</m:t>
        </m:r>
      </m:oMath>
      <w:r w:rsidRPr="004F370D">
        <w:rPr>
          <w:rFonts w:ascii="Times New Roman" w:eastAsiaTheme="minorEastAsia" w:hAnsi="Times New Roman" w:cs="Times New Roman"/>
          <w:color w:val="000000" w:themeColor="text1"/>
        </w:rPr>
        <w:t xml:space="preserve">. Within the software R, the specific parameter values that correspond to the specified mean and 95% confidence intervals were provided using the library </w:t>
      </w:r>
      <w:r w:rsidR="000A7272">
        <w:rPr>
          <w:rFonts w:ascii="Times New Roman" w:eastAsiaTheme="minorEastAsia" w:hAnsi="Times New Roman" w:cs="Times New Roman"/>
          <w:color w:val="000000" w:themeColor="text1"/>
        </w:rPr>
        <w:t>‘</w:t>
      </w:r>
      <w:r w:rsidRPr="004F370D">
        <w:rPr>
          <w:rFonts w:ascii="Times New Roman" w:eastAsiaTheme="minorEastAsia" w:hAnsi="Times New Roman" w:cs="Times New Roman"/>
          <w:color w:val="000000" w:themeColor="text1"/>
        </w:rPr>
        <w:t>prevalence</w:t>
      </w:r>
      <w:r w:rsidR="000A7272">
        <w:rPr>
          <w:rFonts w:ascii="Times New Roman" w:eastAsiaTheme="minorEastAsia" w:hAnsi="Times New Roman" w:cs="Times New Roman"/>
          <w:color w:val="000000" w:themeColor="text1"/>
        </w:rPr>
        <w:t>’</w:t>
      </w:r>
      <w:r w:rsidRPr="004F370D">
        <w:rPr>
          <w:rFonts w:ascii="Times New Roman" w:eastAsiaTheme="minorEastAsia" w:hAnsi="Times New Roman" w:cs="Times New Roman"/>
          <w:color w:val="000000" w:themeColor="text1"/>
        </w:rPr>
        <w:t>.</w:t>
      </w:r>
    </w:p>
    <w:p w14:paraId="25696D41" w14:textId="3CBED529" w:rsidR="009877E9" w:rsidRPr="004F370D" w:rsidRDefault="00551B55" w:rsidP="003D6FBB">
      <w:pPr>
        <w:spacing w:line="276" w:lineRule="auto"/>
        <w:jc w:val="both"/>
        <w:rPr>
          <w:rFonts w:ascii="Times New Roman" w:hAnsi="Times New Roman" w:cs="Times New Roman"/>
          <w:color w:val="000000" w:themeColor="text1"/>
        </w:rPr>
      </w:pPr>
    </w:p>
    <w:p w14:paraId="0004588B" w14:textId="5C7AF8D9" w:rsidR="00751B9E" w:rsidRPr="004F370D" w:rsidRDefault="00751B9E" w:rsidP="003D6FBB">
      <w:pPr>
        <w:pStyle w:val="Subtitle"/>
        <w:spacing w:line="276" w:lineRule="auto"/>
        <w:jc w:val="both"/>
        <w:rPr>
          <w:rFonts w:ascii="Times New Roman" w:hAnsi="Times New Roman" w:cs="Times New Roman"/>
          <w:color w:val="000000" w:themeColor="text1"/>
        </w:rPr>
      </w:pPr>
      <w:r w:rsidRPr="004F370D">
        <w:rPr>
          <w:rFonts w:ascii="Times New Roman" w:hAnsi="Times New Roman" w:cs="Times New Roman"/>
          <w:color w:val="000000" w:themeColor="text1"/>
        </w:rPr>
        <w:t>Acute Flaccid Paralysis (AFP) Surveillance</w:t>
      </w:r>
    </w:p>
    <w:p w14:paraId="74A97ADD" w14:textId="01D21523" w:rsidR="00893FF2" w:rsidRPr="004F370D" w:rsidRDefault="00893FF2" w:rsidP="003D6FBB">
      <w:pPr>
        <w:pStyle w:val="ListParagraph"/>
        <w:numPr>
          <w:ilvl w:val="0"/>
          <w:numId w:val="2"/>
        </w:numPr>
        <w:spacing w:line="276" w:lineRule="auto"/>
        <w:jc w:val="both"/>
        <w:rPr>
          <w:rFonts w:ascii="Times New Roman" w:hAnsi="Times New Roman" w:cs="Times New Roman"/>
          <w:color w:val="000000" w:themeColor="text1"/>
        </w:rPr>
      </w:pPr>
      <w:proofErr w:type="spellStart"/>
      <w:r w:rsidRPr="004F370D">
        <w:rPr>
          <w:rFonts w:ascii="Times New Roman" w:hAnsi="Times New Roman" w:cs="Times New Roman"/>
          <w:color w:val="000000" w:themeColor="text1"/>
        </w:rPr>
        <w:t>P</w:t>
      </w:r>
      <w:r w:rsidR="001B1438" w:rsidRPr="004F370D">
        <w:rPr>
          <w:rFonts w:ascii="Times New Roman" w:hAnsi="Times New Roman" w:cs="Times New Roman"/>
          <w:color w:val="000000" w:themeColor="text1"/>
        </w:rPr>
        <w:t>r</w:t>
      </w:r>
      <w:proofErr w:type="spellEnd"/>
      <w:r w:rsidRPr="004F370D">
        <w:rPr>
          <w:rFonts w:ascii="Times New Roman" w:hAnsi="Times New Roman" w:cs="Times New Roman"/>
          <w:color w:val="000000" w:themeColor="text1"/>
        </w:rPr>
        <w:t>(</w:t>
      </w:r>
      <w:proofErr w:type="spellStart"/>
      <w:r w:rsidRPr="004F370D">
        <w:rPr>
          <w:rFonts w:ascii="Times New Roman" w:hAnsi="Times New Roman" w:cs="Times New Roman"/>
          <w:color w:val="000000" w:themeColor="text1"/>
        </w:rPr>
        <w:t>case</w:t>
      </w:r>
      <w:r w:rsidR="00C63EC0" w:rsidRPr="004F370D">
        <w:rPr>
          <w:rFonts w:ascii="Times New Roman" w:hAnsi="Times New Roman" w:cs="Times New Roman"/>
          <w:color w:val="000000" w:themeColor="text1"/>
          <w:vertAlign w:val="subscript"/>
        </w:rPr>
        <w:t>AFP</w:t>
      </w:r>
      <w:proofErr w:type="spellEnd"/>
      <w:r w:rsidRPr="004F370D">
        <w:rPr>
          <w:rFonts w:ascii="Times New Roman" w:hAnsi="Times New Roman" w:cs="Times New Roman"/>
          <w:color w:val="000000" w:themeColor="text1"/>
        </w:rPr>
        <w:t>)</w:t>
      </w:r>
      <w:r w:rsidR="001B1438" w:rsidRPr="004F370D">
        <w:rPr>
          <w:rFonts w:ascii="Times New Roman" w:hAnsi="Times New Roman" w:cs="Times New Roman"/>
          <w:color w:val="000000" w:themeColor="text1"/>
        </w:rPr>
        <w:t>:</w:t>
      </w:r>
      <w:r w:rsidRPr="004F370D">
        <w:rPr>
          <w:rFonts w:ascii="Times New Roman" w:hAnsi="Times New Roman" w:cs="Times New Roman"/>
          <w:color w:val="000000" w:themeColor="text1"/>
        </w:rPr>
        <w:t xml:space="preserve"> Of individuals infected with poliovirus </w:t>
      </w:r>
      <w:r w:rsidR="001B1438" w:rsidRPr="004F370D">
        <w:rPr>
          <w:rFonts w:ascii="Times New Roman" w:hAnsi="Times New Roman" w:cs="Times New Roman"/>
          <w:color w:val="000000" w:themeColor="text1"/>
        </w:rPr>
        <w:t>Nathanson et al.</w:t>
      </w:r>
      <w:r w:rsidR="00C63EC0" w:rsidRPr="004F370D">
        <w:rPr>
          <w:rFonts w:ascii="Times New Roman" w:hAnsi="Times New Roman" w:cs="Times New Roman"/>
          <w:color w:val="000000" w:themeColor="text1"/>
        </w:rPr>
        <w:fldChar w:fldCharType="begin"/>
      </w:r>
      <w:r w:rsidR="00767815">
        <w:rPr>
          <w:rFonts w:ascii="Times New Roman" w:hAnsi="Times New Roman" w:cs="Times New Roman"/>
          <w:color w:val="000000" w:themeColor="text1"/>
        </w:rPr>
        <w:instrText xml:space="preserve"> ADDIN ZOTERO_ITEM CSL_CITATION {"citationID":"7LbYcmDC","properties":{"formattedCitation":"\\super 5\\nosupersub{}","plainCitation":"5","noteIndex":0},"citationItems":[{"id":1720,"uris":["http://zotero.org/users/5061339/items/SQ96LECF"],"uri":["http://zotero.org/users/5061339/items/SQ96LECF"],"itemData":{"id":1720,"type":"article-journal","abstract":"Poliomyelitis has appeared in epidemic form, become endemic on a global scale, and been reduced to near-elimination, all within the span of documented medical history. Epidemics of the disease appeared in the late 19th century in many European countries and North America, following which polio became a global disease with annual epidemics. During the period of its epidemicity, 1900-1950, the age distribution of poliomyelitis cases increased gradually. Beginning in 1955, the creation of poliovirus vaccines led to a stepwise reduction in poliomyelitis, culminating in the unpredicted elimination of wild polioviruses in the United States by 1972. Global expansion of polio immunization resulted in a reduction of paralytic disease from an estimated annual prevaccine level of at least 600,000 cases to fewer than 1,000 cases in 2000. Indigenous wild type 2 poliovirus was eradicated in 1999, but unbroken localized circulation of poliovirus types 1 and 3 continues in 4 countries in Asia and Africa. Current challenges to the final eradication of paralytic poliomyelitis include the continued transmission of wild polioviruses in endemic reservoirs, reinfection of polio-free areas, outbreaks due to circulating vaccine-derived polioviruses, and persistent excretion of vaccine-derived poliovirus by a few vaccinees with B-cell immunodeficiencies. Beyond the current efforts to eradicate the last remaining wild polioviruses, global eradication efforts must safely navigate through an unprecedented series of endgame challenges to assure the permanent cessation of all human poliovirus infections.","container-title":"American Journal of Epidemiology","DOI":"10.1093/aje/kwq320","ISSN":"1476-6256","issue":"11","journalAbbreviation":"Am. J. Epidemiol.","language":"eng","note":"PMID: 20978089\nPMCID: PMC2991634","page":"1213-1229","source":"PubMed","title":"From emergence to eradication: the epidemiology of poliomyelitis deconstructed","title-short":"From emergence to eradication","volume":"172","author":[{"family":"Nathanson","given":"Neal"},{"family":"Kew","given":"Olen M."}],"issued":{"date-parts":[["2010",12,1]]}}}],"schema":"https://github.com/citation-style-language/schema/raw/master/csl-citation.json"} </w:instrText>
      </w:r>
      <w:r w:rsidR="00C63EC0" w:rsidRPr="004F370D">
        <w:rPr>
          <w:rFonts w:ascii="Times New Roman" w:hAnsi="Times New Roman" w:cs="Times New Roman"/>
          <w:color w:val="000000" w:themeColor="text1"/>
        </w:rPr>
        <w:fldChar w:fldCharType="separate"/>
      </w:r>
      <w:r w:rsidR="00767815" w:rsidRPr="00767815">
        <w:rPr>
          <w:rFonts w:ascii="Times New Roman" w:hAnsi="Times New Roman" w:cs="Times New Roman"/>
          <w:color w:val="000000"/>
          <w:vertAlign w:val="superscript"/>
          <w:lang w:val="en-US"/>
        </w:rPr>
        <w:t>5</w:t>
      </w:r>
      <w:r w:rsidR="00C63EC0" w:rsidRPr="004F370D">
        <w:rPr>
          <w:rFonts w:ascii="Times New Roman" w:hAnsi="Times New Roman" w:cs="Times New Roman"/>
          <w:color w:val="000000" w:themeColor="text1"/>
        </w:rPr>
        <w:fldChar w:fldCharType="end"/>
      </w:r>
      <w:r w:rsidR="00C63EC0" w:rsidRPr="004F370D">
        <w:rPr>
          <w:rFonts w:ascii="Times New Roman" w:hAnsi="Times New Roman" w:cs="Times New Roman"/>
          <w:color w:val="000000" w:themeColor="text1"/>
        </w:rPr>
        <w:t xml:space="preserve"> </w:t>
      </w:r>
      <w:r w:rsidR="001B1438" w:rsidRPr="004F370D">
        <w:rPr>
          <w:rFonts w:ascii="Times New Roman" w:hAnsi="Times New Roman" w:cs="Times New Roman"/>
          <w:color w:val="000000" w:themeColor="text1"/>
        </w:rPr>
        <w:t xml:space="preserve">report that the probability of </w:t>
      </w:r>
      <w:r w:rsidR="004F4480" w:rsidRPr="004F370D">
        <w:rPr>
          <w:rFonts w:ascii="Times New Roman" w:hAnsi="Times New Roman" w:cs="Times New Roman"/>
          <w:color w:val="000000" w:themeColor="text1"/>
        </w:rPr>
        <w:t xml:space="preserve">a </w:t>
      </w:r>
      <w:r w:rsidR="001B1438" w:rsidRPr="004F370D">
        <w:rPr>
          <w:rFonts w:ascii="Times New Roman" w:hAnsi="Times New Roman" w:cs="Times New Roman"/>
          <w:color w:val="000000" w:themeColor="text1"/>
        </w:rPr>
        <w:t>clinical case varies by serotype; 0.005, 0.0005 and 0.0009 for serotypes 1, 2, and 3 respectively.</w:t>
      </w:r>
      <w:r w:rsidR="004F4480" w:rsidRPr="004F370D">
        <w:rPr>
          <w:rFonts w:ascii="Times New Roman" w:hAnsi="Times New Roman" w:cs="Times New Roman"/>
          <w:color w:val="000000" w:themeColor="text1"/>
        </w:rPr>
        <w:t xml:space="preserve"> A beta distribution with mean 0.005 and 95% CI 0.0005-0.009 encapsulates these estimated probabilities and the possible uncertainty in the values</w:t>
      </w:r>
      <w:r w:rsidR="00964A41" w:rsidRPr="004F370D">
        <w:rPr>
          <w:rFonts w:ascii="Times New Roman" w:hAnsi="Times New Roman" w:cs="Times New Roman"/>
          <w:color w:val="000000" w:themeColor="text1"/>
        </w:rPr>
        <w:t xml:space="preserve">. </w:t>
      </w:r>
      <w:r w:rsidR="006D1E34">
        <w:rPr>
          <w:rFonts w:ascii="Times New Roman" w:hAnsi="Times New Roman" w:cs="Times New Roman"/>
          <w:color w:val="000000" w:themeColor="text1"/>
        </w:rPr>
        <w:t>As we estimate the sensitivity for wild poliovirus and vaccine-derived poliovirus separately, we use the estimates for serotype 1 and 2.</w:t>
      </w:r>
    </w:p>
    <w:p w14:paraId="779B3BA9" w14:textId="4CD7B013" w:rsidR="001B1438" w:rsidRPr="004F370D" w:rsidRDefault="001B1438" w:rsidP="003D6FBB">
      <w:pPr>
        <w:pStyle w:val="ListParagraph"/>
        <w:numPr>
          <w:ilvl w:val="0"/>
          <w:numId w:val="2"/>
        </w:numPr>
        <w:spacing w:line="276" w:lineRule="auto"/>
        <w:jc w:val="both"/>
        <w:rPr>
          <w:rFonts w:ascii="Times New Roman" w:hAnsi="Times New Roman" w:cs="Times New Roman"/>
          <w:color w:val="000000" w:themeColor="text1"/>
        </w:rPr>
      </w:pPr>
      <w:proofErr w:type="spellStart"/>
      <w:r w:rsidRPr="004F370D">
        <w:rPr>
          <w:rFonts w:ascii="Times New Roman" w:hAnsi="Times New Roman" w:cs="Times New Roman"/>
          <w:color w:val="000000" w:themeColor="text1"/>
        </w:rPr>
        <w:t>Pr</w:t>
      </w:r>
      <w:proofErr w:type="spellEnd"/>
      <w:r w:rsidRPr="004F370D">
        <w:rPr>
          <w:rFonts w:ascii="Times New Roman" w:hAnsi="Times New Roman" w:cs="Times New Roman"/>
          <w:color w:val="000000" w:themeColor="text1"/>
        </w:rPr>
        <w:t>(</w:t>
      </w:r>
      <w:proofErr w:type="spellStart"/>
      <w:r w:rsidR="00964A41" w:rsidRPr="004F370D">
        <w:rPr>
          <w:rFonts w:ascii="Times New Roman" w:hAnsi="Times New Roman" w:cs="Times New Roman"/>
          <w:color w:val="000000" w:themeColor="text1"/>
        </w:rPr>
        <w:t>n</w:t>
      </w:r>
      <w:r w:rsidRPr="004F370D">
        <w:rPr>
          <w:rFonts w:ascii="Times New Roman" w:hAnsi="Times New Roman" w:cs="Times New Roman"/>
          <w:color w:val="000000" w:themeColor="text1"/>
        </w:rPr>
        <w:t>otification</w:t>
      </w:r>
      <w:r w:rsidR="00964A41" w:rsidRPr="004F370D">
        <w:rPr>
          <w:rFonts w:ascii="Times New Roman" w:hAnsi="Times New Roman" w:cs="Times New Roman"/>
          <w:color w:val="000000" w:themeColor="text1"/>
          <w:vertAlign w:val="subscript"/>
        </w:rPr>
        <w:t>AFP</w:t>
      </w:r>
      <w:proofErr w:type="spellEnd"/>
      <w:r w:rsidRPr="004F370D">
        <w:rPr>
          <w:rFonts w:ascii="Times New Roman" w:hAnsi="Times New Roman" w:cs="Times New Roman"/>
          <w:color w:val="000000" w:themeColor="text1"/>
        </w:rPr>
        <w:t xml:space="preserve">): A case of AFP caused by poliovirus is an acute condition where it is very likely in a high income setting that healthcare will be sought. However, there is little data to inform this probability so we have taken </w:t>
      </w:r>
      <w:r w:rsidR="00FC5C35">
        <w:rPr>
          <w:rFonts w:ascii="Times New Roman" w:hAnsi="Times New Roman" w:cs="Times New Roman"/>
          <w:color w:val="000000" w:themeColor="text1"/>
        </w:rPr>
        <w:t>pre</w:t>
      </w:r>
      <w:r w:rsidRPr="004F370D">
        <w:rPr>
          <w:rFonts w:ascii="Times New Roman" w:hAnsi="Times New Roman" w:cs="Times New Roman"/>
          <w:color w:val="000000" w:themeColor="text1"/>
        </w:rPr>
        <w:t xml:space="preserve">cautionary principle of </w:t>
      </w:r>
      <w:r w:rsidR="009829BB" w:rsidRPr="004F370D">
        <w:rPr>
          <w:rFonts w:ascii="Times New Roman" w:hAnsi="Times New Roman" w:cs="Times New Roman"/>
          <w:color w:val="000000" w:themeColor="text1"/>
        </w:rPr>
        <w:t xml:space="preserve">using knowledge from all cases of AFP (including </w:t>
      </w:r>
      <w:proofErr w:type="spellStart"/>
      <w:r w:rsidR="009829BB" w:rsidRPr="004F370D">
        <w:rPr>
          <w:rFonts w:ascii="Times New Roman" w:hAnsi="Times New Roman" w:cs="Times New Roman"/>
          <w:color w:val="000000" w:themeColor="text1"/>
        </w:rPr>
        <w:t>Guillian</w:t>
      </w:r>
      <w:proofErr w:type="spellEnd"/>
      <w:r w:rsidR="009829BB" w:rsidRPr="004F370D">
        <w:rPr>
          <w:rFonts w:ascii="Times New Roman" w:hAnsi="Times New Roman" w:cs="Times New Roman"/>
          <w:color w:val="000000" w:themeColor="text1"/>
        </w:rPr>
        <w:t>-Barre syndrome) within England and Wales.</w:t>
      </w:r>
      <w:r w:rsidR="00964A41" w:rsidRPr="004F370D">
        <w:rPr>
          <w:rFonts w:ascii="Times New Roman" w:hAnsi="Times New Roman" w:cs="Times New Roman"/>
          <w:color w:val="000000" w:themeColor="text1"/>
        </w:rPr>
        <w:t xml:space="preserve"> </w:t>
      </w:r>
    </w:p>
    <w:p w14:paraId="4CB71C21" w14:textId="625A5BDA" w:rsidR="009829BB" w:rsidRPr="004F370D" w:rsidRDefault="009829BB" w:rsidP="003D6FBB">
      <w:pPr>
        <w:pStyle w:val="ListParagraph"/>
        <w:numPr>
          <w:ilvl w:val="0"/>
          <w:numId w:val="2"/>
        </w:numPr>
        <w:spacing w:line="276" w:lineRule="auto"/>
        <w:jc w:val="both"/>
        <w:rPr>
          <w:rFonts w:ascii="Times New Roman" w:hAnsi="Times New Roman" w:cs="Times New Roman"/>
          <w:color w:val="000000" w:themeColor="text1"/>
        </w:rPr>
      </w:pPr>
      <w:proofErr w:type="spellStart"/>
      <w:r w:rsidRPr="004F370D">
        <w:rPr>
          <w:rFonts w:ascii="Times New Roman" w:hAnsi="Times New Roman" w:cs="Times New Roman"/>
          <w:color w:val="000000" w:themeColor="text1"/>
        </w:rPr>
        <w:t>Pr</w:t>
      </w:r>
      <w:proofErr w:type="spellEnd"/>
      <w:r w:rsidRPr="004F370D">
        <w:rPr>
          <w:rFonts w:ascii="Times New Roman" w:hAnsi="Times New Roman" w:cs="Times New Roman"/>
          <w:color w:val="000000" w:themeColor="text1"/>
        </w:rPr>
        <w:t>(</w:t>
      </w:r>
      <w:proofErr w:type="spellStart"/>
      <w:r w:rsidR="00964A41" w:rsidRPr="004F370D">
        <w:rPr>
          <w:rFonts w:ascii="Times New Roman" w:hAnsi="Times New Roman" w:cs="Times New Roman"/>
          <w:color w:val="000000" w:themeColor="text1"/>
        </w:rPr>
        <w:t>s</w:t>
      </w:r>
      <w:r w:rsidRPr="004F370D">
        <w:rPr>
          <w:rFonts w:ascii="Times New Roman" w:hAnsi="Times New Roman" w:cs="Times New Roman"/>
          <w:color w:val="000000" w:themeColor="text1"/>
        </w:rPr>
        <w:t>ampl</w:t>
      </w:r>
      <w:r w:rsidR="00964A41" w:rsidRPr="004F370D">
        <w:rPr>
          <w:rFonts w:ascii="Times New Roman" w:hAnsi="Times New Roman" w:cs="Times New Roman"/>
          <w:color w:val="000000" w:themeColor="text1"/>
        </w:rPr>
        <w:t>e</w:t>
      </w:r>
      <w:r w:rsidR="00964A41" w:rsidRPr="004F370D">
        <w:rPr>
          <w:rFonts w:ascii="Times New Roman" w:hAnsi="Times New Roman" w:cs="Times New Roman"/>
          <w:color w:val="000000" w:themeColor="text1"/>
          <w:vertAlign w:val="subscript"/>
        </w:rPr>
        <w:t>AFP</w:t>
      </w:r>
      <w:proofErr w:type="spellEnd"/>
      <w:r w:rsidRPr="004F370D">
        <w:rPr>
          <w:rFonts w:ascii="Times New Roman" w:hAnsi="Times New Roman" w:cs="Times New Roman"/>
          <w:color w:val="000000" w:themeColor="text1"/>
        </w:rPr>
        <w:t xml:space="preserve">): Stool sampling is recommended as part of </w:t>
      </w:r>
      <w:r w:rsidR="00964A41" w:rsidRPr="004F370D">
        <w:rPr>
          <w:rFonts w:ascii="Times New Roman" w:hAnsi="Times New Roman" w:cs="Times New Roman"/>
          <w:color w:val="000000" w:themeColor="text1"/>
        </w:rPr>
        <w:t xml:space="preserve">the clinical investigation of all </w:t>
      </w:r>
      <w:r w:rsidRPr="004F370D">
        <w:rPr>
          <w:rFonts w:ascii="Times New Roman" w:hAnsi="Times New Roman" w:cs="Times New Roman"/>
          <w:color w:val="000000" w:themeColor="text1"/>
        </w:rPr>
        <w:t xml:space="preserve">AFP </w:t>
      </w:r>
      <w:r w:rsidR="00964A41" w:rsidRPr="004F370D">
        <w:rPr>
          <w:rFonts w:ascii="Times New Roman" w:hAnsi="Times New Roman" w:cs="Times New Roman"/>
          <w:color w:val="000000" w:themeColor="text1"/>
        </w:rPr>
        <w:t>cases</w:t>
      </w:r>
      <w:r w:rsidRPr="004F370D">
        <w:rPr>
          <w:rFonts w:ascii="Times New Roman" w:hAnsi="Times New Roman" w:cs="Times New Roman"/>
          <w:color w:val="000000" w:themeColor="text1"/>
        </w:rPr>
        <w:t xml:space="preserve">. </w:t>
      </w:r>
      <w:r w:rsidR="00D877D8">
        <w:rPr>
          <w:rFonts w:ascii="Times New Roman" w:hAnsi="Times New Roman" w:cs="Times New Roman"/>
          <w:color w:val="000000" w:themeColor="text1"/>
        </w:rPr>
        <w:t>W</w:t>
      </w:r>
      <w:r w:rsidRPr="004F370D">
        <w:rPr>
          <w:rFonts w:ascii="Times New Roman" w:hAnsi="Times New Roman" w:cs="Times New Roman"/>
          <w:color w:val="000000" w:themeColor="text1"/>
        </w:rPr>
        <w:t>ithin Salisbury et al</w:t>
      </w:r>
      <w:r w:rsidR="00964A41" w:rsidRPr="004F370D">
        <w:rPr>
          <w:rFonts w:ascii="Times New Roman" w:hAnsi="Times New Roman" w:cs="Times New Roman"/>
          <w:color w:val="000000" w:themeColor="text1"/>
        </w:rPr>
        <w:t xml:space="preserve">. </w:t>
      </w:r>
      <w:r w:rsidR="00964A41" w:rsidRPr="004F370D">
        <w:rPr>
          <w:rFonts w:ascii="Times New Roman" w:hAnsi="Times New Roman" w:cs="Times New Roman"/>
          <w:color w:val="000000" w:themeColor="text1"/>
        </w:rPr>
        <w:fldChar w:fldCharType="begin"/>
      </w:r>
      <w:r w:rsidR="00767815">
        <w:rPr>
          <w:rFonts w:ascii="Times New Roman" w:hAnsi="Times New Roman" w:cs="Times New Roman"/>
          <w:color w:val="000000" w:themeColor="text1"/>
        </w:rPr>
        <w:instrText xml:space="preserve"> ADDIN ZOTERO_ITEM CSL_CITATION {"citationID":"h8GunsIA","properties":{"formattedCitation":"\\super 6\\nosupersub{}","plainCitation":"6","noteIndex":0},"citationItems":[{"id":1719,"uris":["http://zotero.org/users/5061339/items/UHYLFK5Z"],"uri":["http://zotero.org/users/5061339/items/UHYLFK5Z"],"itemData":{"id":1719,"type":"article-journal","abstract":"The requirements for certification of elimination of wild virus poliomyelitis will pose particular problems for some industrialized countries, such as the United Kingdom, where there has been no case detected for at least a decade. Systems of surveillance of poliomyelitis have been reviewed and potential weaknesses identified. When oral polio vaccine is routinely used, the rate of vaccine-associated cases provides an indication of the likelihood that if they occurred, wild virus cases would be detected. Acute flaccid paralysis surveillance was done for 3 years, but rates were lower than reported elsewhere and were accepted for certification purposes. Alternative techniques, such as surveillance of polioviruses, either in clinical samples or from the environment, may be developed in such countries. The ability to identify enteroviruses and to distinguish between wild and vaccine strains of polioviruses will give assurance that silent transmission of wild viruses is unlikely.","container-title":"The Journal of Infectious Diseases","ISSN":"0022-1899","journalAbbreviation":"J. Infect. Dis.","language":"eng","note":"PMID: 9203709","page":"S156-159","source":"PubMed","title":"Polio eradication: surveillance implications for the United Kingdom","title-short":"Polio eradication","volume":"175 Suppl 1","author":[{"family":"Salisbury","given":"D. M."},{"family":"Ramsay","given":"M. E."},{"family":"White","given":"J. M."},{"family":"Brown","given":"D. W."}],"issued":{"date-parts":[["1997",2]]}}}],"schema":"https://github.com/citation-style-language/schema/raw/master/csl-citation.json"} </w:instrText>
      </w:r>
      <w:r w:rsidR="00964A41" w:rsidRPr="004F370D">
        <w:rPr>
          <w:rFonts w:ascii="Times New Roman" w:hAnsi="Times New Roman" w:cs="Times New Roman"/>
          <w:color w:val="000000" w:themeColor="text1"/>
        </w:rPr>
        <w:fldChar w:fldCharType="separate"/>
      </w:r>
      <w:r w:rsidR="00767815" w:rsidRPr="00767815">
        <w:rPr>
          <w:rFonts w:ascii="Times New Roman" w:hAnsi="Times New Roman" w:cs="Times New Roman"/>
          <w:color w:val="000000"/>
          <w:vertAlign w:val="superscript"/>
          <w:lang w:val="en-US"/>
        </w:rPr>
        <w:t>6</w:t>
      </w:r>
      <w:r w:rsidR="00964A41" w:rsidRPr="004F370D">
        <w:rPr>
          <w:rFonts w:ascii="Times New Roman" w:hAnsi="Times New Roman" w:cs="Times New Roman"/>
          <w:color w:val="000000" w:themeColor="text1"/>
        </w:rPr>
        <w:fldChar w:fldCharType="end"/>
      </w:r>
      <w:r w:rsidR="00964A41" w:rsidRPr="004F370D">
        <w:rPr>
          <w:rFonts w:ascii="Times New Roman" w:hAnsi="Times New Roman" w:cs="Times New Roman"/>
          <w:color w:val="000000" w:themeColor="text1"/>
        </w:rPr>
        <w:t xml:space="preserve"> </w:t>
      </w:r>
      <w:r w:rsidRPr="004F370D">
        <w:rPr>
          <w:rFonts w:ascii="Times New Roman" w:hAnsi="Times New Roman" w:cs="Times New Roman"/>
          <w:color w:val="000000" w:themeColor="text1"/>
        </w:rPr>
        <w:t>of 0.54</w:t>
      </w:r>
      <w:r w:rsidR="00D877D8">
        <w:rPr>
          <w:rFonts w:ascii="Times New Roman" w:hAnsi="Times New Roman" w:cs="Times New Roman"/>
          <w:color w:val="000000" w:themeColor="text1"/>
        </w:rPr>
        <w:t xml:space="preserve"> of AFP cases had stool samples. Since this time clinical sampling has mostly likely improved, so we select a mean of 0.8 with confidence intervals ranging from 0.5-0.95</w:t>
      </w:r>
      <w:r w:rsidRPr="004F370D">
        <w:rPr>
          <w:rFonts w:ascii="Times New Roman" w:hAnsi="Times New Roman" w:cs="Times New Roman"/>
          <w:color w:val="000000" w:themeColor="text1"/>
        </w:rPr>
        <w:t>.</w:t>
      </w:r>
    </w:p>
    <w:p w14:paraId="6ED5F2FD" w14:textId="53A679C8" w:rsidR="009829BB" w:rsidRPr="004F370D" w:rsidRDefault="00964A41" w:rsidP="003D6FBB">
      <w:pPr>
        <w:pStyle w:val="ListParagraph"/>
        <w:numPr>
          <w:ilvl w:val="0"/>
          <w:numId w:val="2"/>
        </w:numPr>
        <w:spacing w:line="276" w:lineRule="auto"/>
        <w:jc w:val="both"/>
        <w:rPr>
          <w:rFonts w:ascii="Times New Roman" w:hAnsi="Times New Roman" w:cs="Times New Roman"/>
          <w:color w:val="000000" w:themeColor="text1"/>
        </w:rPr>
      </w:pPr>
      <w:proofErr w:type="spellStart"/>
      <w:r w:rsidRPr="004F370D">
        <w:rPr>
          <w:rFonts w:ascii="Times New Roman" w:hAnsi="Times New Roman" w:cs="Times New Roman"/>
          <w:color w:val="000000" w:themeColor="text1"/>
        </w:rPr>
        <w:t>Pr</w:t>
      </w:r>
      <w:proofErr w:type="spellEnd"/>
      <w:r w:rsidRPr="004F370D">
        <w:rPr>
          <w:rFonts w:ascii="Times New Roman" w:hAnsi="Times New Roman" w:cs="Times New Roman"/>
          <w:color w:val="000000" w:themeColor="text1"/>
        </w:rPr>
        <w:t>(</w:t>
      </w:r>
      <w:proofErr w:type="spellStart"/>
      <w:r w:rsidRPr="004F370D">
        <w:rPr>
          <w:rFonts w:ascii="Times New Roman" w:hAnsi="Times New Roman" w:cs="Times New Roman"/>
          <w:color w:val="000000" w:themeColor="text1"/>
        </w:rPr>
        <w:t>test</w:t>
      </w:r>
      <w:r w:rsidRPr="004F370D">
        <w:rPr>
          <w:rFonts w:ascii="Times New Roman" w:hAnsi="Times New Roman" w:cs="Times New Roman"/>
          <w:color w:val="000000" w:themeColor="text1"/>
          <w:vertAlign w:val="subscript"/>
        </w:rPr>
        <w:t>AFP</w:t>
      </w:r>
      <w:proofErr w:type="spellEnd"/>
      <w:r w:rsidRPr="004F370D">
        <w:rPr>
          <w:rFonts w:ascii="Times New Roman" w:hAnsi="Times New Roman" w:cs="Times New Roman"/>
          <w:color w:val="000000" w:themeColor="text1"/>
        </w:rPr>
        <w:t xml:space="preserve">): </w:t>
      </w:r>
      <w:r w:rsidR="009829BB" w:rsidRPr="004F370D">
        <w:rPr>
          <w:rFonts w:ascii="Times New Roman" w:hAnsi="Times New Roman" w:cs="Times New Roman"/>
          <w:color w:val="000000" w:themeColor="text1"/>
        </w:rPr>
        <w:t>Samples to be tested for poliovirus undergo rigorous laboratory testing</w:t>
      </w:r>
      <w:r w:rsidR="00061428" w:rsidRPr="004F370D">
        <w:rPr>
          <w:rFonts w:ascii="Times New Roman" w:hAnsi="Times New Roman" w:cs="Times New Roman"/>
          <w:color w:val="000000" w:themeColor="text1"/>
        </w:rPr>
        <w:t xml:space="preserve"> where PCR is used to determine the presence of </w:t>
      </w:r>
      <w:r w:rsidR="00D877D8">
        <w:rPr>
          <w:rFonts w:ascii="Times New Roman" w:hAnsi="Times New Roman" w:cs="Times New Roman"/>
          <w:color w:val="000000" w:themeColor="text1"/>
        </w:rPr>
        <w:t>enterovirus</w:t>
      </w:r>
      <w:r w:rsidR="00061428" w:rsidRPr="004F370D">
        <w:rPr>
          <w:rFonts w:ascii="Times New Roman" w:hAnsi="Times New Roman" w:cs="Times New Roman"/>
          <w:color w:val="000000" w:themeColor="text1"/>
        </w:rPr>
        <w:t xml:space="preserve"> in stool, CSF or throat swabs</w:t>
      </w:r>
      <w:r w:rsidR="00D877D8">
        <w:rPr>
          <w:rFonts w:ascii="Times New Roman" w:hAnsi="Times New Roman" w:cs="Times New Roman"/>
          <w:color w:val="000000" w:themeColor="text1"/>
        </w:rPr>
        <w:t xml:space="preserve">. Following a positive PCR </w:t>
      </w:r>
      <w:r w:rsidR="00061428" w:rsidRPr="004F370D">
        <w:rPr>
          <w:rFonts w:ascii="Times New Roman" w:hAnsi="Times New Roman" w:cs="Times New Roman"/>
          <w:color w:val="000000" w:themeColor="text1"/>
        </w:rPr>
        <w:t xml:space="preserve">virus culture, </w:t>
      </w:r>
      <w:proofErr w:type="spellStart"/>
      <w:r w:rsidR="00061428" w:rsidRPr="004F370D">
        <w:rPr>
          <w:rFonts w:ascii="Times New Roman" w:hAnsi="Times New Roman" w:cs="Times New Roman"/>
          <w:color w:val="000000" w:themeColor="text1"/>
        </w:rPr>
        <w:t>intratypic</w:t>
      </w:r>
      <w:proofErr w:type="spellEnd"/>
      <w:r w:rsidR="00061428" w:rsidRPr="004F370D">
        <w:rPr>
          <w:rFonts w:ascii="Times New Roman" w:hAnsi="Times New Roman" w:cs="Times New Roman"/>
          <w:color w:val="000000" w:themeColor="text1"/>
        </w:rPr>
        <w:t xml:space="preserve"> differentiation and sequence analysis</w:t>
      </w:r>
      <w:r w:rsidR="00D877D8">
        <w:rPr>
          <w:rFonts w:ascii="Times New Roman" w:hAnsi="Times New Roman" w:cs="Times New Roman"/>
          <w:color w:val="000000" w:themeColor="text1"/>
        </w:rPr>
        <w:t xml:space="preserve"> will be carried out as per the WHO protocol</w:t>
      </w:r>
      <w:r w:rsidR="00061428" w:rsidRPr="004F370D">
        <w:rPr>
          <w:rFonts w:ascii="Times New Roman" w:hAnsi="Times New Roman" w:cs="Times New Roman"/>
          <w:color w:val="000000" w:themeColor="text1"/>
        </w:rPr>
        <w:t>. The testing is highly sensitive</w:t>
      </w:r>
      <w:r w:rsidR="000D5E0C" w:rsidRPr="004F370D">
        <w:rPr>
          <w:rFonts w:ascii="Times New Roman" w:hAnsi="Times New Roman" w:cs="Times New Roman"/>
          <w:color w:val="000000" w:themeColor="text1"/>
        </w:rPr>
        <w:t xml:space="preserve"> with reported sensitivities above 0.95 for ~100 RNA copies per microlitre</w:t>
      </w:r>
      <w:r w:rsidR="009829BB" w:rsidRPr="004F370D">
        <w:rPr>
          <w:rFonts w:ascii="Times New Roman" w:hAnsi="Times New Roman" w:cs="Times New Roman"/>
          <w:color w:val="000000" w:themeColor="text1"/>
        </w:rPr>
        <w:t xml:space="preserve"> </w:t>
      </w:r>
      <w:r w:rsidR="000D5E0C" w:rsidRPr="004F370D">
        <w:rPr>
          <w:rFonts w:ascii="Times New Roman" w:hAnsi="Times New Roman" w:cs="Times New Roman"/>
          <w:color w:val="000000" w:themeColor="text1"/>
        </w:rPr>
        <w:t xml:space="preserve">for ITD 5.0 </w:t>
      </w:r>
      <w:r w:rsidR="00B94244" w:rsidRPr="004F370D">
        <w:rPr>
          <w:rFonts w:ascii="Times New Roman" w:hAnsi="Times New Roman" w:cs="Times New Roman"/>
          <w:color w:val="000000" w:themeColor="text1"/>
        </w:rPr>
        <w:t>which is a similar protocol to that used in testing within England and Wales</w:t>
      </w:r>
      <w:r w:rsidR="00902955" w:rsidRPr="004F370D">
        <w:rPr>
          <w:rFonts w:ascii="Times New Roman" w:hAnsi="Times New Roman" w:cs="Times New Roman"/>
          <w:color w:val="000000" w:themeColor="text1"/>
        </w:rPr>
        <w:fldChar w:fldCharType="begin"/>
      </w:r>
      <w:r w:rsidR="00767815">
        <w:rPr>
          <w:rFonts w:ascii="Times New Roman" w:hAnsi="Times New Roman" w:cs="Times New Roman"/>
          <w:color w:val="000000" w:themeColor="text1"/>
        </w:rPr>
        <w:instrText xml:space="preserve"> ADDIN ZOTERO_ITEM CSL_CITATION {"citationID":"q4fPzJ2B","properties":{"formattedCitation":"\\super 7\\nosupersub{}","plainCitation":"7","noteIndex":0},"citationItems":[{"id":1718,"uris":["http://zotero.org/users/5061339/items/GNGLDT4K"],"uri":["http://zotero.org/users/5061339/items/GNGLDT4K"],"itemData":{"id":1718,"type":"article-journal","abstract":"With poliovirus eradication nearing, few pockets of active wild poliovirus (WPV) transmission remain in the world. Intratypic differentiation (ITD) plays a crucial part in laboratory surveillance as the molecular detection method that can identify and distinguish wild and vaccine-like polioviruses isolated from acute flaccid paralysis cases or environmental sources. The need to detect new variants of WPV serotype 1 (WPV1) and the containment of all serotype 2 polioviruses (PV2) in 2015 required changes to the previous version of the method. The ITD version 5.0 is a set of six real-time reverse transcription-PCR (rRT-PCR) assays that serve as accurate diagnostic tools to easily detect and differentiate PV serotypes and genotypes. We describe the creation and properties of quantitation standards, including 16 control RNA transcripts and nine plaque-isolated viruses. All ITD rRT-PCR assays were validated using these standards, and the limits of detection were determined for each assay. We designed and pilot tested two new assays targeting recently circulating WPV1 genotypes and all PV2 viruses. The WPV1 assay had 99.1% specificity and 100% sensitivity, and the PV2 assay had 97.7% specificity and 92% sensitivity. Before proceeding to the next step in the global poliovirus eradication program, we needed to gain a better understanding of the performance of the ITD 5.0 suite of molecular assays and their limits of detection and specificities. The findings and conclusions in this evaluation serve as building blocks for future development work.","container-title":"Journal of Clinical Microbiology","DOI":"10.1128/JCM.01624-17","ISSN":"1098-660X","issue":"2","journalAbbreviation":"J. Clin. Microbiol.","language":"eng","note":"PMID: 29212703\nPMCID: PMC5786708","source":"PubMed","title":"Diagnostic Assay Development for Poliovirus Eradication","volume":"56","author":[{"family":"Gerloff","given":"Nancy"},{"family":"Sun","given":"Hong"},{"family":"Mandelbaum","given":"Mark"},{"family":"Maher","given":"Chelsea"},{"family":"Nix","given":"W. Allan"},{"family":"Zaidi","given":"Sohail"},{"family":"Shaukat","given":"Shahzad"},{"family":"Seakamela","given":"Lerato"},{"family":"Nalavade","given":"Uma P."},{"family":"Sharma","given":"Deepa K."},{"family":"Oberste","given":"M. Steven"},{"family":"Vega","given":"Everardo"}],"issued":{"date-parts":[["2018"]]}}}],"schema":"https://github.com/citation-style-language/schema/raw/master/csl-citation.json"} </w:instrText>
      </w:r>
      <w:r w:rsidR="00902955" w:rsidRPr="004F370D">
        <w:rPr>
          <w:rFonts w:ascii="Times New Roman" w:hAnsi="Times New Roman" w:cs="Times New Roman"/>
          <w:color w:val="000000" w:themeColor="text1"/>
        </w:rPr>
        <w:fldChar w:fldCharType="separate"/>
      </w:r>
      <w:r w:rsidR="00767815" w:rsidRPr="00767815">
        <w:rPr>
          <w:rFonts w:ascii="Times New Roman" w:hAnsi="Times New Roman" w:cs="Times New Roman"/>
          <w:color w:val="000000"/>
          <w:vertAlign w:val="superscript"/>
          <w:lang w:val="en-US"/>
        </w:rPr>
        <w:t>7</w:t>
      </w:r>
      <w:r w:rsidR="00902955" w:rsidRPr="004F370D">
        <w:rPr>
          <w:rFonts w:ascii="Times New Roman" w:hAnsi="Times New Roman" w:cs="Times New Roman"/>
          <w:color w:val="000000" w:themeColor="text1"/>
        </w:rPr>
        <w:fldChar w:fldCharType="end"/>
      </w:r>
      <w:r w:rsidR="000D5E0C" w:rsidRPr="004F370D">
        <w:rPr>
          <w:rFonts w:ascii="Times New Roman" w:hAnsi="Times New Roman" w:cs="Times New Roman"/>
          <w:color w:val="000000" w:themeColor="text1"/>
        </w:rPr>
        <w:t>.</w:t>
      </w:r>
      <w:r w:rsidR="00B8321A" w:rsidRPr="004F370D">
        <w:rPr>
          <w:rFonts w:ascii="Times New Roman" w:hAnsi="Times New Roman" w:cs="Times New Roman"/>
          <w:color w:val="000000" w:themeColor="text1"/>
        </w:rPr>
        <w:t xml:space="preserve"> </w:t>
      </w:r>
      <w:r w:rsidR="006C5B69">
        <w:rPr>
          <w:rFonts w:ascii="Times New Roman" w:hAnsi="Times New Roman" w:cs="Times New Roman"/>
          <w:color w:val="000000" w:themeColor="text1"/>
        </w:rPr>
        <w:t>W</w:t>
      </w:r>
      <w:r w:rsidR="00B94244" w:rsidRPr="004F370D">
        <w:rPr>
          <w:rFonts w:ascii="Times New Roman" w:hAnsi="Times New Roman" w:cs="Times New Roman"/>
          <w:color w:val="000000" w:themeColor="text1"/>
        </w:rPr>
        <w:t>e specify a high probability of detection with a mean of 0.97 and 95% CI of 0.95-1.00.</w:t>
      </w:r>
    </w:p>
    <w:p w14:paraId="4D7A3387" w14:textId="77777777" w:rsidR="001B1438" w:rsidRPr="004F370D" w:rsidRDefault="001B1438" w:rsidP="003D6FBB">
      <w:pPr>
        <w:spacing w:line="276" w:lineRule="auto"/>
        <w:jc w:val="both"/>
        <w:rPr>
          <w:rFonts w:ascii="Times New Roman" w:hAnsi="Times New Roman" w:cs="Times New Roman"/>
          <w:color w:val="000000" w:themeColor="text1"/>
        </w:rPr>
      </w:pPr>
    </w:p>
    <w:p w14:paraId="373F7845" w14:textId="4A886F3A" w:rsidR="00751B9E" w:rsidRPr="004F370D" w:rsidRDefault="00751B9E" w:rsidP="003D6FBB">
      <w:pPr>
        <w:pStyle w:val="Subtitle"/>
        <w:spacing w:line="276" w:lineRule="auto"/>
        <w:jc w:val="both"/>
        <w:rPr>
          <w:rFonts w:ascii="Times New Roman" w:hAnsi="Times New Roman" w:cs="Times New Roman"/>
          <w:color w:val="000000" w:themeColor="text1"/>
        </w:rPr>
      </w:pPr>
      <w:r w:rsidRPr="004F370D">
        <w:rPr>
          <w:rFonts w:ascii="Times New Roman" w:hAnsi="Times New Roman" w:cs="Times New Roman"/>
          <w:color w:val="000000" w:themeColor="text1"/>
        </w:rPr>
        <w:t>Enterovirus (</w:t>
      </w:r>
      <w:r w:rsidR="003A48A3">
        <w:rPr>
          <w:rFonts w:ascii="Times New Roman" w:hAnsi="Times New Roman" w:cs="Times New Roman"/>
          <w:color w:val="000000" w:themeColor="text1"/>
        </w:rPr>
        <w:t>ENT</w:t>
      </w:r>
      <w:r w:rsidRPr="004F370D">
        <w:rPr>
          <w:rFonts w:ascii="Times New Roman" w:hAnsi="Times New Roman" w:cs="Times New Roman"/>
          <w:color w:val="000000" w:themeColor="text1"/>
        </w:rPr>
        <w:t>) Surveillance</w:t>
      </w:r>
    </w:p>
    <w:p w14:paraId="2FB3D546" w14:textId="4A47FA1D" w:rsidR="00D81CDD" w:rsidRPr="004F370D" w:rsidRDefault="00D81CDD" w:rsidP="003D6FBB">
      <w:pPr>
        <w:pStyle w:val="ListParagraph"/>
        <w:numPr>
          <w:ilvl w:val="0"/>
          <w:numId w:val="2"/>
        </w:numPr>
        <w:spacing w:line="276" w:lineRule="auto"/>
        <w:jc w:val="both"/>
        <w:rPr>
          <w:rFonts w:ascii="Times New Roman" w:hAnsi="Times New Roman" w:cs="Times New Roman"/>
          <w:color w:val="000000" w:themeColor="text1"/>
        </w:rPr>
      </w:pPr>
      <w:proofErr w:type="spellStart"/>
      <w:r w:rsidRPr="004F370D">
        <w:rPr>
          <w:rFonts w:ascii="Times New Roman" w:hAnsi="Times New Roman" w:cs="Times New Roman"/>
          <w:color w:val="000000" w:themeColor="text1"/>
        </w:rPr>
        <w:t>Pr</w:t>
      </w:r>
      <w:proofErr w:type="spellEnd"/>
      <w:r w:rsidRPr="004F370D">
        <w:rPr>
          <w:rFonts w:ascii="Times New Roman" w:hAnsi="Times New Roman" w:cs="Times New Roman"/>
          <w:color w:val="000000" w:themeColor="text1"/>
        </w:rPr>
        <w:t>(</w:t>
      </w:r>
      <w:proofErr w:type="spellStart"/>
      <w:r w:rsidRPr="004F370D">
        <w:rPr>
          <w:rFonts w:ascii="Times New Roman" w:hAnsi="Times New Roman" w:cs="Times New Roman"/>
          <w:color w:val="000000" w:themeColor="text1"/>
        </w:rPr>
        <w:t>case</w:t>
      </w:r>
      <w:r w:rsidR="003A48A3">
        <w:rPr>
          <w:rFonts w:ascii="Times New Roman" w:hAnsi="Times New Roman" w:cs="Times New Roman"/>
          <w:color w:val="000000" w:themeColor="text1"/>
          <w:vertAlign w:val="subscript"/>
        </w:rPr>
        <w:t>ENT</w:t>
      </w:r>
      <w:proofErr w:type="spellEnd"/>
      <w:r w:rsidRPr="004F370D">
        <w:rPr>
          <w:rFonts w:ascii="Times New Roman" w:hAnsi="Times New Roman" w:cs="Times New Roman"/>
          <w:color w:val="000000" w:themeColor="text1"/>
        </w:rPr>
        <w:t xml:space="preserve">): Conditions such as aseptic meningitis are also clinical indicators of poliovirus infection in addition to acute flaccid myelitis. There are fewer reports of the probability of developing aseptic meningitis, but </w:t>
      </w:r>
      <w:proofErr w:type="spellStart"/>
      <w:r w:rsidR="007F2194">
        <w:rPr>
          <w:rFonts w:ascii="Times New Roman" w:hAnsi="Times New Roman" w:cs="Times New Roman"/>
          <w:color w:val="000000" w:themeColor="text1"/>
        </w:rPr>
        <w:t>Mehndiratta</w:t>
      </w:r>
      <w:proofErr w:type="spellEnd"/>
      <w:r w:rsidR="007F2194">
        <w:rPr>
          <w:rFonts w:ascii="Times New Roman" w:hAnsi="Times New Roman" w:cs="Times New Roman"/>
          <w:color w:val="000000" w:themeColor="text1"/>
        </w:rPr>
        <w:t xml:space="preserve"> et al estimate that meningitis occurs in about 1% of cases,</w:t>
      </w:r>
      <w:r w:rsidR="007F2194">
        <w:rPr>
          <w:rFonts w:ascii="Times New Roman" w:hAnsi="Times New Roman" w:cs="Times New Roman"/>
          <w:color w:val="000000" w:themeColor="text1"/>
        </w:rPr>
        <w:fldChar w:fldCharType="begin"/>
      </w:r>
      <w:r w:rsidR="007F2194">
        <w:rPr>
          <w:rFonts w:ascii="Times New Roman" w:hAnsi="Times New Roman" w:cs="Times New Roman"/>
          <w:color w:val="000000" w:themeColor="text1"/>
        </w:rPr>
        <w:instrText xml:space="preserve"> ADDIN ZOTERO_ITEM CSL_CITATION {"citationID":"OwtoTDcM","properties":{"formattedCitation":"\\super 8\\nosupersub{}","plainCitation":"8","noteIndex":0},"citationItems":[{"id":2215,"uris":["http://zotero.org/users/5061339/items/KQCU6VG8"],"uri":["http://zotero.org/users/5061339/items/KQCU6VG8"],"itemData":{"id":2215,"type":"article-journal","abstract":"Poliomyelitis is a highly infectious disease caused by a virus belonging to the Picornaviridae family. It finds a mention even in ancient Egyptian paintings and carvings. The clinical features are varied ranging from mild cases of respiratory illness, gastroenteritis, and malaise to severe forms of paralysis. These have been categorized into inapparent infection without symptoms, mild illness (abortive poliomyelitis), aseptic meningitis (nonparalytic poliomyelitis), and paralytic poliomyelitis. This disease has been associated with crippling deformities affecting thousands of lives throughout the world. Only due to the perseverance and determination of great scientists in 1900s, the genomic structure of the virus and its pathogenesis could be elucidated. Contribution of Salk and Sabin in the form of vaccines—oral polio vaccine (OPV) and the inactivated polio vaccine—heralded a scientific revolution. In 1994, the World Health Organization (WHO) Region of The Americas was certified polio free followed by the WHO Western Pacific Region in 2000 and the WHO European Region in June 2002 of the 3 types of wild poliovirus (types 1, 2, and 3). In 2013, only 3 countries remained polio endemic—Nigeria, Pakistan, and Afghanistan. Global eradication of polio is imperative else the threat of an outbreak will hover forever. Today, all the governments of the world in collaboration with WHO stand unified in their fight against poliomyelitis and the task when achieved will pave the way for eliminating other infections in future.","container-title":"The Neurohospitalist","DOI":"10.1177/1941874414533352","ISSN":"1941-8744","issue":"4","journalAbbreviation":"Neurohospitalist","note":"PMID: 25360208\nPMCID: PMC4212416","page":"223-229","source":"PubMed Central","title":"Poliomyelitis","volume":"4","author":[{"family":"Mehndiratta","given":"Man Mohan"},{"family":"Mehndiratta","given":"Prachi"},{"family":"Pande","given":"Renuka"}],"issued":{"date-parts":[["2014",10]]}}}],"schema":"https://github.com/citation-style-language/schema/raw/master/csl-citation.json"} </w:instrText>
      </w:r>
      <w:r w:rsidR="007F2194">
        <w:rPr>
          <w:rFonts w:ascii="Times New Roman" w:hAnsi="Times New Roman" w:cs="Times New Roman"/>
          <w:color w:val="000000" w:themeColor="text1"/>
        </w:rPr>
        <w:fldChar w:fldCharType="separate"/>
      </w:r>
      <w:r w:rsidR="007F2194" w:rsidRPr="007F2194">
        <w:rPr>
          <w:rFonts w:ascii="Times New Roman" w:hAnsi="Times New Roman" w:cs="Times New Roman"/>
          <w:color w:val="000000"/>
          <w:vertAlign w:val="superscript"/>
          <w:lang w:val="en-US"/>
        </w:rPr>
        <w:t>8</w:t>
      </w:r>
      <w:r w:rsidR="007F2194">
        <w:rPr>
          <w:rFonts w:ascii="Times New Roman" w:hAnsi="Times New Roman" w:cs="Times New Roman"/>
          <w:color w:val="000000" w:themeColor="text1"/>
        </w:rPr>
        <w:fldChar w:fldCharType="end"/>
      </w:r>
      <w:r w:rsidR="004F30E6">
        <w:rPr>
          <w:rFonts w:ascii="Times New Roman" w:hAnsi="Times New Roman" w:cs="Times New Roman"/>
          <w:color w:val="000000" w:themeColor="text1"/>
        </w:rPr>
        <w:t xml:space="preserve"> although no distinction is made between serotype</w:t>
      </w:r>
      <w:r w:rsidRPr="004F370D">
        <w:rPr>
          <w:rFonts w:ascii="Times New Roman" w:hAnsi="Times New Roman" w:cs="Times New Roman"/>
          <w:color w:val="000000" w:themeColor="text1"/>
        </w:rPr>
        <w:t xml:space="preserve">. </w:t>
      </w:r>
      <w:r w:rsidR="00823633">
        <w:rPr>
          <w:rFonts w:ascii="Times New Roman" w:hAnsi="Times New Roman" w:cs="Times New Roman"/>
          <w:color w:val="000000" w:themeColor="text1"/>
        </w:rPr>
        <w:t xml:space="preserve">Additionally, during a serotype 3 polio outbreak in Finland, nine cases of paralytic poliomyelitis were reported and one case of aseptic meningitis, which could </w:t>
      </w:r>
      <w:r w:rsidR="00823633">
        <w:rPr>
          <w:rFonts w:ascii="Times New Roman" w:hAnsi="Times New Roman" w:cs="Times New Roman"/>
          <w:color w:val="000000" w:themeColor="text1"/>
        </w:rPr>
        <w:lastRenderedPageBreak/>
        <w:t>be used to suppose a 9:1 ratio of paralytic polio to aseptic meningitis.</w:t>
      </w:r>
      <w:r w:rsidR="00823633" w:rsidRPr="00551B55">
        <w:rPr>
          <w:rFonts w:ascii="Times New Roman" w:hAnsi="Times New Roman" w:cs="Times New Roman"/>
          <w:color w:val="000000" w:themeColor="text1"/>
          <w:vertAlign w:val="superscript"/>
        </w:rPr>
        <w:t>9</w:t>
      </w:r>
      <w:r w:rsidR="00823633">
        <w:rPr>
          <w:rFonts w:ascii="Times New Roman" w:hAnsi="Times New Roman" w:cs="Times New Roman"/>
          <w:color w:val="000000" w:themeColor="text1"/>
        </w:rPr>
        <w:t xml:space="preserve"> </w:t>
      </w:r>
      <w:r w:rsidRPr="004F370D">
        <w:rPr>
          <w:rFonts w:ascii="Times New Roman" w:hAnsi="Times New Roman" w:cs="Times New Roman"/>
          <w:color w:val="000000" w:themeColor="text1"/>
        </w:rPr>
        <w:t>Confidence intervals 0.01-0.05 were used to account for uncertainty in this estimate.</w:t>
      </w:r>
    </w:p>
    <w:p w14:paraId="210999A0" w14:textId="0BAECA5D" w:rsidR="00D81CDD" w:rsidRPr="004F370D" w:rsidRDefault="00D81CDD" w:rsidP="003D6FBB">
      <w:pPr>
        <w:pStyle w:val="ListParagraph"/>
        <w:numPr>
          <w:ilvl w:val="0"/>
          <w:numId w:val="2"/>
        </w:numPr>
        <w:spacing w:line="276" w:lineRule="auto"/>
        <w:jc w:val="both"/>
        <w:rPr>
          <w:rFonts w:ascii="Times New Roman" w:hAnsi="Times New Roman" w:cs="Times New Roman"/>
          <w:color w:val="000000" w:themeColor="text1"/>
        </w:rPr>
      </w:pPr>
      <w:proofErr w:type="spellStart"/>
      <w:r w:rsidRPr="004F370D">
        <w:rPr>
          <w:rFonts w:ascii="Times New Roman" w:hAnsi="Times New Roman" w:cs="Times New Roman"/>
          <w:color w:val="000000" w:themeColor="text1"/>
        </w:rPr>
        <w:t>Pr</w:t>
      </w:r>
      <w:proofErr w:type="spellEnd"/>
      <w:r w:rsidRPr="004F370D">
        <w:rPr>
          <w:rFonts w:ascii="Times New Roman" w:hAnsi="Times New Roman" w:cs="Times New Roman"/>
          <w:color w:val="000000" w:themeColor="text1"/>
        </w:rPr>
        <w:t>(</w:t>
      </w:r>
      <w:proofErr w:type="spellStart"/>
      <w:r w:rsidRPr="004F370D">
        <w:rPr>
          <w:rFonts w:ascii="Times New Roman" w:hAnsi="Times New Roman" w:cs="Times New Roman"/>
          <w:color w:val="000000" w:themeColor="text1"/>
        </w:rPr>
        <w:t>notification</w:t>
      </w:r>
      <w:r w:rsidR="003A48A3">
        <w:rPr>
          <w:rFonts w:ascii="Times New Roman" w:hAnsi="Times New Roman" w:cs="Times New Roman"/>
          <w:color w:val="000000" w:themeColor="text1"/>
          <w:vertAlign w:val="subscript"/>
        </w:rPr>
        <w:t>ENT</w:t>
      </w:r>
      <w:proofErr w:type="spellEnd"/>
      <w:r w:rsidRPr="004F370D">
        <w:rPr>
          <w:rFonts w:ascii="Times New Roman" w:hAnsi="Times New Roman" w:cs="Times New Roman"/>
          <w:color w:val="000000" w:themeColor="text1"/>
        </w:rPr>
        <w:t xml:space="preserve">): Clinical disease associated with enterovirus infection is used as a proxy for the notification rate that might be associated with aseptic meningitis caused by poliovirus infection. Estimates are not available </w:t>
      </w:r>
      <w:r w:rsidR="00AD1CE1" w:rsidRPr="004F370D">
        <w:rPr>
          <w:rFonts w:ascii="Times New Roman" w:hAnsi="Times New Roman" w:cs="Times New Roman"/>
          <w:color w:val="000000" w:themeColor="text1"/>
        </w:rPr>
        <w:t>but it is assumed that health-seeking behaviours would be similar to that for poliovirus infection</w:t>
      </w:r>
    </w:p>
    <w:p w14:paraId="085755A3" w14:textId="48EAEBB1" w:rsidR="00D81CDD" w:rsidRPr="004F370D" w:rsidRDefault="00D81CDD" w:rsidP="003D6FBB">
      <w:pPr>
        <w:pStyle w:val="ListParagraph"/>
        <w:numPr>
          <w:ilvl w:val="0"/>
          <w:numId w:val="2"/>
        </w:numPr>
        <w:spacing w:line="276" w:lineRule="auto"/>
        <w:jc w:val="both"/>
        <w:rPr>
          <w:rFonts w:ascii="Times New Roman" w:hAnsi="Times New Roman" w:cs="Times New Roman"/>
          <w:color w:val="000000" w:themeColor="text1"/>
        </w:rPr>
      </w:pPr>
      <w:proofErr w:type="spellStart"/>
      <w:r w:rsidRPr="004F370D">
        <w:rPr>
          <w:rFonts w:ascii="Times New Roman" w:hAnsi="Times New Roman" w:cs="Times New Roman"/>
          <w:color w:val="000000" w:themeColor="text1"/>
        </w:rPr>
        <w:t>Pr</w:t>
      </w:r>
      <w:proofErr w:type="spellEnd"/>
      <w:r w:rsidRPr="004F370D">
        <w:rPr>
          <w:rFonts w:ascii="Times New Roman" w:hAnsi="Times New Roman" w:cs="Times New Roman"/>
          <w:color w:val="000000" w:themeColor="text1"/>
        </w:rPr>
        <w:t>(</w:t>
      </w:r>
      <w:proofErr w:type="spellStart"/>
      <w:r w:rsidRPr="004F370D">
        <w:rPr>
          <w:rFonts w:ascii="Times New Roman" w:hAnsi="Times New Roman" w:cs="Times New Roman"/>
          <w:color w:val="000000" w:themeColor="text1"/>
        </w:rPr>
        <w:t>sample</w:t>
      </w:r>
      <w:r w:rsidR="003A48A3">
        <w:rPr>
          <w:rFonts w:ascii="Times New Roman" w:hAnsi="Times New Roman" w:cs="Times New Roman"/>
          <w:color w:val="000000" w:themeColor="text1"/>
          <w:vertAlign w:val="subscript"/>
        </w:rPr>
        <w:t>ENT</w:t>
      </w:r>
      <w:proofErr w:type="spellEnd"/>
      <w:r w:rsidRPr="004F370D">
        <w:rPr>
          <w:rFonts w:ascii="Times New Roman" w:hAnsi="Times New Roman" w:cs="Times New Roman"/>
          <w:color w:val="000000" w:themeColor="text1"/>
        </w:rPr>
        <w:t xml:space="preserve">): </w:t>
      </w:r>
      <w:r w:rsidR="00AD1CE1" w:rsidRPr="004F370D">
        <w:rPr>
          <w:rFonts w:ascii="Times New Roman" w:hAnsi="Times New Roman" w:cs="Times New Roman"/>
          <w:color w:val="000000" w:themeColor="text1"/>
        </w:rPr>
        <w:t xml:space="preserve">For clinical disease associated with enterovirus infection, Majumdar et al. </w:t>
      </w:r>
      <w:r w:rsidR="00AD1CE1" w:rsidRPr="004F370D">
        <w:rPr>
          <w:rFonts w:ascii="Times New Roman" w:hAnsi="Times New Roman" w:cs="Times New Roman"/>
          <w:color w:val="000000" w:themeColor="text1"/>
        </w:rPr>
        <w:fldChar w:fldCharType="begin"/>
      </w:r>
      <w:r w:rsidR="007F2194">
        <w:rPr>
          <w:rFonts w:ascii="Times New Roman" w:hAnsi="Times New Roman" w:cs="Times New Roman"/>
          <w:color w:val="000000" w:themeColor="text1"/>
        </w:rPr>
        <w:instrText xml:space="preserve"> ADDIN ZOTERO_ITEM CSL_CITATION {"citationID":"fOGmXOPl","properties":{"formattedCitation":"\\super 9\\nosupersub{}","plainCitation":"9","noteIndex":0},"citationItems":[{"id":1723,"uris":["http://zotero.org/users/5061339/items/AC4FBKNH"],"uri":["http://zotero.org/users/5061339/items/AC4FBKNH"],"itemData":{"id":1723,"type":"article-journal","abstract":"Background: Environmental surveillance (ES) is a sensitive method for detecting human enterovirus (HEV) circulation, and it is used worldwide to support global polio eradication. We describe a novel ES approach using next-generation sequencing (NGS) to identify HEVs in sewage samples collected in London, United Kingdom, from June 2016 to May 2017.\nMethods: Two different methods were used to process raw sewage specimens: a 2-phase aqueous separation system and size exclusion by filtration and centrifugation. HEVs were isolated using cell cultures and analyzed using NGS.\nResults: Type 1 and 3 vaccine-like poliovirus (PV) strains were detected in samples collected from September 2016 through January 2017. NGS analysis allowed us to rapidly obtain whole-genome sequences of PV and non-PV HEV strains. As many as 6 virus strains from different HEV serotypes were identified in a single cell culture flask. PV isolates contained only a small number of mutations from vaccine strains commonly seen in early isolates from vaccinees.\nConclusions: Our ES setup has high sensitivity for polio and non-PV HEV detection, generating nearly whole-genome sequence information. Such ES systems provide critical information to assist the polio eradication endgame and contribute to the improvement of our understanding of HEV circulation patterns in humans.","container-title":"The Journal of Infectious Diseases","DOI":"10.1093/infdis/jix667","ISSN":"1537-6613","issue":"8","journalAbbreviation":"J. Infect. Dis.","language":"eng","note":"PMID: 29309594","page":"1222-1230","source":"PubMed","title":"Isolation of Vaccine-Like Poliovirus Strains in Sewage Samples From the United Kingdom","volume":"217","author":[{"family":"Majumdar","given":"Manasi"},{"family":"Klapsa","given":"Dimitra"},{"family":"Wilton","given":"Thomas"},{"family":"Akello","given":"Joyce"},{"family":"Anscombe","given":"Catherine"},{"family":"Allen","given":"David"},{"family":"Mee","given":"Edward T."},{"family":"Minor","given":"Philip D."},{"family":"Martin","given":"Javier"}],"issued":{"date-parts":[["2018",3,28]]}}}],"schema":"https://github.com/citation-style-language/schema/raw/master/csl-citation.json"} </w:instrText>
      </w:r>
      <w:r w:rsidR="00AD1CE1" w:rsidRPr="004F370D">
        <w:rPr>
          <w:rFonts w:ascii="Times New Roman" w:hAnsi="Times New Roman" w:cs="Times New Roman"/>
          <w:color w:val="000000" w:themeColor="text1"/>
        </w:rPr>
        <w:fldChar w:fldCharType="separate"/>
      </w:r>
      <w:r w:rsidR="007F2194" w:rsidRPr="007F2194">
        <w:rPr>
          <w:rFonts w:ascii="Times New Roman" w:hAnsi="Times New Roman" w:cs="Times New Roman"/>
          <w:color w:val="000000"/>
          <w:vertAlign w:val="superscript"/>
          <w:lang w:val="en-US"/>
        </w:rPr>
        <w:t>9</w:t>
      </w:r>
      <w:r w:rsidR="00AD1CE1" w:rsidRPr="004F370D">
        <w:rPr>
          <w:rFonts w:ascii="Times New Roman" w:hAnsi="Times New Roman" w:cs="Times New Roman"/>
          <w:color w:val="000000" w:themeColor="text1"/>
        </w:rPr>
        <w:fldChar w:fldCharType="end"/>
      </w:r>
      <w:r w:rsidR="00AD1CE1" w:rsidRPr="004F370D">
        <w:rPr>
          <w:rFonts w:ascii="Times New Roman" w:hAnsi="Times New Roman" w:cs="Times New Roman"/>
          <w:color w:val="000000" w:themeColor="text1"/>
        </w:rPr>
        <w:t xml:space="preserve"> provide a description of current surveillance activities and report that a large proportion of clinical cases have microbiological samples (stool and CSF) that would enable culture of poliovirus. </w:t>
      </w:r>
      <w:r w:rsidR="009E2560">
        <w:rPr>
          <w:rFonts w:ascii="Times New Roman" w:hAnsi="Times New Roman" w:cs="Times New Roman"/>
          <w:color w:val="000000" w:themeColor="text1"/>
        </w:rPr>
        <w:t>W</w:t>
      </w:r>
      <w:r w:rsidR="00AD1CE1" w:rsidRPr="004F370D">
        <w:rPr>
          <w:rFonts w:ascii="Times New Roman" w:hAnsi="Times New Roman" w:cs="Times New Roman"/>
          <w:color w:val="000000" w:themeColor="text1"/>
        </w:rPr>
        <w:t xml:space="preserve">e </w:t>
      </w:r>
      <w:r w:rsidR="009E2560">
        <w:rPr>
          <w:rFonts w:ascii="Times New Roman" w:hAnsi="Times New Roman" w:cs="Times New Roman"/>
          <w:color w:val="000000" w:themeColor="text1"/>
        </w:rPr>
        <w:t xml:space="preserve">assume </w:t>
      </w:r>
      <w:r w:rsidR="00AD1CE1" w:rsidRPr="004F370D">
        <w:rPr>
          <w:rFonts w:ascii="Times New Roman" w:hAnsi="Times New Roman" w:cs="Times New Roman"/>
          <w:color w:val="000000" w:themeColor="text1"/>
        </w:rPr>
        <w:t>an avera</w:t>
      </w:r>
      <w:r w:rsidR="00AD1CE1" w:rsidRPr="009E2560">
        <w:rPr>
          <w:rFonts w:ascii="Times New Roman" w:hAnsi="Times New Roman" w:cs="Times New Roman"/>
          <w:color w:val="000000" w:themeColor="text1"/>
        </w:rPr>
        <w:t>ge probability of collecting a sample of 0.</w:t>
      </w:r>
      <w:r w:rsidR="009E2560" w:rsidRPr="009E2560">
        <w:rPr>
          <w:rFonts w:ascii="Times New Roman" w:hAnsi="Times New Roman" w:cs="Times New Roman"/>
          <w:color w:val="000000" w:themeColor="text1"/>
        </w:rPr>
        <w:t>8</w:t>
      </w:r>
      <w:r w:rsidR="00AD1CE1" w:rsidRPr="009E2560">
        <w:rPr>
          <w:rFonts w:ascii="Times New Roman" w:hAnsi="Times New Roman" w:cs="Times New Roman"/>
          <w:color w:val="000000" w:themeColor="text1"/>
        </w:rPr>
        <w:t xml:space="preserve"> with</w:t>
      </w:r>
      <w:r w:rsidR="009E2560" w:rsidRPr="009E2560">
        <w:rPr>
          <w:rFonts w:ascii="Times New Roman" w:hAnsi="Times New Roman" w:cs="Times New Roman"/>
          <w:color w:val="000000" w:themeColor="text1"/>
        </w:rPr>
        <w:t xml:space="preserve"> wide confidence intervals</w:t>
      </w:r>
      <w:r w:rsidR="00AD1CE1" w:rsidRPr="009E2560">
        <w:rPr>
          <w:rFonts w:ascii="Times New Roman" w:hAnsi="Times New Roman" w:cs="Times New Roman"/>
          <w:color w:val="000000" w:themeColor="text1"/>
        </w:rPr>
        <w:t xml:space="preserve"> </w:t>
      </w:r>
      <w:r w:rsidR="009E2560" w:rsidRPr="009E2560">
        <w:rPr>
          <w:rFonts w:ascii="Times New Roman" w:hAnsi="Times New Roman" w:cs="Times New Roman"/>
          <w:color w:val="000000" w:themeColor="text1"/>
        </w:rPr>
        <w:t>(</w:t>
      </w:r>
      <w:r w:rsidR="00AD1CE1" w:rsidRPr="009E2560">
        <w:rPr>
          <w:rFonts w:ascii="Times New Roman" w:hAnsi="Times New Roman" w:cs="Times New Roman"/>
          <w:color w:val="000000" w:themeColor="text1"/>
        </w:rPr>
        <w:t>95% CI 0.</w:t>
      </w:r>
      <w:r w:rsidR="009E2560" w:rsidRPr="009E2560">
        <w:rPr>
          <w:rFonts w:ascii="Times New Roman" w:hAnsi="Times New Roman" w:cs="Times New Roman"/>
          <w:color w:val="000000" w:themeColor="text1"/>
        </w:rPr>
        <w:t>5</w:t>
      </w:r>
      <w:r w:rsidR="00AD1CE1" w:rsidRPr="009E2560">
        <w:rPr>
          <w:rFonts w:ascii="Times New Roman" w:hAnsi="Times New Roman" w:cs="Times New Roman"/>
          <w:color w:val="000000" w:themeColor="text1"/>
        </w:rPr>
        <w:t>-0.</w:t>
      </w:r>
      <w:r w:rsidR="009E2560" w:rsidRPr="009E2560">
        <w:rPr>
          <w:rFonts w:ascii="Times New Roman" w:hAnsi="Times New Roman" w:cs="Times New Roman"/>
          <w:color w:val="000000" w:themeColor="text1"/>
        </w:rPr>
        <w:t>95</w:t>
      </w:r>
      <w:r w:rsidR="00AD1CE1" w:rsidRPr="009E2560">
        <w:rPr>
          <w:rFonts w:ascii="Times New Roman" w:hAnsi="Times New Roman" w:cs="Times New Roman"/>
          <w:color w:val="000000" w:themeColor="text1"/>
        </w:rPr>
        <w:t xml:space="preserve"> to account for the large uncertainty in the estimate.</w:t>
      </w:r>
    </w:p>
    <w:p w14:paraId="197CFEC5" w14:textId="765AF3DF" w:rsidR="00D81CDD" w:rsidRPr="004F370D" w:rsidRDefault="00D81CDD" w:rsidP="003D6FBB">
      <w:pPr>
        <w:pStyle w:val="ListParagraph"/>
        <w:numPr>
          <w:ilvl w:val="0"/>
          <w:numId w:val="2"/>
        </w:numPr>
        <w:spacing w:line="276" w:lineRule="auto"/>
        <w:jc w:val="both"/>
        <w:rPr>
          <w:rFonts w:ascii="Times New Roman" w:hAnsi="Times New Roman" w:cs="Times New Roman"/>
          <w:color w:val="000000" w:themeColor="text1"/>
        </w:rPr>
      </w:pPr>
      <w:proofErr w:type="spellStart"/>
      <w:r w:rsidRPr="004F370D">
        <w:rPr>
          <w:rFonts w:ascii="Times New Roman" w:hAnsi="Times New Roman" w:cs="Times New Roman"/>
          <w:color w:val="000000" w:themeColor="text1"/>
        </w:rPr>
        <w:t>Pr</w:t>
      </w:r>
      <w:proofErr w:type="spellEnd"/>
      <w:r w:rsidRPr="004F370D">
        <w:rPr>
          <w:rFonts w:ascii="Times New Roman" w:hAnsi="Times New Roman" w:cs="Times New Roman"/>
          <w:color w:val="000000" w:themeColor="text1"/>
        </w:rPr>
        <w:t>(</w:t>
      </w:r>
      <w:proofErr w:type="spellStart"/>
      <w:r w:rsidRPr="004F370D">
        <w:rPr>
          <w:rFonts w:ascii="Times New Roman" w:hAnsi="Times New Roman" w:cs="Times New Roman"/>
          <w:color w:val="000000" w:themeColor="text1"/>
        </w:rPr>
        <w:t>test</w:t>
      </w:r>
      <w:r w:rsidR="003A48A3">
        <w:rPr>
          <w:rFonts w:ascii="Times New Roman" w:hAnsi="Times New Roman" w:cs="Times New Roman"/>
          <w:color w:val="000000" w:themeColor="text1"/>
          <w:vertAlign w:val="subscript"/>
        </w:rPr>
        <w:t>ENT</w:t>
      </w:r>
      <w:proofErr w:type="spellEnd"/>
      <w:r w:rsidRPr="004F370D">
        <w:rPr>
          <w:rFonts w:ascii="Times New Roman" w:hAnsi="Times New Roman" w:cs="Times New Roman"/>
          <w:color w:val="000000" w:themeColor="text1"/>
        </w:rPr>
        <w:t xml:space="preserve">): </w:t>
      </w:r>
      <w:r w:rsidR="00AD1CE1" w:rsidRPr="004F370D">
        <w:rPr>
          <w:rFonts w:ascii="Times New Roman" w:hAnsi="Times New Roman" w:cs="Times New Roman"/>
          <w:color w:val="000000" w:themeColor="text1"/>
        </w:rPr>
        <w:t xml:space="preserve">The microbiological protocol for clinical samples via </w:t>
      </w:r>
      <w:r w:rsidR="00CC5AC6">
        <w:rPr>
          <w:rFonts w:ascii="Times New Roman" w:hAnsi="Times New Roman" w:cs="Times New Roman"/>
          <w:color w:val="000000" w:themeColor="text1"/>
        </w:rPr>
        <w:t>ENT</w:t>
      </w:r>
      <w:r w:rsidR="00AD1CE1" w:rsidRPr="004F370D">
        <w:rPr>
          <w:rFonts w:ascii="Times New Roman" w:hAnsi="Times New Roman" w:cs="Times New Roman"/>
          <w:color w:val="000000" w:themeColor="text1"/>
        </w:rPr>
        <w:t xml:space="preserve"> surveillance is the same as AFP diagnostics, so the same probabilities are used.</w:t>
      </w:r>
    </w:p>
    <w:p w14:paraId="2F461C2E" w14:textId="77777777" w:rsidR="00D81CDD" w:rsidRPr="004F370D" w:rsidRDefault="00D81CDD" w:rsidP="003D6FBB">
      <w:pPr>
        <w:jc w:val="both"/>
        <w:rPr>
          <w:rFonts w:ascii="Times New Roman" w:hAnsi="Times New Roman" w:cs="Times New Roman"/>
        </w:rPr>
      </w:pPr>
    </w:p>
    <w:p w14:paraId="76413E65" w14:textId="497F0FBA" w:rsidR="00751B9E" w:rsidRPr="004F370D" w:rsidRDefault="00751B9E" w:rsidP="003D6FBB">
      <w:pPr>
        <w:pStyle w:val="Subtitle"/>
        <w:spacing w:line="276" w:lineRule="auto"/>
        <w:jc w:val="both"/>
        <w:rPr>
          <w:rFonts w:ascii="Times New Roman" w:hAnsi="Times New Roman" w:cs="Times New Roman"/>
          <w:color w:val="000000" w:themeColor="text1"/>
        </w:rPr>
      </w:pPr>
      <w:r w:rsidRPr="004F370D">
        <w:rPr>
          <w:rFonts w:ascii="Times New Roman" w:hAnsi="Times New Roman" w:cs="Times New Roman"/>
          <w:color w:val="000000" w:themeColor="text1"/>
        </w:rPr>
        <w:t>Environmental (ENV) Surveillance</w:t>
      </w:r>
    </w:p>
    <w:p w14:paraId="1B7F1B26" w14:textId="594ADFD9" w:rsidR="00751B9E" w:rsidRPr="004F370D" w:rsidRDefault="00842AA3" w:rsidP="003D6FBB">
      <w:pPr>
        <w:pStyle w:val="ListParagraph"/>
        <w:numPr>
          <w:ilvl w:val="0"/>
          <w:numId w:val="3"/>
        </w:numPr>
        <w:spacing w:line="276" w:lineRule="auto"/>
        <w:jc w:val="both"/>
        <w:rPr>
          <w:rFonts w:ascii="Times New Roman" w:hAnsi="Times New Roman" w:cs="Times New Roman"/>
          <w:color w:val="000000" w:themeColor="text1"/>
        </w:rPr>
      </w:pPr>
      <w:proofErr w:type="spellStart"/>
      <w:r w:rsidRPr="004F370D">
        <w:rPr>
          <w:rFonts w:ascii="Times New Roman" w:hAnsi="Times New Roman" w:cs="Times New Roman"/>
          <w:color w:val="000000" w:themeColor="text1"/>
        </w:rPr>
        <w:t>Pr</w:t>
      </w:r>
      <w:proofErr w:type="spellEnd"/>
      <w:r w:rsidRPr="004F370D">
        <w:rPr>
          <w:rFonts w:ascii="Times New Roman" w:hAnsi="Times New Roman" w:cs="Times New Roman"/>
          <w:color w:val="000000" w:themeColor="text1"/>
        </w:rPr>
        <w:t>(</w:t>
      </w:r>
      <w:proofErr w:type="spellStart"/>
      <w:r w:rsidRPr="004F370D">
        <w:rPr>
          <w:rFonts w:ascii="Times New Roman" w:hAnsi="Times New Roman" w:cs="Times New Roman"/>
          <w:color w:val="000000" w:themeColor="text1"/>
        </w:rPr>
        <w:t>shedding</w:t>
      </w:r>
      <w:r w:rsidRPr="004F370D">
        <w:rPr>
          <w:rFonts w:ascii="Times New Roman" w:hAnsi="Times New Roman" w:cs="Times New Roman"/>
          <w:color w:val="000000" w:themeColor="text1"/>
          <w:vertAlign w:val="subscript"/>
        </w:rPr>
        <w:t>EN</w:t>
      </w:r>
      <w:r w:rsidR="003C47F4">
        <w:rPr>
          <w:rFonts w:ascii="Times New Roman" w:hAnsi="Times New Roman" w:cs="Times New Roman"/>
          <w:color w:val="000000" w:themeColor="text1"/>
          <w:vertAlign w:val="subscript"/>
        </w:rPr>
        <w:t>V</w:t>
      </w:r>
      <w:proofErr w:type="spellEnd"/>
      <w:r w:rsidRPr="004F370D">
        <w:rPr>
          <w:rFonts w:ascii="Times New Roman" w:hAnsi="Times New Roman" w:cs="Times New Roman"/>
          <w:color w:val="000000" w:themeColor="text1"/>
        </w:rPr>
        <w:t>): We assume that all individuals infected with poliovirus shed poliovirus in stool.</w:t>
      </w:r>
    </w:p>
    <w:p w14:paraId="0E0946BC" w14:textId="7A0D54A3" w:rsidR="00842AA3" w:rsidRPr="004F370D" w:rsidRDefault="00842AA3" w:rsidP="003D6FBB">
      <w:pPr>
        <w:pStyle w:val="ListParagraph"/>
        <w:numPr>
          <w:ilvl w:val="0"/>
          <w:numId w:val="3"/>
        </w:numPr>
        <w:spacing w:line="276" w:lineRule="auto"/>
        <w:jc w:val="both"/>
        <w:rPr>
          <w:rFonts w:ascii="Times New Roman" w:hAnsi="Times New Roman" w:cs="Times New Roman"/>
          <w:color w:val="000000" w:themeColor="text1"/>
        </w:rPr>
      </w:pPr>
      <w:proofErr w:type="spellStart"/>
      <w:r w:rsidRPr="004F370D">
        <w:rPr>
          <w:rFonts w:ascii="Times New Roman" w:hAnsi="Times New Roman" w:cs="Times New Roman"/>
          <w:color w:val="000000" w:themeColor="text1"/>
        </w:rPr>
        <w:t>Pr</w:t>
      </w:r>
      <w:proofErr w:type="spellEnd"/>
      <w:r w:rsidRPr="004F370D">
        <w:rPr>
          <w:rFonts w:ascii="Times New Roman" w:hAnsi="Times New Roman" w:cs="Times New Roman"/>
          <w:color w:val="000000" w:themeColor="text1"/>
        </w:rPr>
        <w:t>(</w:t>
      </w:r>
      <w:proofErr w:type="spellStart"/>
      <w:r w:rsidRPr="004F370D">
        <w:rPr>
          <w:rFonts w:ascii="Times New Roman" w:hAnsi="Times New Roman" w:cs="Times New Roman"/>
          <w:color w:val="000000" w:themeColor="text1"/>
        </w:rPr>
        <w:t>catchment</w:t>
      </w:r>
      <w:r w:rsidRPr="004F370D">
        <w:rPr>
          <w:rFonts w:ascii="Times New Roman" w:hAnsi="Times New Roman" w:cs="Times New Roman"/>
          <w:color w:val="000000" w:themeColor="text1"/>
          <w:vertAlign w:val="subscript"/>
        </w:rPr>
        <w:t>EN</w:t>
      </w:r>
      <w:r w:rsidR="003C47F4">
        <w:rPr>
          <w:rFonts w:ascii="Times New Roman" w:hAnsi="Times New Roman" w:cs="Times New Roman"/>
          <w:color w:val="000000" w:themeColor="text1"/>
          <w:vertAlign w:val="subscript"/>
        </w:rPr>
        <w:t>V</w:t>
      </w:r>
      <w:proofErr w:type="spellEnd"/>
      <w:r w:rsidRPr="004F370D">
        <w:rPr>
          <w:rFonts w:ascii="Times New Roman" w:hAnsi="Times New Roman" w:cs="Times New Roman"/>
          <w:color w:val="000000" w:themeColor="text1"/>
        </w:rPr>
        <w:t xml:space="preserve">): As sewerage systems in England and Wales consist of a convergent sewer system, we can assume that all waste will eventually reach a sewage processing plant. </w:t>
      </w:r>
      <w:r w:rsidR="006269B4" w:rsidRPr="004F370D">
        <w:rPr>
          <w:rFonts w:ascii="Times New Roman" w:hAnsi="Times New Roman" w:cs="Times New Roman"/>
          <w:color w:val="000000" w:themeColor="text1"/>
        </w:rPr>
        <w:t>Each local authority is assumed to have at most one sewage treatment plant that can be sampled for ENV surveillance. In many areas, for example London, one sewage treatment plant serves several local authorities. Within the framework, if a local authority is assumed to be sampled during ENV surveillance, we assume a probability of 0.8 that the infected individuals would be sampled (to account for time spent outside of the sewage catchment area).</w:t>
      </w:r>
    </w:p>
    <w:p w14:paraId="3F384C89" w14:textId="1E56CAA4" w:rsidR="00842AA3" w:rsidRPr="004F370D" w:rsidRDefault="00842AA3" w:rsidP="003D6FBB">
      <w:pPr>
        <w:pStyle w:val="ListParagraph"/>
        <w:numPr>
          <w:ilvl w:val="0"/>
          <w:numId w:val="3"/>
        </w:numPr>
        <w:spacing w:line="276" w:lineRule="auto"/>
        <w:jc w:val="both"/>
        <w:rPr>
          <w:rFonts w:ascii="Times New Roman" w:hAnsi="Times New Roman" w:cs="Times New Roman"/>
          <w:color w:val="000000" w:themeColor="text1"/>
        </w:rPr>
      </w:pPr>
      <w:proofErr w:type="spellStart"/>
      <w:r w:rsidRPr="004F370D">
        <w:rPr>
          <w:rFonts w:ascii="Times New Roman" w:hAnsi="Times New Roman" w:cs="Times New Roman"/>
          <w:color w:val="000000" w:themeColor="text1"/>
        </w:rPr>
        <w:t>Pr</w:t>
      </w:r>
      <w:proofErr w:type="spellEnd"/>
      <w:r w:rsidRPr="004F370D">
        <w:rPr>
          <w:rFonts w:ascii="Times New Roman" w:hAnsi="Times New Roman" w:cs="Times New Roman"/>
          <w:color w:val="000000" w:themeColor="text1"/>
        </w:rPr>
        <w:t>(</w:t>
      </w:r>
      <w:proofErr w:type="spellStart"/>
      <w:r w:rsidRPr="004F370D">
        <w:rPr>
          <w:rFonts w:ascii="Times New Roman" w:hAnsi="Times New Roman" w:cs="Times New Roman"/>
          <w:color w:val="000000" w:themeColor="text1"/>
        </w:rPr>
        <w:t>sample</w:t>
      </w:r>
      <w:r w:rsidRPr="004F370D">
        <w:rPr>
          <w:rFonts w:ascii="Times New Roman" w:hAnsi="Times New Roman" w:cs="Times New Roman"/>
          <w:color w:val="000000" w:themeColor="text1"/>
          <w:vertAlign w:val="subscript"/>
        </w:rPr>
        <w:t>EN</w:t>
      </w:r>
      <w:r w:rsidR="003C47F4">
        <w:rPr>
          <w:rFonts w:ascii="Times New Roman" w:hAnsi="Times New Roman" w:cs="Times New Roman"/>
          <w:color w:val="000000" w:themeColor="text1"/>
          <w:vertAlign w:val="subscript"/>
        </w:rPr>
        <w:t>V</w:t>
      </w:r>
      <w:proofErr w:type="spellEnd"/>
      <w:r w:rsidRPr="004F370D">
        <w:rPr>
          <w:rFonts w:ascii="Times New Roman" w:hAnsi="Times New Roman" w:cs="Times New Roman"/>
          <w:color w:val="000000" w:themeColor="text1"/>
        </w:rPr>
        <w:t>):</w:t>
      </w:r>
      <w:r w:rsidR="006269B4" w:rsidRPr="004F370D">
        <w:rPr>
          <w:rFonts w:ascii="Times New Roman" w:hAnsi="Times New Roman" w:cs="Times New Roman"/>
          <w:color w:val="000000" w:themeColor="text1"/>
        </w:rPr>
        <w:t xml:space="preserve"> Sampling of wastewater is carried out using a composite sampler, which takes small samples of the wastewater over a 24 hour period </w:t>
      </w:r>
      <w:r w:rsidR="006269B4" w:rsidRPr="004F370D">
        <w:rPr>
          <w:rFonts w:ascii="Times New Roman" w:hAnsi="Times New Roman" w:cs="Times New Roman"/>
          <w:color w:val="000000" w:themeColor="text1"/>
        </w:rPr>
        <w:fldChar w:fldCharType="begin"/>
      </w:r>
      <w:r w:rsidR="007F2194">
        <w:rPr>
          <w:rFonts w:ascii="Times New Roman" w:hAnsi="Times New Roman" w:cs="Times New Roman"/>
          <w:color w:val="000000" w:themeColor="text1"/>
        </w:rPr>
        <w:instrText xml:space="preserve"> ADDIN ZOTERO_ITEM CSL_CITATION {"citationID":"a8j8mrR5","properties":{"formattedCitation":"\\super 9\\nosupersub{}","plainCitation":"9","noteIndex":0},"citationItems":[{"id":1723,"uris":["http://zotero.org/users/5061339/items/AC4FBKNH"],"uri":["http://zotero.org/users/5061339/items/AC4FBKNH"],"itemData":{"id":1723,"type":"article-journal","abstract":"Background: Environmental surveillance (ES) is a sensitive method for detecting human enterovirus (HEV) circulation, and it is used worldwide to support global polio eradication. We describe a novel ES approach using next-generation sequencing (NGS) to identify HEVs in sewage samples collected in London, United Kingdom, from June 2016 to May 2017.\nMethods: Two different methods were used to process raw sewage specimens: a 2-phase aqueous separation system and size exclusion by filtration and centrifugation. HEVs were isolated using cell cultures and analyzed using NGS.\nResults: Type 1 and 3 vaccine-like poliovirus (PV) strains were detected in samples collected from September 2016 through January 2017. NGS analysis allowed us to rapidly obtain whole-genome sequences of PV and non-PV HEV strains. As many as 6 virus strains from different HEV serotypes were identified in a single cell culture flask. PV isolates contained only a small number of mutations from vaccine strains commonly seen in early isolates from vaccinees.\nConclusions: Our ES setup has high sensitivity for polio and non-PV HEV detection, generating nearly whole-genome sequence information. Such ES systems provide critical information to assist the polio eradication endgame and contribute to the improvement of our understanding of HEV circulation patterns in humans.","container-title":"The Journal of Infectious Diseases","DOI":"10.1093/infdis/jix667","ISSN":"1537-6613","issue":"8","journalAbbreviation":"J. Infect. Dis.","language":"eng","note":"PMID: 29309594","page":"1222-1230","source":"PubMed","title":"Isolation of Vaccine-Like Poliovirus Strains in Sewage Samples From the United Kingdom","volume":"217","author":[{"family":"Majumdar","given":"Manasi"},{"family":"Klapsa","given":"Dimitra"},{"family":"Wilton","given":"Thomas"},{"family":"Akello","given":"Joyce"},{"family":"Anscombe","given":"Catherine"},{"family":"Allen","given":"David"},{"family":"Mee","given":"Edward T."},{"family":"Minor","given":"Philip D."},{"family":"Martin","given":"Javier"}],"issued":{"date-parts":[["2018",3,28]]}}}],"schema":"https://github.com/citation-style-language/schema/raw/master/csl-citation.json"} </w:instrText>
      </w:r>
      <w:r w:rsidR="006269B4" w:rsidRPr="004F370D">
        <w:rPr>
          <w:rFonts w:ascii="Times New Roman" w:hAnsi="Times New Roman" w:cs="Times New Roman"/>
          <w:color w:val="000000" w:themeColor="text1"/>
        </w:rPr>
        <w:fldChar w:fldCharType="separate"/>
      </w:r>
      <w:r w:rsidR="007F2194" w:rsidRPr="007F2194">
        <w:rPr>
          <w:rFonts w:ascii="Times New Roman" w:hAnsi="Times New Roman" w:cs="Times New Roman"/>
          <w:color w:val="000000"/>
          <w:vertAlign w:val="superscript"/>
          <w:lang w:val="en-US"/>
        </w:rPr>
        <w:t>9</w:t>
      </w:r>
      <w:r w:rsidR="006269B4" w:rsidRPr="004F370D">
        <w:rPr>
          <w:rFonts w:ascii="Times New Roman" w:hAnsi="Times New Roman" w:cs="Times New Roman"/>
          <w:color w:val="000000" w:themeColor="text1"/>
        </w:rPr>
        <w:fldChar w:fldCharType="end"/>
      </w:r>
      <w:r w:rsidR="006269B4" w:rsidRPr="004F370D">
        <w:rPr>
          <w:rFonts w:ascii="Times New Roman" w:hAnsi="Times New Roman" w:cs="Times New Roman"/>
          <w:color w:val="000000" w:themeColor="text1"/>
        </w:rPr>
        <w:t xml:space="preserve">. </w:t>
      </w:r>
      <w:r w:rsidR="008873AB">
        <w:rPr>
          <w:rFonts w:ascii="Times New Roman" w:hAnsi="Times New Roman" w:cs="Times New Roman"/>
        </w:rPr>
        <w:t>If an individual sheds poliovirus for approximately 16 days,</w:t>
      </w:r>
      <w:r w:rsidR="008873AB">
        <w:rPr>
          <w:rFonts w:ascii="Times New Roman" w:hAnsi="Times New Roman" w:cs="Times New Roman"/>
        </w:rPr>
        <w:fldChar w:fldCharType="begin"/>
      </w:r>
      <w:r w:rsidR="007F2194">
        <w:rPr>
          <w:rFonts w:ascii="Times New Roman" w:hAnsi="Times New Roman" w:cs="Times New Roman"/>
        </w:rPr>
        <w:instrText xml:space="preserve"> ADDIN ZOTERO_ITEM CSL_CITATION {"citationID":"jF6I6RTy","properties":{"formattedCitation":"\\super 3\\nosupersub{}","plainCitation":"3","noteIndex":0},"citationItems":[{"id":637,"uris":["http://zotero.org/users/5061339/items/ZDKMXF6G"],"uri":["http://zotero.org/users/5061339/items/ZDKMXF6G"],"itemData":{"id":637,"type":"article-journal","abstract":"The progress of the Global Polio Eradication Initiative is monitored by acute flaccid paralysis (AFP) surveillance supplemented with environmental surveillance in selected areas. To assess the sensitivity of environmental surveillance, stools from (re)vaccinated elderly persons with a low seroprevalence and from wastewater were concurrently collected and analyzed in the Netherlands over a prolonged period of time. A total number of 228 healthy individuals with different levels of immunity were challenged with monovalent oral polio vaccine serotype 1 or 3. Poliovirus concentrations were determined by the titration of fecal suspensions on poliovirus-sensitive L20B cells and of sewage concentrates by L20B monolayer plaque assay. Almost half of the individuals (45%) shed poliovirus on day 3 after challenge, which peaked (57%) on day 8 with an average poliovirus excretion of 1.3 × 10(5) TCID(50) per g of feces and gradually decreased to less than 5% on day 42. The virus concentrations in sewage peaked on days 6 to 8 at approximately 100 PFU per liter, remained high until day 14, and subsequently decreased to less than 10 PFU per liter on day 29. The estimated poliovirus concentration in sewage approximated the measured initial virus excretion in feces, within 1 log(10) variation, resulting in a sensitivity of detection of 100 infected but mostly asymptomatic individuals in tens of thousands of individuals. An additional second peak observed in sewage may indicate secondary transmission missed by enterovirus or AFP surveillance in patients. This enables the detection of circulating poliovirus by environmental surveillance, supporting its feasibility as an early warning system.","container-title":"Applied and Environmental Microbiology","DOI":"10.1128/AEM.07972-11","ISSN":"00992240","issue":"11","note":"PMID: 22447593","page":"3800–3805","title":"Feasibility of quantitative environmental surveillance in poliovirus eradication strategies","volume":"78","author":[{"family":"Lodder","given":"W. J."},{"family":"Buisman","given":"A. M."},{"family":"Rutjes","given":"S. A."},{"family":"Heijne","given":"J. C."},{"family":"Teunis","given":"P. F."},{"family":"Roda Husman","given":"A. M.","non-dropping-particle":"de"}],"issued":{"date-parts":[["2012"]]}}}],"schema":"https://github.com/citation-style-language/schema/raw/master/csl-citation.json"} </w:instrText>
      </w:r>
      <w:r w:rsidR="008873AB">
        <w:rPr>
          <w:rFonts w:ascii="Times New Roman" w:hAnsi="Times New Roman" w:cs="Times New Roman"/>
        </w:rPr>
        <w:fldChar w:fldCharType="separate"/>
      </w:r>
      <w:r w:rsidR="008873AB" w:rsidRPr="00767815">
        <w:rPr>
          <w:rFonts w:ascii="Times New Roman" w:hAnsi="Times New Roman" w:cs="Times New Roman"/>
          <w:vertAlign w:val="superscript"/>
          <w:lang w:val="en-US"/>
        </w:rPr>
        <w:t>3</w:t>
      </w:r>
      <w:r w:rsidR="008873AB">
        <w:rPr>
          <w:rFonts w:ascii="Times New Roman" w:hAnsi="Times New Roman" w:cs="Times New Roman"/>
        </w:rPr>
        <w:fldChar w:fldCharType="end"/>
      </w:r>
      <w:r w:rsidR="008873AB">
        <w:rPr>
          <w:rFonts w:ascii="Times New Roman" w:hAnsi="Times New Roman" w:cs="Times New Roman"/>
        </w:rPr>
        <w:t xml:space="preserve"> poliovirus could be detected within sewage for up to 23 days from one individual, resulting in a monthly sampling frequency corresponding to a detection probability of (23+1)/30=0.80</w:t>
      </w:r>
      <w:r w:rsidR="008873AB" w:rsidRPr="007B02C5">
        <w:rPr>
          <w:rFonts w:ascii="Times New Roman" w:hAnsi="Times New Roman" w:cs="Times New Roman"/>
        </w:rPr>
        <w:t>.</w:t>
      </w:r>
    </w:p>
    <w:p w14:paraId="7067ED96" w14:textId="3822E749" w:rsidR="00842AA3" w:rsidRDefault="00842AA3" w:rsidP="003D6FBB">
      <w:pPr>
        <w:pStyle w:val="ListParagraph"/>
        <w:numPr>
          <w:ilvl w:val="0"/>
          <w:numId w:val="3"/>
        </w:numPr>
        <w:spacing w:line="276" w:lineRule="auto"/>
        <w:jc w:val="both"/>
        <w:rPr>
          <w:rFonts w:ascii="Times New Roman" w:hAnsi="Times New Roman" w:cs="Times New Roman"/>
          <w:color w:val="000000" w:themeColor="text1"/>
        </w:rPr>
      </w:pPr>
      <w:proofErr w:type="spellStart"/>
      <w:r w:rsidRPr="004F370D">
        <w:rPr>
          <w:rFonts w:ascii="Times New Roman" w:hAnsi="Times New Roman" w:cs="Times New Roman"/>
          <w:color w:val="000000" w:themeColor="text1"/>
        </w:rPr>
        <w:t>Pr</w:t>
      </w:r>
      <w:proofErr w:type="spellEnd"/>
      <w:r w:rsidRPr="004F370D">
        <w:rPr>
          <w:rFonts w:ascii="Times New Roman" w:hAnsi="Times New Roman" w:cs="Times New Roman"/>
          <w:color w:val="000000" w:themeColor="text1"/>
        </w:rPr>
        <w:t>(</w:t>
      </w:r>
      <w:proofErr w:type="spellStart"/>
      <w:r w:rsidRPr="004F370D">
        <w:rPr>
          <w:rFonts w:ascii="Times New Roman" w:hAnsi="Times New Roman" w:cs="Times New Roman"/>
          <w:color w:val="000000" w:themeColor="text1"/>
        </w:rPr>
        <w:t>test</w:t>
      </w:r>
      <w:r w:rsidRPr="004F370D">
        <w:rPr>
          <w:rFonts w:ascii="Times New Roman" w:hAnsi="Times New Roman" w:cs="Times New Roman"/>
          <w:color w:val="000000" w:themeColor="text1"/>
          <w:vertAlign w:val="subscript"/>
        </w:rPr>
        <w:t>EN</w:t>
      </w:r>
      <w:r w:rsidR="003C47F4">
        <w:rPr>
          <w:rFonts w:ascii="Times New Roman" w:hAnsi="Times New Roman" w:cs="Times New Roman"/>
          <w:color w:val="000000" w:themeColor="text1"/>
          <w:vertAlign w:val="subscript"/>
        </w:rPr>
        <w:t>V</w:t>
      </w:r>
      <w:proofErr w:type="spellEnd"/>
      <w:r w:rsidRPr="004F370D">
        <w:rPr>
          <w:rFonts w:ascii="Times New Roman" w:hAnsi="Times New Roman" w:cs="Times New Roman"/>
          <w:color w:val="000000" w:themeColor="text1"/>
        </w:rPr>
        <w:t>)</w:t>
      </w:r>
      <w:r w:rsidR="006269B4" w:rsidRPr="004F370D">
        <w:rPr>
          <w:rFonts w:ascii="Times New Roman" w:hAnsi="Times New Roman" w:cs="Times New Roman"/>
          <w:color w:val="000000" w:themeColor="text1"/>
        </w:rPr>
        <w:t xml:space="preserve">; The microbiological protocol for clinical samples via ENV surveillance is similar as AFP diagnostics, with an added concentration step (2-phase </w:t>
      </w:r>
      <w:r w:rsidR="006A4FED" w:rsidRPr="004F370D">
        <w:rPr>
          <w:rFonts w:ascii="Times New Roman" w:hAnsi="Times New Roman" w:cs="Times New Roman"/>
          <w:color w:val="000000" w:themeColor="text1"/>
        </w:rPr>
        <w:t>separation</w:t>
      </w:r>
      <w:r w:rsidR="006269B4" w:rsidRPr="004F370D">
        <w:rPr>
          <w:rFonts w:ascii="Times New Roman" w:hAnsi="Times New Roman" w:cs="Times New Roman"/>
          <w:color w:val="000000" w:themeColor="text1"/>
        </w:rPr>
        <w:t>)</w:t>
      </w:r>
      <w:r w:rsidR="006A4FED" w:rsidRPr="004F370D">
        <w:rPr>
          <w:rFonts w:ascii="Times New Roman" w:hAnsi="Times New Roman" w:cs="Times New Roman"/>
          <w:color w:val="000000" w:themeColor="text1"/>
        </w:rPr>
        <w:t xml:space="preserve"> </w:t>
      </w:r>
      <w:r w:rsidR="006A4FED" w:rsidRPr="004F370D">
        <w:rPr>
          <w:rFonts w:ascii="Times New Roman" w:hAnsi="Times New Roman" w:cs="Times New Roman"/>
          <w:color w:val="000000" w:themeColor="text1"/>
        </w:rPr>
        <w:fldChar w:fldCharType="begin"/>
      </w:r>
      <w:r w:rsidR="007F2194">
        <w:rPr>
          <w:rFonts w:ascii="Times New Roman" w:hAnsi="Times New Roman" w:cs="Times New Roman"/>
          <w:color w:val="000000" w:themeColor="text1"/>
        </w:rPr>
        <w:instrText xml:space="preserve"> ADDIN ZOTERO_ITEM CSL_CITATION {"citationID":"ptYTL1pD","properties":{"formattedCitation":"\\super 9\\nosupersub{}","plainCitation":"9","noteIndex":0},"citationItems":[{"id":1723,"uris":["http://zotero.org/users/5061339/items/AC4FBKNH"],"uri":["http://zotero.org/users/5061339/items/AC4FBKNH"],"itemData":{"id":1723,"type":"article-journal","abstract":"Background: Environmental surveillance (ES) is a sensitive method for detecting human enterovirus (HEV) circulation, and it is used worldwide to support global polio eradication. We describe a novel ES approach using next-generation sequencing (NGS) to identify HEVs in sewage samples collected in London, United Kingdom, from June 2016 to May 2017.\nMethods: Two different methods were used to process raw sewage specimens: a 2-phase aqueous separation system and size exclusion by filtration and centrifugation. HEVs were isolated using cell cultures and analyzed using NGS.\nResults: Type 1 and 3 vaccine-like poliovirus (PV) strains were detected in samples collected from September 2016 through January 2017. NGS analysis allowed us to rapidly obtain whole-genome sequences of PV and non-PV HEV strains. As many as 6 virus strains from different HEV serotypes were identified in a single cell culture flask. PV isolates contained only a small number of mutations from vaccine strains commonly seen in early isolates from vaccinees.\nConclusions: Our ES setup has high sensitivity for polio and non-PV HEV detection, generating nearly whole-genome sequence information. Such ES systems provide critical information to assist the polio eradication endgame and contribute to the improvement of our understanding of HEV circulation patterns in humans.","container-title":"The Journal of Infectious Diseases","DOI":"10.1093/infdis/jix667","ISSN":"1537-6613","issue":"8","journalAbbreviation":"J. Infect. Dis.","language":"eng","note":"PMID: 29309594","page":"1222-1230","source":"PubMed","title":"Isolation of Vaccine-Like Poliovirus Strains in Sewage Samples From the United Kingdom","volume":"217","author":[{"family":"Majumdar","given":"Manasi"},{"family":"Klapsa","given":"Dimitra"},{"family":"Wilton","given":"Thomas"},{"family":"Akello","given":"Joyce"},{"family":"Anscombe","given":"Catherine"},{"family":"Allen","given":"David"},{"family":"Mee","given":"Edward T."},{"family":"Minor","given":"Philip D."},{"family":"Martin","given":"Javier"}],"issued":{"date-parts":[["2018",3,28]]}}}],"schema":"https://github.com/citation-style-language/schema/raw/master/csl-citation.json"} </w:instrText>
      </w:r>
      <w:r w:rsidR="006A4FED" w:rsidRPr="004F370D">
        <w:rPr>
          <w:rFonts w:ascii="Times New Roman" w:hAnsi="Times New Roman" w:cs="Times New Roman"/>
          <w:color w:val="000000" w:themeColor="text1"/>
        </w:rPr>
        <w:fldChar w:fldCharType="separate"/>
      </w:r>
      <w:r w:rsidR="007F2194" w:rsidRPr="007F2194">
        <w:rPr>
          <w:rFonts w:ascii="Times New Roman" w:hAnsi="Times New Roman" w:cs="Times New Roman"/>
          <w:color w:val="000000"/>
          <w:vertAlign w:val="superscript"/>
          <w:lang w:val="en-US"/>
        </w:rPr>
        <w:t>9</w:t>
      </w:r>
      <w:r w:rsidR="006A4FED" w:rsidRPr="004F370D">
        <w:rPr>
          <w:rFonts w:ascii="Times New Roman" w:hAnsi="Times New Roman" w:cs="Times New Roman"/>
          <w:color w:val="000000" w:themeColor="text1"/>
        </w:rPr>
        <w:fldChar w:fldCharType="end"/>
      </w:r>
      <w:r w:rsidR="006269B4" w:rsidRPr="004F370D">
        <w:rPr>
          <w:rFonts w:ascii="Times New Roman" w:hAnsi="Times New Roman" w:cs="Times New Roman"/>
          <w:color w:val="000000" w:themeColor="text1"/>
        </w:rPr>
        <w:t>.</w:t>
      </w:r>
      <w:r w:rsidR="006A4FED" w:rsidRPr="004F370D">
        <w:rPr>
          <w:rFonts w:ascii="Times New Roman" w:hAnsi="Times New Roman" w:cs="Times New Roman"/>
          <w:color w:val="000000" w:themeColor="text1"/>
        </w:rPr>
        <w:t xml:space="preserve"> It is not thought that the concentration step reduced detection sensitivity, but the large amount of contamination from mixed sewage may reduce culture success of poliovirus.</w:t>
      </w:r>
    </w:p>
    <w:p w14:paraId="174A2ABC" w14:textId="374401EE" w:rsidR="00FD5261" w:rsidRDefault="00FD5261" w:rsidP="003D6FBB">
      <w:pPr>
        <w:spacing w:line="276" w:lineRule="auto"/>
        <w:jc w:val="both"/>
        <w:rPr>
          <w:rFonts w:ascii="Times New Roman" w:hAnsi="Times New Roman" w:cs="Times New Roman"/>
          <w:color w:val="000000" w:themeColor="text1"/>
        </w:rPr>
      </w:pPr>
    </w:p>
    <w:p w14:paraId="470AEAF7" w14:textId="7391B658" w:rsidR="00FD5261" w:rsidRDefault="00FD5261" w:rsidP="003D6FBB">
      <w:pPr>
        <w:spacing w:line="276" w:lineRule="auto"/>
        <w:jc w:val="both"/>
        <w:rPr>
          <w:rFonts w:ascii="Times New Roman" w:hAnsi="Times New Roman" w:cs="Times New Roman"/>
          <w:color w:val="000000" w:themeColor="text1"/>
        </w:rPr>
      </w:pPr>
      <w:r>
        <w:rPr>
          <w:rFonts w:ascii="Times New Roman" w:hAnsi="Times New Roman" w:cs="Times New Roman"/>
          <w:color w:val="000000" w:themeColor="text1"/>
        </w:rPr>
        <w:t>References</w:t>
      </w:r>
    </w:p>
    <w:p w14:paraId="380D4687" w14:textId="70578CEB" w:rsidR="00FD5261" w:rsidRDefault="00FD5261" w:rsidP="003D6FBB">
      <w:pPr>
        <w:spacing w:line="276" w:lineRule="auto"/>
        <w:jc w:val="both"/>
        <w:rPr>
          <w:rFonts w:ascii="Times New Roman" w:hAnsi="Times New Roman" w:cs="Times New Roman"/>
          <w:color w:val="000000" w:themeColor="text1"/>
        </w:rPr>
      </w:pPr>
    </w:p>
    <w:p w14:paraId="4F97D89D" w14:textId="77777777" w:rsidR="007F2194" w:rsidRPr="007F2194" w:rsidRDefault="00FD5261" w:rsidP="003D6FBB">
      <w:pPr>
        <w:pStyle w:val="Bibliography"/>
        <w:jc w:val="both"/>
        <w:rPr>
          <w:rFonts w:ascii="Times New Roman" w:hAnsi="Times New Roman" w:cs="Times New Roman"/>
          <w:color w:val="000000"/>
          <w:lang w:val="en-US"/>
        </w:rPr>
      </w:pPr>
      <w:r>
        <w:rPr>
          <w:color w:val="000000" w:themeColor="text1"/>
        </w:rPr>
        <w:fldChar w:fldCharType="begin"/>
      </w:r>
      <w:r>
        <w:rPr>
          <w:color w:val="000000" w:themeColor="text1"/>
        </w:rPr>
        <w:instrText xml:space="preserve"> ADDIN ZOTERO_BIBL {"uncited":[],"omitted":[],"custom":[]} CSL_BIBLIOGRAPHY </w:instrText>
      </w:r>
      <w:r>
        <w:rPr>
          <w:color w:val="000000" w:themeColor="text1"/>
        </w:rPr>
        <w:fldChar w:fldCharType="separate"/>
      </w:r>
      <w:r w:rsidR="007F2194" w:rsidRPr="007F2194">
        <w:rPr>
          <w:rFonts w:ascii="Times New Roman" w:hAnsi="Times New Roman" w:cs="Times New Roman"/>
          <w:color w:val="000000"/>
          <w:lang w:val="en-US"/>
        </w:rPr>
        <w:t>1.</w:t>
      </w:r>
      <w:r w:rsidR="007F2194" w:rsidRPr="007F2194">
        <w:rPr>
          <w:rFonts w:ascii="Times New Roman" w:hAnsi="Times New Roman" w:cs="Times New Roman"/>
          <w:color w:val="000000"/>
          <w:lang w:val="en-US"/>
        </w:rPr>
        <w:tab/>
        <w:t xml:space="preserve">Hird, T. R. &amp; Grassly, N. C. Systematic review of mucosal immunity induced by oral and inactivated poliovirus vaccines against virus shedding following oral poliovirus challenge. </w:t>
      </w:r>
      <w:r w:rsidR="007F2194" w:rsidRPr="007F2194">
        <w:rPr>
          <w:rFonts w:ascii="Times New Roman" w:hAnsi="Times New Roman" w:cs="Times New Roman"/>
          <w:i/>
          <w:iCs/>
          <w:color w:val="000000"/>
          <w:lang w:val="en-US"/>
        </w:rPr>
        <w:t>PLoS Pathog.</w:t>
      </w:r>
      <w:r w:rsidR="007F2194" w:rsidRPr="007F2194">
        <w:rPr>
          <w:rFonts w:ascii="Times New Roman" w:hAnsi="Times New Roman" w:cs="Times New Roman"/>
          <w:color w:val="000000"/>
          <w:lang w:val="en-US"/>
        </w:rPr>
        <w:t xml:space="preserve"> </w:t>
      </w:r>
      <w:r w:rsidR="007F2194" w:rsidRPr="007F2194">
        <w:rPr>
          <w:rFonts w:ascii="Times New Roman" w:hAnsi="Times New Roman" w:cs="Times New Roman"/>
          <w:b/>
          <w:bCs/>
          <w:color w:val="000000"/>
          <w:lang w:val="en-US"/>
        </w:rPr>
        <w:t>8</w:t>
      </w:r>
      <w:r w:rsidR="007F2194" w:rsidRPr="007F2194">
        <w:rPr>
          <w:rFonts w:ascii="Times New Roman" w:hAnsi="Times New Roman" w:cs="Times New Roman"/>
          <w:color w:val="000000"/>
          <w:lang w:val="en-US"/>
        </w:rPr>
        <w:t>, (2012).</w:t>
      </w:r>
    </w:p>
    <w:p w14:paraId="0F5DD4FB" w14:textId="77777777" w:rsidR="007F2194" w:rsidRPr="007F2194" w:rsidRDefault="007F2194" w:rsidP="003D6FBB">
      <w:pPr>
        <w:pStyle w:val="Bibliography"/>
        <w:jc w:val="both"/>
        <w:rPr>
          <w:rFonts w:ascii="Times New Roman" w:hAnsi="Times New Roman" w:cs="Times New Roman"/>
          <w:color w:val="000000"/>
          <w:lang w:val="en-US"/>
        </w:rPr>
      </w:pPr>
      <w:r w:rsidRPr="007F2194">
        <w:rPr>
          <w:rFonts w:ascii="Times New Roman" w:hAnsi="Times New Roman" w:cs="Times New Roman"/>
          <w:color w:val="000000"/>
          <w:lang w:val="en-US"/>
        </w:rPr>
        <w:lastRenderedPageBreak/>
        <w:t>2.</w:t>
      </w:r>
      <w:r w:rsidRPr="007F2194">
        <w:rPr>
          <w:rFonts w:ascii="Times New Roman" w:hAnsi="Times New Roman" w:cs="Times New Roman"/>
          <w:color w:val="000000"/>
          <w:lang w:val="en-US"/>
        </w:rPr>
        <w:tab/>
        <w:t>Cameron, A., Njeumi, F., Chibeu, D &amp; Martin, T. RISK-BASED DISEASE SURVEILLANCE.</w:t>
      </w:r>
    </w:p>
    <w:p w14:paraId="1DC061C6" w14:textId="77777777" w:rsidR="007F2194" w:rsidRPr="007F2194" w:rsidRDefault="007F2194" w:rsidP="003D6FBB">
      <w:pPr>
        <w:pStyle w:val="Bibliography"/>
        <w:jc w:val="both"/>
        <w:rPr>
          <w:rFonts w:ascii="Times New Roman" w:hAnsi="Times New Roman" w:cs="Times New Roman"/>
          <w:color w:val="000000"/>
          <w:lang w:val="en-US"/>
        </w:rPr>
      </w:pPr>
      <w:r w:rsidRPr="007F2194">
        <w:rPr>
          <w:rFonts w:ascii="Times New Roman" w:hAnsi="Times New Roman" w:cs="Times New Roman"/>
          <w:color w:val="000000"/>
          <w:lang w:val="en-US"/>
        </w:rPr>
        <w:t>3.</w:t>
      </w:r>
      <w:r w:rsidRPr="007F2194">
        <w:rPr>
          <w:rFonts w:ascii="Times New Roman" w:hAnsi="Times New Roman" w:cs="Times New Roman"/>
          <w:color w:val="000000"/>
          <w:lang w:val="en-US"/>
        </w:rPr>
        <w:tab/>
        <w:t xml:space="preserve">Lodder, W. J. </w:t>
      </w:r>
      <w:r w:rsidRPr="007F2194">
        <w:rPr>
          <w:rFonts w:ascii="Times New Roman" w:hAnsi="Times New Roman" w:cs="Times New Roman"/>
          <w:i/>
          <w:iCs/>
          <w:color w:val="000000"/>
          <w:lang w:val="en-US"/>
        </w:rPr>
        <w:t>et al.</w:t>
      </w:r>
      <w:r w:rsidRPr="007F2194">
        <w:rPr>
          <w:rFonts w:ascii="Times New Roman" w:hAnsi="Times New Roman" w:cs="Times New Roman"/>
          <w:color w:val="000000"/>
          <w:lang w:val="en-US"/>
        </w:rPr>
        <w:t xml:space="preserve"> Feasibility of quantitative environmental surveillance in poliovirus eradication strategies. </w:t>
      </w:r>
      <w:r w:rsidRPr="007F2194">
        <w:rPr>
          <w:rFonts w:ascii="Times New Roman" w:hAnsi="Times New Roman" w:cs="Times New Roman"/>
          <w:i/>
          <w:iCs/>
          <w:color w:val="000000"/>
          <w:lang w:val="en-US"/>
        </w:rPr>
        <w:t>Appl. Environ. Microbiol.</w:t>
      </w:r>
      <w:r w:rsidRPr="007F2194">
        <w:rPr>
          <w:rFonts w:ascii="Times New Roman" w:hAnsi="Times New Roman" w:cs="Times New Roman"/>
          <w:color w:val="000000"/>
          <w:lang w:val="en-US"/>
        </w:rPr>
        <w:t xml:space="preserve"> </w:t>
      </w:r>
      <w:r w:rsidRPr="007F2194">
        <w:rPr>
          <w:rFonts w:ascii="Times New Roman" w:hAnsi="Times New Roman" w:cs="Times New Roman"/>
          <w:b/>
          <w:bCs/>
          <w:color w:val="000000"/>
          <w:lang w:val="en-US"/>
        </w:rPr>
        <w:t>78</w:t>
      </w:r>
      <w:r w:rsidRPr="007F2194">
        <w:rPr>
          <w:rFonts w:ascii="Times New Roman" w:hAnsi="Times New Roman" w:cs="Times New Roman"/>
          <w:color w:val="000000"/>
          <w:lang w:val="en-US"/>
        </w:rPr>
        <w:t>, 3800–3805 (2012).</w:t>
      </w:r>
    </w:p>
    <w:p w14:paraId="7873B26E" w14:textId="77777777" w:rsidR="007F2194" w:rsidRPr="007F2194" w:rsidRDefault="007F2194" w:rsidP="003D6FBB">
      <w:pPr>
        <w:pStyle w:val="Bibliography"/>
        <w:jc w:val="both"/>
        <w:rPr>
          <w:rFonts w:ascii="Times New Roman" w:hAnsi="Times New Roman" w:cs="Times New Roman"/>
          <w:color w:val="000000"/>
          <w:lang w:val="en-US"/>
        </w:rPr>
      </w:pPr>
      <w:r w:rsidRPr="007F2194">
        <w:rPr>
          <w:rFonts w:ascii="Times New Roman" w:hAnsi="Times New Roman" w:cs="Times New Roman"/>
          <w:color w:val="000000"/>
          <w:lang w:val="en-US"/>
        </w:rPr>
        <w:t>4.</w:t>
      </w:r>
      <w:r w:rsidRPr="007F2194">
        <w:rPr>
          <w:rFonts w:ascii="Times New Roman" w:hAnsi="Times New Roman" w:cs="Times New Roman"/>
          <w:color w:val="000000"/>
          <w:lang w:val="en-US"/>
        </w:rPr>
        <w:tab/>
        <w:t xml:space="preserve">Hovi, T., Stenvik, M., Partanen, H. &amp; Kangas, A. Poliovirus surveillance by examining sewage specimens. Quantitative recovery of virus after introduction into sewerage at remote upstream location. </w:t>
      </w:r>
      <w:r w:rsidRPr="007F2194">
        <w:rPr>
          <w:rFonts w:ascii="Times New Roman" w:hAnsi="Times New Roman" w:cs="Times New Roman"/>
          <w:i/>
          <w:iCs/>
          <w:color w:val="000000"/>
          <w:lang w:val="en-US"/>
        </w:rPr>
        <w:t>Epidemiol. Infect.</w:t>
      </w:r>
      <w:r w:rsidRPr="007F2194">
        <w:rPr>
          <w:rFonts w:ascii="Times New Roman" w:hAnsi="Times New Roman" w:cs="Times New Roman"/>
          <w:color w:val="000000"/>
          <w:lang w:val="en-US"/>
        </w:rPr>
        <w:t xml:space="preserve"> </w:t>
      </w:r>
      <w:r w:rsidRPr="007F2194">
        <w:rPr>
          <w:rFonts w:ascii="Times New Roman" w:hAnsi="Times New Roman" w:cs="Times New Roman"/>
          <w:b/>
          <w:bCs/>
          <w:color w:val="000000"/>
          <w:lang w:val="en-US"/>
        </w:rPr>
        <w:t>127</w:t>
      </w:r>
      <w:r w:rsidRPr="007F2194">
        <w:rPr>
          <w:rFonts w:ascii="Times New Roman" w:hAnsi="Times New Roman" w:cs="Times New Roman"/>
          <w:color w:val="000000"/>
          <w:lang w:val="en-US"/>
        </w:rPr>
        <w:t>, 101–106 (2001).</w:t>
      </w:r>
    </w:p>
    <w:p w14:paraId="09912D6F" w14:textId="77777777" w:rsidR="007F2194" w:rsidRPr="007F2194" w:rsidRDefault="007F2194" w:rsidP="003D6FBB">
      <w:pPr>
        <w:pStyle w:val="Bibliography"/>
        <w:jc w:val="both"/>
        <w:rPr>
          <w:rFonts w:ascii="Times New Roman" w:hAnsi="Times New Roman" w:cs="Times New Roman"/>
          <w:color w:val="000000"/>
          <w:lang w:val="en-US"/>
        </w:rPr>
      </w:pPr>
      <w:r w:rsidRPr="007F2194">
        <w:rPr>
          <w:rFonts w:ascii="Times New Roman" w:hAnsi="Times New Roman" w:cs="Times New Roman"/>
          <w:color w:val="000000"/>
          <w:lang w:val="en-US"/>
        </w:rPr>
        <w:t>5.</w:t>
      </w:r>
      <w:r w:rsidRPr="007F2194">
        <w:rPr>
          <w:rFonts w:ascii="Times New Roman" w:hAnsi="Times New Roman" w:cs="Times New Roman"/>
          <w:color w:val="000000"/>
          <w:lang w:val="en-US"/>
        </w:rPr>
        <w:tab/>
        <w:t xml:space="preserve">Nathanson, N. &amp; Kew, O. M. From emergence to eradication: the epidemiology of poliomyelitis deconstructed. </w:t>
      </w:r>
      <w:r w:rsidRPr="007F2194">
        <w:rPr>
          <w:rFonts w:ascii="Times New Roman" w:hAnsi="Times New Roman" w:cs="Times New Roman"/>
          <w:i/>
          <w:iCs/>
          <w:color w:val="000000"/>
          <w:lang w:val="en-US"/>
        </w:rPr>
        <w:t>Am. J. Epidemiol.</w:t>
      </w:r>
      <w:r w:rsidRPr="007F2194">
        <w:rPr>
          <w:rFonts w:ascii="Times New Roman" w:hAnsi="Times New Roman" w:cs="Times New Roman"/>
          <w:color w:val="000000"/>
          <w:lang w:val="en-US"/>
        </w:rPr>
        <w:t xml:space="preserve"> </w:t>
      </w:r>
      <w:r w:rsidRPr="007F2194">
        <w:rPr>
          <w:rFonts w:ascii="Times New Roman" w:hAnsi="Times New Roman" w:cs="Times New Roman"/>
          <w:b/>
          <w:bCs/>
          <w:color w:val="000000"/>
          <w:lang w:val="en-US"/>
        </w:rPr>
        <w:t>172</w:t>
      </w:r>
      <w:r w:rsidRPr="007F2194">
        <w:rPr>
          <w:rFonts w:ascii="Times New Roman" w:hAnsi="Times New Roman" w:cs="Times New Roman"/>
          <w:color w:val="000000"/>
          <w:lang w:val="en-US"/>
        </w:rPr>
        <w:t>, 1213–1229 (2010).</w:t>
      </w:r>
    </w:p>
    <w:p w14:paraId="2188BE63" w14:textId="77777777" w:rsidR="007F2194" w:rsidRPr="007F2194" w:rsidRDefault="007F2194" w:rsidP="003D6FBB">
      <w:pPr>
        <w:pStyle w:val="Bibliography"/>
        <w:jc w:val="both"/>
        <w:rPr>
          <w:rFonts w:ascii="Times New Roman" w:hAnsi="Times New Roman" w:cs="Times New Roman"/>
          <w:color w:val="000000"/>
          <w:lang w:val="en-US"/>
        </w:rPr>
      </w:pPr>
      <w:r w:rsidRPr="007F2194">
        <w:rPr>
          <w:rFonts w:ascii="Times New Roman" w:hAnsi="Times New Roman" w:cs="Times New Roman"/>
          <w:color w:val="000000"/>
          <w:lang w:val="en-US"/>
        </w:rPr>
        <w:t>6.</w:t>
      </w:r>
      <w:r w:rsidRPr="007F2194">
        <w:rPr>
          <w:rFonts w:ascii="Times New Roman" w:hAnsi="Times New Roman" w:cs="Times New Roman"/>
          <w:color w:val="000000"/>
          <w:lang w:val="en-US"/>
        </w:rPr>
        <w:tab/>
        <w:t xml:space="preserve">Salisbury, D. M., Ramsay, M. E., White, J. M. &amp; Brown, D. W. Polio eradication: surveillance implications for the United Kingdom. </w:t>
      </w:r>
      <w:r w:rsidRPr="007F2194">
        <w:rPr>
          <w:rFonts w:ascii="Times New Roman" w:hAnsi="Times New Roman" w:cs="Times New Roman"/>
          <w:i/>
          <w:iCs/>
          <w:color w:val="000000"/>
          <w:lang w:val="en-US"/>
        </w:rPr>
        <w:t>J. Infect. Dis.</w:t>
      </w:r>
      <w:r w:rsidRPr="007F2194">
        <w:rPr>
          <w:rFonts w:ascii="Times New Roman" w:hAnsi="Times New Roman" w:cs="Times New Roman"/>
          <w:color w:val="000000"/>
          <w:lang w:val="en-US"/>
        </w:rPr>
        <w:t xml:space="preserve"> </w:t>
      </w:r>
      <w:r w:rsidRPr="007F2194">
        <w:rPr>
          <w:rFonts w:ascii="Times New Roman" w:hAnsi="Times New Roman" w:cs="Times New Roman"/>
          <w:b/>
          <w:bCs/>
          <w:color w:val="000000"/>
          <w:lang w:val="en-US"/>
        </w:rPr>
        <w:t>175 Suppl 1</w:t>
      </w:r>
      <w:r w:rsidRPr="007F2194">
        <w:rPr>
          <w:rFonts w:ascii="Times New Roman" w:hAnsi="Times New Roman" w:cs="Times New Roman"/>
          <w:color w:val="000000"/>
          <w:lang w:val="en-US"/>
        </w:rPr>
        <w:t>, S156-159 (1997).</w:t>
      </w:r>
    </w:p>
    <w:p w14:paraId="15FCA53F" w14:textId="77777777" w:rsidR="007F2194" w:rsidRPr="007F2194" w:rsidRDefault="007F2194" w:rsidP="003D6FBB">
      <w:pPr>
        <w:pStyle w:val="Bibliography"/>
        <w:jc w:val="both"/>
        <w:rPr>
          <w:rFonts w:ascii="Times New Roman" w:hAnsi="Times New Roman" w:cs="Times New Roman"/>
          <w:color w:val="000000"/>
          <w:lang w:val="en-US"/>
        </w:rPr>
      </w:pPr>
      <w:r w:rsidRPr="007F2194">
        <w:rPr>
          <w:rFonts w:ascii="Times New Roman" w:hAnsi="Times New Roman" w:cs="Times New Roman"/>
          <w:color w:val="000000"/>
          <w:lang w:val="en-US"/>
        </w:rPr>
        <w:t>7.</w:t>
      </w:r>
      <w:r w:rsidRPr="007F2194">
        <w:rPr>
          <w:rFonts w:ascii="Times New Roman" w:hAnsi="Times New Roman" w:cs="Times New Roman"/>
          <w:color w:val="000000"/>
          <w:lang w:val="en-US"/>
        </w:rPr>
        <w:tab/>
        <w:t xml:space="preserve">Gerloff, N. </w:t>
      </w:r>
      <w:r w:rsidRPr="007F2194">
        <w:rPr>
          <w:rFonts w:ascii="Times New Roman" w:hAnsi="Times New Roman" w:cs="Times New Roman"/>
          <w:i/>
          <w:iCs/>
          <w:color w:val="000000"/>
          <w:lang w:val="en-US"/>
        </w:rPr>
        <w:t>et al.</w:t>
      </w:r>
      <w:r w:rsidRPr="007F2194">
        <w:rPr>
          <w:rFonts w:ascii="Times New Roman" w:hAnsi="Times New Roman" w:cs="Times New Roman"/>
          <w:color w:val="000000"/>
          <w:lang w:val="en-US"/>
        </w:rPr>
        <w:t xml:space="preserve"> Diagnostic Assay Development for Poliovirus Eradication. </w:t>
      </w:r>
      <w:r w:rsidRPr="007F2194">
        <w:rPr>
          <w:rFonts w:ascii="Times New Roman" w:hAnsi="Times New Roman" w:cs="Times New Roman"/>
          <w:i/>
          <w:iCs/>
          <w:color w:val="000000"/>
          <w:lang w:val="en-US"/>
        </w:rPr>
        <w:t>J. Clin. Microbiol.</w:t>
      </w:r>
      <w:r w:rsidRPr="007F2194">
        <w:rPr>
          <w:rFonts w:ascii="Times New Roman" w:hAnsi="Times New Roman" w:cs="Times New Roman"/>
          <w:color w:val="000000"/>
          <w:lang w:val="en-US"/>
        </w:rPr>
        <w:t xml:space="preserve"> </w:t>
      </w:r>
      <w:r w:rsidRPr="007F2194">
        <w:rPr>
          <w:rFonts w:ascii="Times New Roman" w:hAnsi="Times New Roman" w:cs="Times New Roman"/>
          <w:b/>
          <w:bCs/>
          <w:color w:val="000000"/>
          <w:lang w:val="en-US"/>
        </w:rPr>
        <w:t>56</w:t>
      </w:r>
      <w:r w:rsidRPr="007F2194">
        <w:rPr>
          <w:rFonts w:ascii="Times New Roman" w:hAnsi="Times New Roman" w:cs="Times New Roman"/>
          <w:color w:val="000000"/>
          <w:lang w:val="en-US"/>
        </w:rPr>
        <w:t>, (2018).</w:t>
      </w:r>
    </w:p>
    <w:p w14:paraId="185C2E17" w14:textId="3B16DA09" w:rsidR="007F2194" w:rsidRDefault="007F2194" w:rsidP="003D6FBB">
      <w:pPr>
        <w:pStyle w:val="Bibliography"/>
        <w:jc w:val="both"/>
        <w:rPr>
          <w:rFonts w:ascii="Times New Roman" w:hAnsi="Times New Roman" w:cs="Times New Roman"/>
          <w:color w:val="000000"/>
          <w:lang w:val="en-US"/>
        </w:rPr>
      </w:pPr>
      <w:r w:rsidRPr="007F2194">
        <w:rPr>
          <w:rFonts w:ascii="Times New Roman" w:hAnsi="Times New Roman" w:cs="Times New Roman"/>
          <w:color w:val="000000"/>
          <w:lang w:val="en-US"/>
        </w:rPr>
        <w:t>8.</w:t>
      </w:r>
      <w:r w:rsidRPr="007F2194">
        <w:rPr>
          <w:rFonts w:ascii="Times New Roman" w:hAnsi="Times New Roman" w:cs="Times New Roman"/>
          <w:color w:val="000000"/>
          <w:lang w:val="en-US"/>
        </w:rPr>
        <w:tab/>
        <w:t xml:space="preserve">Mehndiratta, M. M., Mehndiratta, P. &amp; Pande, R. Poliomyelitis. </w:t>
      </w:r>
      <w:r w:rsidRPr="007F2194">
        <w:rPr>
          <w:rFonts w:ascii="Times New Roman" w:hAnsi="Times New Roman" w:cs="Times New Roman"/>
          <w:i/>
          <w:iCs/>
          <w:color w:val="000000"/>
          <w:lang w:val="en-US"/>
        </w:rPr>
        <w:t>The Neurohospitalist</w:t>
      </w:r>
      <w:r w:rsidRPr="007F2194">
        <w:rPr>
          <w:rFonts w:ascii="Times New Roman" w:hAnsi="Times New Roman" w:cs="Times New Roman"/>
          <w:color w:val="000000"/>
          <w:lang w:val="en-US"/>
        </w:rPr>
        <w:t xml:space="preserve"> </w:t>
      </w:r>
      <w:r w:rsidRPr="007F2194">
        <w:rPr>
          <w:rFonts w:ascii="Times New Roman" w:hAnsi="Times New Roman" w:cs="Times New Roman"/>
          <w:b/>
          <w:bCs/>
          <w:color w:val="000000"/>
          <w:lang w:val="en-US"/>
        </w:rPr>
        <w:t>4</w:t>
      </w:r>
      <w:r w:rsidRPr="007F2194">
        <w:rPr>
          <w:rFonts w:ascii="Times New Roman" w:hAnsi="Times New Roman" w:cs="Times New Roman"/>
          <w:color w:val="000000"/>
          <w:lang w:val="en-US"/>
        </w:rPr>
        <w:t>, 223–229 (2014).</w:t>
      </w:r>
    </w:p>
    <w:p w14:paraId="76B76BDA" w14:textId="53998F52" w:rsidR="00823633" w:rsidRPr="00551B55" w:rsidRDefault="00823633" w:rsidP="00551B55">
      <w:pPr>
        <w:spacing w:line="360" w:lineRule="auto"/>
        <w:rPr>
          <w:rFonts w:ascii="Times New Roman" w:hAnsi="Times New Roman" w:cs="Times New Roman"/>
          <w:lang w:val="en-US"/>
        </w:rPr>
      </w:pPr>
      <w:r w:rsidRPr="00551B55">
        <w:rPr>
          <w:rFonts w:ascii="Times New Roman" w:hAnsi="Times New Roman" w:cs="Times New Roman"/>
          <w:lang w:val="en-US"/>
        </w:rPr>
        <w:t xml:space="preserve">9. Simonen, ML, Roivainen, M, Iber, J, Burns, C &amp; Hovi, T. Outbreak of poliomyelitis in Finland in 1984-85-Re-analysis of viral sequences using the current standard approach. </w:t>
      </w:r>
      <w:r w:rsidRPr="00551B55">
        <w:rPr>
          <w:rFonts w:ascii="Times New Roman" w:hAnsi="Times New Roman" w:cs="Times New Roman"/>
          <w:i/>
          <w:iCs/>
          <w:lang w:val="en-US"/>
        </w:rPr>
        <w:t>Virus research.</w:t>
      </w:r>
      <w:r w:rsidRPr="00551B55">
        <w:rPr>
          <w:rFonts w:ascii="Times New Roman" w:hAnsi="Times New Roman" w:cs="Times New Roman"/>
          <w:lang w:val="en-US"/>
        </w:rPr>
        <w:t xml:space="preserve"> 2010. 147(1); 91-97. doi: 10.1016/j.virusres.2009.10.012</w:t>
      </w:r>
    </w:p>
    <w:p w14:paraId="0A2AB1ED" w14:textId="77777777" w:rsidR="00823633" w:rsidRPr="00551B55" w:rsidRDefault="00823633" w:rsidP="00551B55">
      <w:pPr>
        <w:rPr>
          <w:lang w:val="en-US"/>
        </w:rPr>
      </w:pPr>
    </w:p>
    <w:p w14:paraId="2360F7C8" w14:textId="465302CD" w:rsidR="007F2194" w:rsidRPr="007F2194" w:rsidRDefault="00823633" w:rsidP="003D6FBB">
      <w:pPr>
        <w:pStyle w:val="Bibliography"/>
        <w:jc w:val="both"/>
        <w:rPr>
          <w:rFonts w:ascii="Times New Roman" w:hAnsi="Times New Roman" w:cs="Times New Roman"/>
          <w:color w:val="000000"/>
          <w:lang w:val="en-US"/>
        </w:rPr>
      </w:pPr>
      <w:r>
        <w:rPr>
          <w:rFonts w:ascii="Times New Roman" w:hAnsi="Times New Roman" w:cs="Times New Roman"/>
          <w:color w:val="000000"/>
          <w:lang w:val="en-US"/>
        </w:rPr>
        <w:t>10</w:t>
      </w:r>
      <w:r w:rsidR="007F2194" w:rsidRPr="007F2194">
        <w:rPr>
          <w:rFonts w:ascii="Times New Roman" w:hAnsi="Times New Roman" w:cs="Times New Roman"/>
          <w:color w:val="000000"/>
          <w:lang w:val="en-US"/>
        </w:rPr>
        <w:t>.</w:t>
      </w:r>
      <w:r w:rsidR="007F2194" w:rsidRPr="007F2194">
        <w:rPr>
          <w:rFonts w:ascii="Times New Roman" w:hAnsi="Times New Roman" w:cs="Times New Roman"/>
          <w:color w:val="000000"/>
          <w:lang w:val="en-US"/>
        </w:rPr>
        <w:tab/>
        <w:t xml:space="preserve">Majumdar, M. </w:t>
      </w:r>
      <w:r w:rsidR="007F2194" w:rsidRPr="007F2194">
        <w:rPr>
          <w:rFonts w:ascii="Times New Roman" w:hAnsi="Times New Roman" w:cs="Times New Roman"/>
          <w:i/>
          <w:iCs/>
          <w:color w:val="000000"/>
          <w:lang w:val="en-US"/>
        </w:rPr>
        <w:t>et al.</w:t>
      </w:r>
      <w:r w:rsidR="007F2194" w:rsidRPr="007F2194">
        <w:rPr>
          <w:rFonts w:ascii="Times New Roman" w:hAnsi="Times New Roman" w:cs="Times New Roman"/>
          <w:color w:val="000000"/>
          <w:lang w:val="en-US"/>
        </w:rPr>
        <w:t xml:space="preserve"> Isolation of Vaccine-Like Poliovirus Strains in Sewage Samples </w:t>
      </w:r>
      <w:proofErr w:type="gramStart"/>
      <w:r w:rsidR="007F2194" w:rsidRPr="007F2194">
        <w:rPr>
          <w:rFonts w:ascii="Times New Roman" w:hAnsi="Times New Roman" w:cs="Times New Roman"/>
          <w:color w:val="000000"/>
          <w:lang w:val="en-US"/>
        </w:rPr>
        <w:t>From</w:t>
      </w:r>
      <w:proofErr w:type="gramEnd"/>
      <w:r w:rsidR="007F2194" w:rsidRPr="007F2194">
        <w:rPr>
          <w:rFonts w:ascii="Times New Roman" w:hAnsi="Times New Roman" w:cs="Times New Roman"/>
          <w:color w:val="000000"/>
          <w:lang w:val="en-US"/>
        </w:rPr>
        <w:t xml:space="preserve"> the United Kingdom. </w:t>
      </w:r>
      <w:r w:rsidR="007F2194" w:rsidRPr="007F2194">
        <w:rPr>
          <w:rFonts w:ascii="Times New Roman" w:hAnsi="Times New Roman" w:cs="Times New Roman"/>
          <w:i/>
          <w:iCs/>
          <w:color w:val="000000"/>
          <w:lang w:val="en-US"/>
        </w:rPr>
        <w:t>J. Infect. Dis.</w:t>
      </w:r>
      <w:r w:rsidR="007F2194" w:rsidRPr="007F2194">
        <w:rPr>
          <w:rFonts w:ascii="Times New Roman" w:hAnsi="Times New Roman" w:cs="Times New Roman"/>
          <w:color w:val="000000"/>
          <w:lang w:val="en-US"/>
        </w:rPr>
        <w:t xml:space="preserve"> </w:t>
      </w:r>
      <w:r w:rsidR="007F2194" w:rsidRPr="007F2194">
        <w:rPr>
          <w:rFonts w:ascii="Times New Roman" w:hAnsi="Times New Roman" w:cs="Times New Roman"/>
          <w:b/>
          <w:bCs/>
          <w:color w:val="000000"/>
          <w:lang w:val="en-US"/>
        </w:rPr>
        <w:t>217</w:t>
      </w:r>
      <w:r w:rsidR="007F2194" w:rsidRPr="007F2194">
        <w:rPr>
          <w:rFonts w:ascii="Times New Roman" w:hAnsi="Times New Roman" w:cs="Times New Roman"/>
          <w:color w:val="000000"/>
          <w:lang w:val="en-US"/>
        </w:rPr>
        <w:t>, 1222–1230 (2018).</w:t>
      </w:r>
    </w:p>
    <w:p w14:paraId="69C61871" w14:textId="0810F38E" w:rsidR="00FD5261" w:rsidRPr="00FD5261" w:rsidRDefault="00FD5261" w:rsidP="003D6FBB">
      <w:pPr>
        <w:spacing w:line="276" w:lineRule="auto"/>
        <w:jc w:val="both"/>
        <w:rPr>
          <w:rFonts w:ascii="Times New Roman" w:hAnsi="Times New Roman" w:cs="Times New Roman"/>
          <w:color w:val="000000" w:themeColor="text1"/>
        </w:rPr>
      </w:pPr>
      <w:r>
        <w:rPr>
          <w:rFonts w:ascii="Times New Roman" w:hAnsi="Times New Roman" w:cs="Times New Roman"/>
          <w:color w:val="000000" w:themeColor="text1"/>
        </w:rPr>
        <w:fldChar w:fldCharType="end"/>
      </w:r>
    </w:p>
    <w:p w14:paraId="0DF6F22E" w14:textId="77777777" w:rsidR="00751B9E" w:rsidRPr="004F370D" w:rsidRDefault="00751B9E" w:rsidP="003D6FBB">
      <w:pPr>
        <w:spacing w:line="276" w:lineRule="auto"/>
        <w:jc w:val="both"/>
        <w:rPr>
          <w:rFonts w:ascii="Times New Roman" w:hAnsi="Times New Roman" w:cs="Times New Roman"/>
          <w:color w:val="000000" w:themeColor="text1"/>
        </w:rPr>
      </w:pPr>
    </w:p>
    <w:sectPr w:rsidR="00751B9E" w:rsidRPr="004F370D" w:rsidSect="001F0E60">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DB113A"/>
    <w:multiLevelType w:val="hybridMultilevel"/>
    <w:tmpl w:val="355C5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FED185C"/>
    <w:multiLevelType w:val="hybridMultilevel"/>
    <w:tmpl w:val="396411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959289D"/>
    <w:multiLevelType w:val="hybridMultilevel"/>
    <w:tmpl w:val="8AC07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1B9E"/>
    <w:rsid w:val="0001784A"/>
    <w:rsid w:val="000440D3"/>
    <w:rsid w:val="000566F6"/>
    <w:rsid w:val="00061428"/>
    <w:rsid w:val="00065CA6"/>
    <w:rsid w:val="000A7272"/>
    <w:rsid w:val="000C1714"/>
    <w:rsid w:val="000D5711"/>
    <w:rsid w:val="000D5E0C"/>
    <w:rsid w:val="00122A7B"/>
    <w:rsid w:val="00192BF1"/>
    <w:rsid w:val="001A7906"/>
    <w:rsid w:val="001A7FE4"/>
    <w:rsid w:val="001B1438"/>
    <w:rsid w:val="001F0E60"/>
    <w:rsid w:val="002056E7"/>
    <w:rsid w:val="00272479"/>
    <w:rsid w:val="00310FDF"/>
    <w:rsid w:val="003153A0"/>
    <w:rsid w:val="003645F3"/>
    <w:rsid w:val="00365BF1"/>
    <w:rsid w:val="0039182B"/>
    <w:rsid w:val="003A48A3"/>
    <w:rsid w:val="003C47F4"/>
    <w:rsid w:val="003D316C"/>
    <w:rsid w:val="003D6FBB"/>
    <w:rsid w:val="00441CE9"/>
    <w:rsid w:val="00447F03"/>
    <w:rsid w:val="004F30E6"/>
    <w:rsid w:val="004F370D"/>
    <w:rsid w:val="004F4480"/>
    <w:rsid w:val="004F4C7B"/>
    <w:rsid w:val="005401F0"/>
    <w:rsid w:val="00551B55"/>
    <w:rsid w:val="005679FB"/>
    <w:rsid w:val="00595182"/>
    <w:rsid w:val="005B3E20"/>
    <w:rsid w:val="005E04EA"/>
    <w:rsid w:val="005E1451"/>
    <w:rsid w:val="005E5663"/>
    <w:rsid w:val="0061230C"/>
    <w:rsid w:val="006168F0"/>
    <w:rsid w:val="006269B4"/>
    <w:rsid w:val="00651D0D"/>
    <w:rsid w:val="00680B9F"/>
    <w:rsid w:val="006A4FED"/>
    <w:rsid w:val="006C3C60"/>
    <w:rsid w:val="006C5B69"/>
    <w:rsid w:val="006D1E34"/>
    <w:rsid w:val="006F5254"/>
    <w:rsid w:val="00725779"/>
    <w:rsid w:val="00751B9E"/>
    <w:rsid w:val="00756B13"/>
    <w:rsid w:val="00767815"/>
    <w:rsid w:val="0077381B"/>
    <w:rsid w:val="00786106"/>
    <w:rsid w:val="007C035C"/>
    <w:rsid w:val="007F2194"/>
    <w:rsid w:val="008063A1"/>
    <w:rsid w:val="0082276F"/>
    <w:rsid w:val="00823633"/>
    <w:rsid w:val="00825BD2"/>
    <w:rsid w:val="00835330"/>
    <w:rsid w:val="00842AA3"/>
    <w:rsid w:val="008873AB"/>
    <w:rsid w:val="00890457"/>
    <w:rsid w:val="00893FF2"/>
    <w:rsid w:val="008D26E4"/>
    <w:rsid w:val="008E2619"/>
    <w:rsid w:val="008F2CF3"/>
    <w:rsid w:val="00902955"/>
    <w:rsid w:val="00917359"/>
    <w:rsid w:val="00941792"/>
    <w:rsid w:val="00964A41"/>
    <w:rsid w:val="009829BB"/>
    <w:rsid w:val="009C10CA"/>
    <w:rsid w:val="009E2560"/>
    <w:rsid w:val="00A3118E"/>
    <w:rsid w:val="00A34B2D"/>
    <w:rsid w:val="00A51797"/>
    <w:rsid w:val="00AC0C25"/>
    <w:rsid w:val="00AD1CE1"/>
    <w:rsid w:val="00B8321A"/>
    <w:rsid w:val="00B8674A"/>
    <w:rsid w:val="00B94244"/>
    <w:rsid w:val="00B94660"/>
    <w:rsid w:val="00BD41A3"/>
    <w:rsid w:val="00BD4663"/>
    <w:rsid w:val="00BD5C6C"/>
    <w:rsid w:val="00C63EC0"/>
    <w:rsid w:val="00C71CCB"/>
    <w:rsid w:val="00CC5AC6"/>
    <w:rsid w:val="00CD1A2E"/>
    <w:rsid w:val="00D81CDD"/>
    <w:rsid w:val="00D877D8"/>
    <w:rsid w:val="00D9071A"/>
    <w:rsid w:val="00DD5ADB"/>
    <w:rsid w:val="00DE5DFB"/>
    <w:rsid w:val="00DE6DE3"/>
    <w:rsid w:val="00DF65E5"/>
    <w:rsid w:val="00E2285C"/>
    <w:rsid w:val="00E45BC7"/>
    <w:rsid w:val="00E52998"/>
    <w:rsid w:val="00E66468"/>
    <w:rsid w:val="00EA695E"/>
    <w:rsid w:val="00F05B55"/>
    <w:rsid w:val="00FC25C2"/>
    <w:rsid w:val="00FC5C35"/>
    <w:rsid w:val="00FD52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6AE3F5"/>
  <w14:defaultImageDpi w14:val="32767"/>
  <w15:chartTrackingRefBased/>
  <w15:docId w15:val="{B150D885-C340-3F49-A0E0-43596F7BE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51B9E"/>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1B9E"/>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751B9E"/>
    <w:pPr>
      <w:ind w:left="720"/>
      <w:contextualSpacing/>
    </w:pPr>
  </w:style>
  <w:style w:type="paragraph" w:styleId="Subtitle">
    <w:name w:val="Subtitle"/>
    <w:basedOn w:val="Normal"/>
    <w:next w:val="Normal"/>
    <w:link w:val="SubtitleChar"/>
    <w:uiPriority w:val="11"/>
    <w:qFormat/>
    <w:rsid w:val="00751B9E"/>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751B9E"/>
    <w:rPr>
      <w:rFonts w:eastAsiaTheme="minorEastAsia"/>
      <w:color w:val="5A5A5A" w:themeColor="text1" w:themeTint="A5"/>
      <w:spacing w:val="15"/>
      <w:sz w:val="22"/>
      <w:szCs w:val="22"/>
    </w:rPr>
  </w:style>
  <w:style w:type="character" w:styleId="PlaceholderText">
    <w:name w:val="Placeholder Text"/>
    <w:basedOn w:val="DefaultParagraphFont"/>
    <w:uiPriority w:val="99"/>
    <w:semiHidden/>
    <w:rsid w:val="00680B9F"/>
    <w:rPr>
      <w:color w:val="808080"/>
    </w:rPr>
  </w:style>
  <w:style w:type="character" w:styleId="Hyperlink">
    <w:name w:val="Hyperlink"/>
    <w:basedOn w:val="DefaultParagraphFont"/>
    <w:uiPriority w:val="99"/>
    <w:unhideWhenUsed/>
    <w:rsid w:val="005E04EA"/>
    <w:rPr>
      <w:color w:val="0563C1" w:themeColor="hyperlink"/>
      <w:u w:val="single"/>
    </w:rPr>
  </w:style>
  <w:style w:type="character" w:styleId="UnresolvedMention">
    <w:name w:val="Unresolved Mention"/>
    <w:basedOn w:val="DefaultParagraphFont"/>
    <w:uiPriority w:val="99"/>
    <w:rsid w:val="005E04EA"/>
    <w:rPr>
      <w:color w:val="605E5C"/>
      <w:shd w:val="clear" w:color="auto" w:fill="E1DFDD"/>
    </w:rPr>
  </w:style>
  <w:style w:type="paragraph" w:styleId="BalloonText">
    <w:name w:val="Balloon Text"/>
    <w:basedOn w:val="Normal"/>
    <w:link w:val="BalloonTextChar"/>
    <w:uiPriority w:val="99"/>
    <w:semiHidden/>
    <w:unhideWhenUsed/>
    <w:rsid w:val="00EA695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A695E"/>
    <w:rPr>
      <w:rFonts w:ascii="Times New Roman" w:hAnsi="Times New Roman" w:cs="Times New Roman"/>
      <w:sz w:val="18"/>
      <w:szCs w:val="18"/>
    </w:rPr>
  </w:style>
  <w:style w:type="paragraph" w:styleId="Caption">
    <w:name w:val="caption"/>
    <w:basedOn w:val="Normal"/>
    <w:next w:val="Normal"/>
    <w:uiPriority w:val="35"/>
    <w:unhideWhenUsed/>
    <w:qFormat/>
    <w:rsid w:val="00DF65E5"/>
    <w:pPr>
      <w:spacing w:after="200"/>
    </w:pPr>
    <w:rPr>
      <w:i/>
      <w:iCs/>
      <w:color w:val="44546A" w:themeColor="text2"/>
      <w:sz w:val="18"/>
      <w:szCs w:val="18"/>
    </w:rPr>
  </w:style>
  <w:style w:type="paragraph" w:styleId="Bibliography">
    <w:name w:val="Bibliography"/>
    <w:basedOn w:val="Normal"/>
    <w:next w:val="Normal"/>
    <w:uiPriority w:val="37"/>
    <w:unhideWhenUsed/>
    <w:rsid w:val="00FD5261"/>
    <w:pPr>
      <w:tabs>
        <w:tab w:val="left" w:pos="260"/>
        <w:tab w:val="left" w:pos="380"/>
      </w:tabs>
      <w:spacing w:line="480" w:lineRule="auto"/>
      <w:ind w:left="264" w:hanging="264"/>
    </w:pPr>
  </w:style>
  <w:style w:type="table" w:styleId="PlainTable3">
    <w:name w:val="Plain Table 3"/>
    <w:basedOn w:val="TableNormal"/>
    <w:uiPriority w:val="43"/>
    <w:rsid w:val="00835330"/>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990005">
      <w:bodyDiv w:val="1"/>
      <w:marLeft w:val="0"/>
      <w:marRight w:val="0"/>
      <w:marTop w:val="0"/>
      <w:marBottom w:val="0"/>
      <w:divBdr>
        <w:top w:val="none" w:sz="0" w:space="0" w:color="auto"/>
        <w:left w:val="none" w:sz="0" w:space="0" w:color="auto"/>
        <w:bottom w:val="none" w:sz="0" w:space="0" w:color="auto"/>
        <w:right w:val="none" w:sz="0" w:space="0" w:color="auto"/>
      </w:divBdr>
    </w:div>
    <w:div w:id="1666472388">
      <w:bodyDiv w:val="1"/>
      <w:marLeft w:val="0"/>
      <w:marRight w:val="0"/>
      <w:marTop w:val="0"/>
      <w:marBottom w:val="0"/>
      <w:divBdr>
        <w:top w:val="none" w:sz="0" w:space="0" w:color="auto"/>
        <w:left w:val="none" w:sz="0" w:space="0" w:color="auto"/>
        <w:bottom w:val="none" w:sz="0" w:space="0" w:color="auto"/>
        <w:right w:val="none" w:sz="0" w:space="0" w:color="auto"/>
      </w:divBdr>
    </w:div>
    <w:div w:id="2079203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hyperlink" Target="https://www.yorkshirewater.com/waste-water-treatment-service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unitedutilities.com/help-and-support/wastewater-services/" TargetMode="External"/><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7838</Words>
  <Characters>44681</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dc:creator>
  <cp:keywords/>
  <dc:description/>
  <cp:lastModifiedBy>Anouska Colledge</cp:lastModifiedBy>
  <cp:revision>2</cp:revision>
  <cp:lastPrinted>2019-12-13T10:11:00Z</cp:lastPrinted>
  <dcterms:created xsi:type="dcterms:W3CDTF">2020-05-07T15:27:00Z</dcterms:created>
  <dcterms:modified xsi:type="dcterms:W3CDTF">2020-05-07T15:27:00Z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zotero-version="5.0.80"&gt;&lt;session id="nJvu9US7"/&gt;&lt;style id="http://www.zotero.org/styles/nature" hasBibliography="1" bibliographyStyleHasBeenSet="1"/&gt;&lt;prefs&gt;&lt;pref name="fieldType" value="Field"/&gt;&lt;pref name="automaticJournalAbbreviati</vt:lpwstr>
  </property>
  <property fmtid="{D5CDD505-2E9C-101B-9397-08002B2CF9AE}" pid="3" name="ZOTERO_PREF_2">
    <vt:lpwstr>ons" value="true"/&gt;&lt;/prefs&gt;&lt;/data&gt;</vt:lpwstr>
  </property>
</Properties>
</file>