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BA7D6" w14:textId="77777777" w:rsidR="00C815FC" w:rsidRDefault="00A27E7F" w:rsidP="00A27E7F">
      <w:pPr>
        <w:spacing w:after="0" w:line="360" w:lineRule="auto"/>
        <w:rPr>
          <w:rFonts w:ascii="Calibri" w:hAnsi="Calibri"/>
          <w:b/>
          <w:sz w:val="36"/>
          <w:szCs w:val="36"/>
        </w:rPr>
      </w:pPr>
      <w:bookmarkStart w:id="0" w:name="_GoBack"/>
      <w:bookmarkEnd w:id="0"/>
      <w:r>
        <w:rPr>
          <w:b/>
          <w:sz w:val="36"/>
          <w:szCs w:val="36"/>
        </w:rPr>
        <w:t>Supplementary Material</w:t>
      </w:r>
    </w:p>
    <w:p w14:paraId="6C729F45" w14:textId="77777777" w:rsidR="00C815FC" w:rsidRDefault="00A27E7F" w:rsidP="00A27E7F">
      <w:pPr>
        <w:spacing w:after="0" w:line="360" w:lineRule="auto"/>
        <w:rPr>
          <w:rFonts w:ascii="Calibri" w:hAnsi="Calibri" w:cs="Times New Roman"/>
          <w:b/>
          <w:sz w:val="32"/>
          <w:szCs w:val="32"/>
        </w:rPr>
      </w:pPr>
      <w:r>
        <w:rPr>
          <w:rFonts w:cs="Times New Roman"/>
          <w:b/>
          <w:sz w:val="32"/>
          <w:szCs w:val="32"/>
        </w:rPr>
        <w:t>Risk of Influenza Infection with Low Vaccine Effectiveness: the Role of Avoidance Behaviour</w:t>
      </w:r>
    </w:p>
    <w:p w14:paraId="045514CE" w14:textId="5165D53C" w:rsidR="00C815FC" w:rsidRDefault="00A27E7F" w:rsidP="00A27E7F">
      <w:pPr>
        <w:spacing w:after="0" w:line="360" w:lineRule="auto"/>
        <w:rPr>
          <w:rFonts w:ascii="Calibri" w:hAnsi="Calibri" w:cs="Times New Roman"/>
          <w:b/>
          <w:sz w:val="24"/>
          <w:szCs w:val="24"/>
        </w:rPr>
      </w:pPr>
      <w:r>
        <w:rPr>
          <w:rFonts w:cs="Times New Roman"/>
          <w:b/>
          <w:sz w:val="24"/>
          <w:szCs w:val="24"/>
        </w:rPr>
        <w:t xml:space="preserve">Thomas </w:t>
      </w:r>
      <w:r w:rsidR="005D4FCB">
        <w:rPr>
          <w:rFonts w:cs="Times New Roman"/>
          <w:b/>
          <w:sz w:val="24"/>
          <w:szCs w:val="24"/>
        </w:rPr>
        <w:t xml:space="preserve">N. </w:t>
      </w:r>
      <w:r>
        <w:rPr>
          <w:rFonts w:cs="Times New Roman"/>
          <w:b/>
          <w:sz w:val="24"/>
          <w:szCs w:val="24"/>
        </w:rPr>
        <w:t>Vilches,</w:t>
      </w:r>
      <w:r>
        <w:rPr>
          <w:rFonts w:cs="Times New Roman"/>
          <w:b/>
          <w:sz w:val="24"/>
          <w:szCs w:val="24"/>
          <w:vertAlign w:val="superscript"/>
        </w:rPr>
        <w:t>1</w:t>
      </w:r>
      <w:r>
        <w:rPr>
          <w:rFonts w:cs="Times New Roman"/>
          <w:b/>
          <w:sz w:val="24"/>
          <w:szCs w:val="24"/>
        </w:rPr>
        <w:t xml:space="preserve"> Majid Jaberi-Douraki,</w:t>
      </w:r>
      <w:r>
        <w:rPr>
          <w:rFonts w:cs="Times New Roman"/>
          <w:b/>
          <w:sz w:val="24"/>
          <w:szCs w:val="24"/>
          <w:vertAlign w:val="superscript"/>
        </w:rPr>
        <w:t>2</w:t>
      </w:r>
      <w:r>
        <w:rPr>
          <w:rFonts w:cs="Times New Roman"/>
          <w:b/>
          <w:sz w:val="24"/>
          <w:szCs w:val="24"/>
        </w:rPr>
        <w:t xml:space="preserve"> </w:t>
      </w:r>
      <w:proofErr w:type="spellStart"/>
      <w:r>
        <w:rPr>
          <w:rFonts w:cs="Times New Roman"/>
          <w:b/>
          <w:sz w:val="24"/>
          <w:szCs w:val="24"/>
        </w:rPr>
        <w:t>Seyed</w:t>
      </w:r>
      <w:proofErr w:type="spellEnd"/>
      <w:r>
        <w:rPr>
          <w:rFonts w:cs="Times New Roman"/>
          <w:b/>
          <w:sz w:val="24"/>
          <w:szCs w:val="24"/>
        </w:rPr>
        <w:t xml:space="preserve"> M. Moghadas</w:t>
      </w:r>
      <w:r>
        <w:rPr>
          <w:rFonts w:cs="Times New Roman"/>
          <w:b/>
          <w:sz w:val="24"/>
          <w:szCs w:val="24"/>
          <w:vertAlign w:val="superscript"/>
        </w:rPr>
        <w:t>3</w:t>
      </w:r>
    </w:p>
    <w:p w14:paraId="4F0BC454" w14:textId="77777777" w:rsidR="00C815FC" w:rsidRDefault="00A27E7F" w:rsidP="00A27E7F">
      <w:pPr>
        <w:spacing w:after="0" w:line="360" w:lineRule="auto"/>
        <w:rPr>
          <w:rFonts w:ascii="Calibri" w:hAnsi="Calibri" w:cs="Times New Roman"/>
          <w:b/>
        </w:rPr>
      </w:pPr>
      <w:r>
        <w:rPr>
          <w:rFonts w:cs="Times New Roman"/>
          <w:vertAlign w:val="superscript"/>
        </w:rPr>
        <w:t>1</w:t>
      </w:r>
      <w:r>
        <w:rPr>
          <w:rFonts w:cs="Times New Roman"/>
        </w:rPr>
        <w:t xml:space="preserve">Institute of Biosciences, Department of Biostatistics, São Paulo State University, </w:t>
      </w:r>
      <w:proofErr w:type="spellStart"/>
      <w:r>
        <w:rPr>
          <w:rFonts w:cs="Times New Roman"/>
        </w:rPr>
        <w:t>Botucatu</w:t>
      </w:r>
      <w:proofErr w:type="spellEnd"/>
      <w:r>
        <w:rPr>
          <w:rFonts w:cs="Times New Roman"/>
        </w:rPr>
        <w:t xml:space="preserve"> SP 18618-689, Brazil</w:t>
      </w:r>
    </w:p>
    <w:p w14:paraId="1177ABC7" w14:textId="455C8E9F" w:rsidR="00C815FC" w:rsidRDefault="00A27E7F" w:rsidP="00A27E7F">
      <w:pPr>
        <w:spacing w:after="0" w:line="360" w:lineRule="auto"/>
        <w:rPr>
          <w:rFonts w:ascii="Calibri" w:eastAsia="Times New Roman" w:hAnsi="Calibri" w:cs="Times New Roman"/>
        </w:rPr>
      </w:pPr>
      <w:r>
        <w:rPr>
          <w:rFonts w:eastAsia="Times New Roman" w:cs="Times New Roman"/>
          <w:color w:val="333333"/>
          <w:vertAlign w:val="superscript"/>
        </w:rPr>
        <w:t>2</w:t>
      </w:r>
      <w:r>
        <w:rPr>
          <w:rFonts w:eastAsia="Times New Roman" w:cs="Times New Roman"/>
          <w:color w:val="333333"/>
        </w:rPr>
        <w:t>Institute of Com</w:t>
      </w:r>
      <w:r w:rsidR="00165339">
        <w:rPr>
          <w:rFonts w:eastAsia="Times New Roman" w:cs="Times New Roman"/>
          <w:color w:val="333333"/>
        </w:rPr>
        <w:t>putational Comparative Medicine</w:t>
      </w:r>
      <w:r w:rsidR="00E803E0">
        <w:rPr>
          <w:rFonts w:eastAsia="Times New Roman" w:cs="Times New Roman"/>
          <w:color w:val="333333"/>
        </w:rPr>
        <w:t>,</w:t>
      </w:r>
      <w:r w:rsidR="00165339">
        <w:rPr>
          <w:rFonts w:eastAsia="Times New Roman" w:cs="Times New Roman"/>
          <w:color w:val="333333"/>
        </w:rPr>
        <w:t xml:space="preserve"> </w:t>
      </w:r>
      <w:r w:rsidR="00165339">
        <w:rPr>
          <w:rFonts w:ascii="Calibri" w:eastAsia="Times New Roman" w:hAnsi="Calibri" w:cs="Times New Roman"/>
          <w:color w:val="333333"/>
        </w:rPr>
        <w:t xml:space="preserve">Department of </w:t>
      </w:r>
      <w:r w:rsidR="00E803E0">
        <w:rPr>
          <w:rFonts w:ascii="Calibri" w:eastAsia="Times New Roman" w:hAnsi="Calibri" w:cs="Times New Roman"/>
          <w:color w:val="333333"/>
        </w:rPr>
        <w:t xml:space="preserve">Mathematics, and Department of </w:t>
      </w:r>
      <w:r w:rsidR="00165339">
        <w:rPr>
          <w:rFonts w:ascii="Calibri" w:eastAsia="Times New Roman" w:hAnsi="Calibri" w:cs="Times New Roman"/>
          <w:color w:val="333333"/>
        </w:rPr>
        <w:t>Anatomy and Physiology,</w:t>
      </w:r>
      <w:r>
        <w:rPr>
          <w:rFonts w:eastAsia="Times New Roman" w:cs="Times New Roman"/>
          <w:color w:val="333333"/>
        </w:rPr>
        <w:t xml:space="preserve"> </w:t>
      </w:r>
      <w:r>
        <w:rPr>
          <w:rFonts w:eastAsia="Times New Roman" w:cs="Times New Roman"/>
          <w:color w:val="333333"/>
          <w:shd w:val="clear" w:color="auto" w:fill="FFFFFF"/>
        </w:rPr>
        <w:t>Kansas State University, Manhattan, KS 66506, USA</w:t>
      </w:r>
    </w:p>
    <w:p w14:paraId="37059BEE" w14:textId="77777777" w:rsidR="00C815FC" w:rsidRDefault="00A27E7F" w:rsidP="00A27E7F">
      <w:pPr>
        <w:spacing w:after="0" w:line="360" w:lineRule="auto"/>
        <w:rPr>
          <w:rFonts w:ascii="Calibri" w:hAnsi="Calibri" w:cs="Times New Roman"/>
          <w:b/>
          <w:bCs/>
        </w:rPr>
      </w:pPr>
      <w:r>
        <w:rPr>
          <w:rFonts w:cs="Times New Roman"/>
          <w:bCs/>
          <w:vertAlign w:val="superscript"/>
        </w:rPr>
        <w:t>3</w:t>
      </w:r>
      <w:r>
        <w:rPr>
          <w:rFonts w:cs="Times New Roman"/>
          <w:bCs/>
        </w:rPr>
        <w:t>Agent-Based modelling Laboratory, York University, Toronto, Ontario M3J 1P3, Canada</w:t>
      </w:r>
    </w:p>
    <w:p w14:paraId="6D3BBA7F" w14:textId="77777777" w:rsidR="00C815FC" w:rsidRDefault="00C815FC" w:rsidP="00A27E7F">
      <w:pPr>
        <w:spacing w:after="0" w:line="360" w:lineRule="auto"/>
        <w:jc w:val="center"/>
        <w:rPr>
          <w:rFonts w:ascii="Calibri" w:hAnsi="Calibri"/>
          <w:b/>
        </w:rPr>
      </w:pPr>
    </w:p>
    <w:p w14:paraId="276E8D74" w14:textId="6ECEE09D" w:rsidR="00C815FC" w:rsidRPr="004F68AA" w:rsidRDefault="00A27E7F" w:rsidP="00A27E7F">
      <w:pPr>
        <w:spacing w:after="0" w:line="360" w:lineRule="auto"/>
        <w:jc w:val="both"/>
        <w:rPr>
          <w:rFonts w:ascii="Calibri" w:hAnsi="Calibri"/>
        </w:rPr>
      </w:pPr>
      <w:r w:rsidRPr="004F68AA">
        <w:t>This supplemental provides fur</w:t>
      </w:r>
      <w:r w:rsidR="00165339" w:rsidRPr="004F68AA">
        <w:t>ther details of model structure</w:t>
      </w:r>
      <w:r w:rsidRPr="004F68AA">
        <w:t xml:space="preserve"> and analysis of pertinent data for its parameterization.</w:t>
      </w:r>
    </w:p>
    <w:p w14:paraId="09AA96D1" w14:textId="77777777" w:rsidR="009554F9" w:rsidRPr="004F68AA" w:rsidRDefault="009554F9" w:rsidP="00A27E7F">
      <w:pPr>
        <w:spacing w:after="0" w:line="360" w:lineRule="auto"/>
        <w:jc w:val="both"/>
        <w:rPr>
          <w:b/>
        </w:rPr>
      </w:pPr>
    </w:p>
    <w:p w14:paraId="6C288533" w14:textId="77777777" w:rsidR="00461008" w:rsidRPr="004F68AA" w:rsidRDefault="00461008" w:rsidP="00461008">
      <w:pPr>
        <w:spacing w:after="0" w:line="360" w:lineRule="auto"/>
        <w:jc w:val="both"/>
        <w:rPr>
          <w:b/>
        </w:rPr>
      </w:pPr>
      <w:r w:rsidRPr="004F68AA">
        <w:rPr>
          <w:b/>
        </w:rPr>
        <w:t xml:space="preserve">Model calibration </w:t>
      </w:r>
    </w:p>
    <w:p w14:paraId="698AEB9D" w14:textId="77777777" w:rsidR="00461008" w:rsidRPr="004F68AA" w:rsidRDefault="00461008" w:rsidP="00461008">
      <w:pPr>
        <w:spacing w:after="0" w:line="360" w:lineRule="auto"/>
        <w:rPr>
          <w:rFonts w:ascii="Calibri" w:hAnsi="Calibri"/>
        </w:rPr>
      </w:pPr>
      <w:r w:rsidRPr="004F68AA">
        <w:rPr>
          <w:rFonts w:ascii="Calibri" w:hAnsi="Calibri"/>
        </w:rPr>
        <w:t xml:space="preserve">The model was calibrated by iteratively varying the baseline transmission probability, so that the average of sample realizations reached the assumed </w:t>
      </w:r>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=1.4</m:t>
        </m:r>
      </m:oMath>
      <w:r w:rsidRPr="004F68AA">
        <w:rPr>
          <w:rFonts w:ascii="Calibri" w:hAnsi="Calibri"/>
        </w:rPr>
        <w:t xml:space="preserve">. By definition,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Pr="004F68AA">
        <w:rPr>
          <w:rFonts w:ascii="Calibri" w:eastAsiaTheme="minorEastAsia" w:hAnsi="Calibri"/>
        </w:rPr>
        <w:t xml:space="preserve"> </w:t>
      </w:r>
      <w:r w:rsidRPr="004F68AA">
        <w:rPr>
          <w:rFonts w:ascii="Calibri" w:hAnsi="Calibri"/>
        </w:rPr>
        <w:t xml:space="preserve">represents “the average number of secondary infections that the first infectious individual generates in an entirely susceptible population”. Therefore, for each simulation, we counted the number of symptomatic infections (which represents the estimates for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Pr="004F68AA">
        <w:rPr>
          <w:rFonts w:ascii="Calibri" w:hAnsi="Calibri"/>
        </w:rPr>
        <w:t>) caused by the first infectious case seeded into the population, during the infectious period sampled for this case. The calibration was performed in the absence of any control measure (i.e., vaccination or contact avoidance).</w:t>
      </w:r>
    </w:p>
    <w:p w14:paraId="7737B601" w14:textId="77777777" w:rsidR="00C85825" w:rsidRPr="004F68AA" w:rsidRDefault="00C85825" w:rsidP="00A27E7F">
      <w:pPr>
        <w:spacing w:after="0" w:line="360" w:lineRule="auto"/>
        <w:jc w:val="both"/>
        <w:rPr>
          <w:b/>
        </w:rPr>
      </w:pPr>
    </w:p>
    <w:p w14:paraId="57356398" w14:textId="77777777" w:rsidR="00C815FC" w:rsidRPr="004F68AA" w:rsidRDefault="00A27E7F" w:rsidP="00A27E7F">
      <w:pPr>
        <w:spacing w:after="0" w:line="360" w:lineRule="auto"/>
        <w:jc w:val="both"/>
        <w:rPr>
          <w:rFonts w:ascii="Calibri" w:hAnsi="Calibri"/>
          <w:b/>
        </w:rPr>
      </w:pPr>
      <w:r w:rsidRPr="004F68AA">
        <w:rPr>
          <w:b/>
        </w:rPr>
        <w:t>Population demographics and contact patterns</w:t>
      </w:r>
    </w:p>
    <w:p w14:paraId="363AB0DC" w14:textId="77777777" w:rsidR="00C815FC" w:rsidRPr="004F68AA" w:rsidRDefault="00A27E7F" w:rsidP="00A27E7F">
      <w:pPr>
        <w:spacing w:after="0" w:line="360" w:lineRule="auto"/>
        <w:jc w:val="both"/>
      </w:pPr>
      <w:r w:rsidRPr="004F68AA">
        <w:t>The model simulates the spread of influenza in an age-stratified population with 10,000 individuals. The population age distribution was derived from the 2017 Canadian census data</w:t>
      </w:r>
      <w:r w:rsidRPr="004F68AA">
        <w:rPr>
          <w:rStyle w:val="EndnoteAnchor"/>
        </w:rPr>
        <w:endnoteReference w:id="1"/>
      </w:r>
      <w:r w:rsidRPr="004F68AA">
        <w:t>, as presented in Figure S1. After selecting for the age groups, the age of each individual was sampled uniformly from the associated range. We assigned a number of daily contacts to each individual, which was sampled (for each day) from a negative-binomial distribution</w:t>
      </w:r>
      <w:r w:rsidRPr="004F68AA">
        <w:rPr>
          <w:rStyle w:val="EndnoteAnchor"/>
        </w:rPr>
        <w:endnoteReference w:id="2"/>
      </w:r>
      <w:r w:rsidRPr="004F68AA">
        <w:t>, with age-dependent mean and standard deviation given in Table S1. Simulated daily number of contacts for each age group in the model is illustrated (in log-scale) in Figure S2.</w:t>
      </w:r>
    </w:p>
    <w:p w14:paraId="049FBE51" w14:textId="77777777" w:rsidR="00C815FC" w:rsidRPr="004F68AA" w:rsidRDefault="00C815FC" w:rsidP="00A27E7F">
      <w:pPr>
        <w:spacing w:after="0" w:line="360" w:lineRule="auto"/>
        <w:jc w:val="both"/>
        <w:rPr>
          <w:rFonts w:ascii="Calibri" w:hAnsi="Calibri"/>
        </w:rPr>
      </w:pPr>
    </w:p>
    <w:p w14:paraId="7F54ED75" w14:textId="77777777" w:rsidR="00C815FC" w:rsidRPr="004F68AA" w:rsidRDefault="00A27E7F" w:rsidP="00A27E7F">
      <w:pPr>
        <w:spacing w:after="0" w:line="360" w:lineRule="auto"/>
        <w:jc w:val="center"/>
        <w:rPr>
          <w:rFonts w:ascii="Calibri" w:hAnsi="Calibri"/>
        </w:rPr>
      </w:pPr>
      <w:r w:rsidRPr="004F68AA">
        <w:rPr>
          <w:noProof/>
          <w:lang w:val="en-US"/>
        </w:rPr>
        <w:lastRenderedPageBreak/>
        <w:drawing>
          <wp:inline distT="0" distB="0" distL="0" distR="0" wp14:anchorId="128AFDD7" wp14:editId="7938D22E">
            <wp:extent cx="3331210" cy="2160270"/>
            <wp:effectExtent l="0" t="0" r="0" b="0"/>
            <wp:docPr id="1" name="Picture 6" descr="Macintosh HD:Users:moghadas:Dropbox:Influenza Vaccine: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 HD:Users:moghadas:Dropbox:Influenza Vaccine:Age.pdf"/>
                    <pic:cNvPicPr>
                      <a:picLocks noChangeAspect="1" noChangeArrowheads="1"/>
                    </pic:cNvPicPr>
                  </pic:nvPicPr>
                  <pic:blipFill>
                    <a:blip r:embed="rId8"/>
                    <a:stretch>
                      <a:fillRect/>
                    </a:stretch>
                  </pic:blipFill>
                  <pic:spPr bwMode="auto">
                    <a:xfrm>
                      <a:off x="0" y="0"/>
                      <a:ext cx="3331210" cy="2160270"/>
                    </a:xfrm>
                    <a:prstGeom prst="rect">
                      <a:avLst/>
                    </a:prstGeom>
                  </pic:spPr>
                </pic:pic>
              </a:graphicData>
            </a:graphic>
          </wp:inline>
        </w:drawing>
      </w:r>
    </w:p>
    <w:p w14:paraId="78269F01" w14:textId="77777777" w:rsidR="00C815FC" w:rsidRPr="004F68AA" w:rsidRDefault="00A27E7F" w:rsidP="00A27E7F">
      <w:pPr>
        <w:spacing w:after="0" w:line="360" w:lineRule="auto"/>
        <w:jc w:val="center"/>
        <w:rPr>
          <w:rFonts w:ascii="Calibri" w:hAnsi="Calibri"/>
        </w:rPr>
      </w:pPr>
      <w:r w:rsidRPr="004F68AA">
        <w:rPr>
          <w:b/>
        </w:rPr>
        <w:t xml:space="preserve">Figure S1 – </w:t>
      </w:r>
      <w:r w:rsidRPr="004F68AA">
        <w:t xml:space="preserve">Age distribution of the population (Canadian census data, 2017). </w:t>
      </w:r>
    </w:p>
    <w:p w14:paraId="7CAEF327" w14:textId="77777777" w:rsidR="00C815FC" w:rsidRPr="004F68AA" w:rsidRDefault="00A27E7F" w:rsidP="00A27E7F">
      <w:pPr>
        <w:spacing w:after="0" w:line="360" w:lineRule="auto"/>
        <w:jc w:val="center"/>
        <w:rPr>
          <w:rFonts w:ascii="Calibri" w:hAnsi="Calibri"/>
        </w:rPr>
      </w:pPr>
      <w:r w:rsidRPr="004F68AA">
        <w:rPr>
          <w:b/>
        </w:rPr>
        <w:t xml:space="preserve">Table S1 – </w:t>
      </w:r>
      <w:r w:rsidRPr="004F68AA">
        <w:t>Mean and standard deviation for the daily number of contacts in different age group.</w:t>
      </w:r>
    </w:p>
    <w:tbl>
      <w:tblPr>
        <w:tblStyle w:val="LightShading"/>
        <w:tblW w:w="5943" w:type="dxa"/>
        <w:jc w:val="center"/>
        <w:tblLook w:val="04A0" w:firstRow="1" w:lastRow="0" w:firstColumn="1" w:lastColumn="0" w:noHBand="0" w:noVBand="1"/>
      </w:tblPr>
      <w:tblGrid>
        <w:gridCol w:w="730"/>
        <w:gridCol w:w="5213"/>
      </w:tblGrid>
      <w:tr w:rsidR="00C815FC" w:rsidRPr="004F68AA" w14:paraId="4F057726" w14:textId="77777777" w:rsidTr="00C815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0" w:type="dxa"/>
            <w:shd w:val="clear" w:color="auto" w:fill="auto"/>
          </w:tcPr>
          <w:p w14:paraId="5EB320DE" w14:textId="77777777" w:rsidR="00C815FC" w:rsidRPr="004F68AA" w:rsidRDefault="00A27E7F" w:rsidP="00A27E7F">
            <w:pPr>
              <w:spacing w:after="0" w:line="360" w:lineRule="auto"/>
              <w:jc w:val="center"/>
              <w:rPr>
                <w:rFonts w:ascii="Calibri" w:hAnsi="Calibri"/>
              </w:rPr>
            </w:pPr>
            <w:r w:rsidRPr="004F68AA">
              <w:t>Age</w:t>
            </w:r>
          </w:p>
        </w:tc>
        <w:tc>
          <w:tcPr>
            <w:tcW w:w="5212" w:type="dxa"/>
            <w:shd w:val="clear" w:color="auto" w:fill="auto"/>
          </w:tcPr>
          <w:p w14:paraId="1900CEAD" w14:textId="77777777" w:rsidR="00C815FC" w:rsidRPr="004F68AA" w:rsidRDefault="00A27E7F" w:rsidP="00A27E7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F68AA">
              <w:t>Mean (standard deviation) of number of daily contacts</w:t>
            </w:r>
          </w:p>
        </w:tc>
      </w:tr>
      <w:tr w:rsidR="00C815FC" w:rsidRPr="004F68AA" w14:paraId="3469D574" w14:textId="77777777" w:rsidTr="00C815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0" w:type="dxa"/>
            <w:tcBorders>
              <w:top w:val="nil"/>
              <w:bottom w:val="nil"/>
            </w:tcBorders>
            <w:shd w:val="clear" w:color="auto" w:fill="D9D9D9" w:themeFill="background1" w:themeFillShade="D9"/>
          </w:tcPr>
          <w:p w14:paraId="1FB8BE67" w14:textId="77777777" w:rsidR="00C815FC" w:rsidRPr="004F68AA" w:rsidRDefault="00A27E7F" w:rsidP="00A27E7F">
            <w:pPr>
              <w:spacing w:after="0" w:line="360" w:lineRule="auto"/>
              <w:jc w:val="center"/>
              <w:rPr>
                <w:rFonts w:ascii="Calibri" w:hAnsi="Calibri"/>
                <w:b w:val="0"/>
              </w:rPr>
            </w:pPr>
            <w:r w:rsidRPr="004F68AA">
              <w:rPr>
                <w:b w:val="0"/>
              </w:rPr>
              <w:t>0-4</w:t>
            </w:r>
          </w:p>
        </w:tc>
        <w:tc>
          <w:tcPr>
            <w:tcW w:w="5212" w:type="dxa"/>
            <w:tcBorders>
              <w:top w:val="nil"/>
              <w:bottom w:val="nil"/>
            </w:tcBorders>
            <w:shd w:val="clear" w:color="auto" w:fill="D9D9D9" w:themeFill="background1" w:themeFillShade="D9"/>
          </w:tcPr>
          <w:p w14:paraId="0D6D47D8" w14:textId="77777777" w:rsidR="00C815FC" w:rsidRPr="004F68AA" w:rsidRDefault="00A27E7F" w:rsidP="00A27E7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8AA">
              <w:t>10.21 (7.65)</w:t>
            </w:r>
          </w:p>
        </w:tc>
      </w:tr>
      <w:tr w:rsidR="00C815FC" w:rsidRPr="004F68AA" w14:paraId="3A82480D" w14:textId="77777777" w:rsidTr="00C815FC">
        <w:trPr>
          <w:jc w:val="center"/>
        </w:trPr>
        <w:tc>
          <w:tcPr>
            <w:cnfStyle w:val="001000000000" w:firstRow="0" w:lastRow="0" w:firstColumn="1" w:lastColumn="0" w:oddVBand="0" w:evenVBand="0" w:oddHBand="0" w:evenHBand="0" w:firstRowFirstColumn="0" w:firstRowLastColumn="0" w:lastRowFirstColumn="0" w:lastRowLastColumn="0"/>
            <w:tcW w:w="730" w:type="dxa"/>
            <w:tcBorders>
              <w:top w:val="nil"/>
              <w:bottom w:val="nil"/>
            </w:tcBorders>
            <w:shd w:val="clear" w:color="auto" w:fill="auto"/>
          </w:tcPr>
          <w:p w14:paraId="5B2E8E84" w14:textId="77777777" w:rsidR="00C815FC" w:rsidRPr="004F68AA" w:rsidRDefault="00A27E7F" w:rsidP="00A27E7F">
            <w:pPr>
              <w:spacing w:after="0" w:line="360" w:lineRule="auto"/>
              <w:jc w:val="center"/>
              <w:rPr>
                <w:rFonts w:ascii="Calibri" w:hAnsi="Calibri"/>
                <w:b w:val="0"/>
              </w:rPr>
            </w:pPr>
            <w:r w:rsidRPr="004F68AA">
              <w:rPr>
                <w:b w:val="0"/>
              </w:rPr>
              <w:t>5-9</w:t>
            </w:r>
          </w:p>
        </w:tc>
        <w:tc>
          <w:tcPr>
            <w:tcW w:w="5212" w:type="dxa"/>
            <w:tcBorders>
              <w:top w:val="nil"/>
              <w:bottom w:val="nil"/>
            </w:tcBorders>
            <w:shd w:val="clear" w:color="auto" w:fill="auto"/>
          </w:tcPr>
          <w:p w14:paraId="241E53D1" w14:textId="77777777" w:rsidR="00C815FC" w:rsidRPr="004F68AA" w:rsidRDefault="00A27E7F" w:rsidP="00A27E7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F68AA">
              <w:t>14.81 (10.09)</w:t>
            </w:r>
          </w:p>
        </w:tc>
      </w:tr>
      <w:tr w:rsidR="00C815FC" w:rsidRPr="004F68AA" w14:paraId="5B4D2C6E" w14:textId="77777777" w:rsidTr="00C815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0" w:type="dxa"/>
            <w:tcBorders>
              <w:top w:val="nil"/>
              <w:bottom w:val="nil"/>
            </w:tcBorders>
            <w:shd w:val="clear" w:color="auto" w:fill="D9D9D9" w:themeFill="background1" w:themeFillShade="D9"/>
          </w:tcPr>
          <w:p w14:paraId="3312ED5F" w14:textId="77777777" w:rsidR="00C815FC" w:rsidRPr="004F68AA" w:rsidRDefault="00A27E7F" w:rsidP="00A27E7F">
            <w:pPr>
              <w:spacing w:after="0" w:line="360" w:lineRule="auto"/>
              <w:jc w:val="center"/>
              <w:rPr>
                <w:rFonts w:ascii="Calibri" w:hAnsi="Calibri"/>
                <w:b w:val="0"/>
              </w:rPr>
            </w:pPr>
            <w:r w:rsidRPr="004F68AA">
              <w:rPr>
                <w:b w:val="0"/>
              </w:rPr>
              <w:t>10-14</w:t>
            </w:r>
          </w:p>
        </w:tc>
        <w:tc>
          <w:tcPr>
            <w:tcW w:w="5212" w:type="dxa"/>
            <w:tcBorders>
              <w:top w:val="nil"/>
              <w:bottom w:val="nil"/>
            </w:tcBorders>
            <w:shd w:val="clear" w:color="auto" w:fill="D9D9D9" w:themeFill="background1" w:themeFillShade="D9"/>
          </w:tcPr>
          <w:p w14:paraId="78291666" w14:textId="77777777" w:rsidR="00C815FC" w:rsidRPr="004F68AA" w:rsidRDefault="00A27E7F" w:rsidP="00A27E7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8AA">
              <w:t>18.22 (12.27)</w:t>
            </w:r>
          </w:p>
        </w:tc>
      </w:tr>
      <w:tr w:rsidR="00C815FC" w:rsidRPr="004F68AA" w14:paraId="234F7131" w14:textId="77777777" w:rsidTr="00C815FC">
        <w:trPr>
          <w:jc w:val="center"/>
        </w:trPr>
        <w:tc>
          <w:tcPr>
            <w:cnfStyle w:val="001000000000" w:firstRow="0" w:lastRow="0" w:firstColumn="1" w:lastColumn="0" w:oddVBand="0" w:evenVBand="0" w:oddHBand="0" w:evenHBand="0" w:firstRowFirstColumn="0" w:firstRowLastColumn="0" w:lastRowFirstColumn="0" w:lastRowLastColumn="0"/>
            <w:tcW w:w="730" w:type="dxa"/>
            <w:tcBorders>
              <w:top w:val="nil"/>
              <w:bottom w:val="nil"/>
            </w:tcBorders>
            <w:shd w:val="clear" w:color="auto" w:fill="auto"/>
          </w:tcPr>
          <w:p w14:paraId="3AAE6F06" w14:textId="77777777" w:rsidR="00C815FC" w:rsidRPr="004F68AA" w:rsidRDefault="00A27E7F" w:rsidP="00A27E7F">
            <w:pPr>
              <w:spacing w:after="0" w:line="360" w:lineRule="auto"/>
              <w:jc w:val="center"/>
              <w:rPr>
                <w:rFonts w:ascii="Calibri" w:hAnsi="Calibri"/>
                <w:b w:val="0"/>
              </w:rPr>
            </w:pPr>
            <w:r w:rsidRPr="004F68AA">
              <w:rPr>
                <w:b w:val="0"/>
              </w:rPr>
              <w:t>15-19</w:t>
            </w:r>
          </w:p>
        </w:tc>
        <w:tc>
          <w:tcPr>
            <w:tcW w:w="5212" w:type="dxa"/>
            <w:tcBorders>
              <w:top w:val="nil"/>
              <w:bottom w:val="nil"/>
            </w:tcBorders>
            <w:shd w:val="clear" w:color="auto" w:fill="auto"/>
          </w:tcPr>
          <w:p w14:paraId="50E604B5" w14:textId="77777777" w:rsidR="00C815FC" w:rsidRPr="004F68AA" w:rsidRDefault="00A27E7F" w:rsidP="00A27E7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F68AA">
              <w:t>17.58 (12.03)</w:t>
            </w:r>
          </w:p>
        </w:tc>
      </w:tr>
      <w:tr w:rsidR="00C815FC" w:rsidRPr="004F68AA" w14:paraId="26F0294E" w14:textId="77777777" w:rsidTr="00C815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0" w:type="dxa"/>
            <w:tcBorders>
              <w:top w:val="nil"/>
              <w:bottom w:val="nil"/>
            </w:tcBorders>
            <w:shd w:val="clear" w:color="auto" w:fill="D9D9D9" w:themeFill="background1" w:themeFillShade="D9"/>
          </w:tcPr>
          <w:p w14:paraId="39B62BAF" w14:textId="77777777" w:rsidR="00C815FC" w:rsidRPr="004F68AA" w:rsidRDefault="00A27E7F" w:rsidP="00A27E7F">
            <w:pPr>
              <w:spacing w:after="0" w:line="360" w:lineRule="auto"/>
              <w:jc w:val="center"/>
              <w:rPr>
                <w:rFonts w:ascii="Calibri" w:hAnsi="Calibri"/>
                <w:b w:val="0"/>
              </w:rPr>
            </w:pPr>
            <w:r w:rsidRPr="004F68AA">
              <w:rPr>
                <w:b w:val="0"/>
              </w:rPr>
              <w:t>20-29</w:t>
            </w:r>
          </w:p>
        </w:tc>
        <w:tc>
          <w:tcPr>
            <w:tcW w:w="5212" w:type="dxa"/>
            <w:tcBorders>
              <w:top w:val="nil"/>
              <w:bottom w:val="nil"/>
            </w:tcBorders>
            <w:shd w:val="clear" w:color="auto" w:fill="D9D9D9" w:themeFill="background1" w:themeFillShade="D9"/>
          </w:tcPr>
          <w:p w14:paraId="1CB6ABF9" w14:textId="77777777" w:rsidR="00C815FC" w:rsidRPr="004F68AA" w:rsidRDefault="00A27E7F" w:rsidP="00A27E7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8AA">
              <w:t>13.57 (10.60)</w:t>
            </w:r>
          </w:p>
        </w:tc>
      </w:tr>
      <w:tr w:rsidR="00C815FC" w:rsidRPr="004F68AA" w14:paraId="4B7C4381" w14:textId="77777777" w:rsidTr="00C815FC">
        <w:trPr>
          <w:jc w:val="center"/>
        </w:trPr>
        <w:tc>
          <w:tcPr>
            <w:cnfStyle w:val="001000000000" w:firstRow="0" w:lastRow="0" w:firstColumn="1" w:lastColumn="0" w:oddVBand="0" w:evenVBand="0" w:oddHBand="0" w:evenHBand="0" w:firstRowFirstColumn="0" w:firstRowLastColumn="0" w:lastRowFirstColumn="0" w:lastRowLastColumn="0"/>
            <w:tcW w:w="730" w:type="dxa"/>
            <w:tcBorders>
              <w:top w:val="nil"/>
              <w:bottom w:val="nil"/>
            </w:tcBorders>
            <w:shd w:val="clear" w:color="auto" w:fill="auto"/>
          </w:tcPr>
          <w:p w14:paraId="666D5180" w14:textId="77777777" w:rsidR="00C815FC" w:rsidRPr="004F68AA" w:rsidRDefault="00A27E7F" w:rsidP="00A27E7F">
            <w:pPr>
              <w:spacing w:after="0" w:line="360" w:lineRule="auto"/>
              <w:jc w:val="center"/>
              <w:rPr>
                <w:rFonts w:ascii="Calibri" w:hAnsi="Calibri"/>
                <w:b w:val="0"/>
              </w:rPr>
            </w:pPr>
            <w:r w:rsidRPr="004F68AA">
              <w:rPr>
                <w:b w:val="0"/>
              </w:rPr>
              <w:t>30-39</w:t>
            </w:r>
          </w:p>
        </w:tc>
        <w:tc>
          <w:tcPr>
            <w:tcW w:w="5212" w:type="dxa"/>
            <w:tcBorders>
              <w:top w:val="nil"/>
              <w:bottom w:val="nil"/>
            </w:tcBorders>
            <w:shd w:val="clear" w:color="auto" w:fill="auto"/>
          </w:tcPr>
          <w:p w14:paraId="0ADC963C" w14:textId="77777777" w:rsidR="00C815FC" w:rsidRPr="004F68AA" w:rsidRDefault="00A27E7F" w:rsidP="00A27E7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F68AA">
              <w:t>14.14 (10.15)</w:t>
            </w:r>
          </w:p>
        </w:tc>
      </w:tr>
      <w:tr w:rsidR="00C815FC" w:rsidRPr="004F68AA" w14:paraId="0DB76ECB" w14:textId="77777777" w:rsidTr="00C815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0" w:type="dxa"/>
            <w:tcBorders>
              <w:top w:val="nil"/>
              <w:bottom w:val="nil"/>
            </w:tcBorders>
            <w:shd w:val="clear" w:color="auto" w:fill="D9D9D9" w:themeFill="background1" w:themeFillShade="D9"/>
          </w:tcPr>
          <w:p w14:paraId="79367F2E" w14:textId="77777777" w:rsidR="00C815FC" w:rsidRPr="004F68AA" w:rsidRDefault="00A27E7F" w:rsidP="00A27E7F">
            <w:pPr>
              <w:spacing w:after="0" w:line="360" w:lineRule="auto"/>
              <w:jc w:val="center"/>
              <w:rPr>
                <w:rFonts w:ascii="Calibri" w:hAnsi="Calibri"/>
                <w:b w:val="0"/>
              </w:rPr>
            </w:pPr>
            <w:r w:rsidRPr="004F68AA">
              <w:rPr>
                <w:b w:val="0"/>
              </w:rPr>
              <w:t>40-49</w:t>
            </w:r>
          </w:p>
        </w:tc>
        <w:tc>
          <w:tcPr>
            <w:tcW w:w="5212" w:type="dxa"/>
            <w:tcBorders>
              <w:top w:val="nil"/>
              <w:bottom w:val="nil"/>
            </w:tcBorders>
            <w:shd w:val="clear" w:color="auto" w:fill="D9D9D9" w:themeFill="background1" w:themeFillShade="D9"/>
          </w:tcPr>
          <w:p w14:paraId="3ABA0751" w14:textId="77777777" w:rsidR="00C815FC" w:rsidRPr="004F68AA" w:rsidRDefault="00A27E7F" w:rsidP="00A27E7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8AA">
              <w:t>13.83 (10.86)</w:t>
            </w:r>
          </w:p>
        </w:tc>
      </w:tr>
      <w:tr w:rsidR="00C815FC" w:rsidRPr="004F68AA" w14:paraId="1BE97FFD" w14:textId="77777777" w:rsidTr="00C815FC">
        <w:trPr>
          <w:jc w:val="center"/>
        </w:trPr>
        <w:tc>
          <w:tcPr>
            <w:cnfStyle w:val="001000000000" w:firstRow="0" w:lastRow="0" w:firstColumn="1" w:lastColumn="0" w:oddVBand="0" w:evenVBand="0" w:oddHBand="0" w:evenHBand="0" w:firstRowFirstColumn="0" w:firstRowLastColumn="0" w:lastRowFirstColumn="0" w:lastRowLastColumn="0"/>
            <w:tcW w:w="730" w:type="dxa"/>
            <w:tcBorders>
              <w:top w:val="nil"/>
              <w:bottom w:val="nil"/>
            </w:tcBorders>
            <w:shd w:val="clear" w:color="auto" w:fill="auto"/>
          </w:tcPr>
          <w:p w14:paraId="51221658" w14:textId="77777777" w:rsidR="00C815FC" w:rsidRPr="004F68AA" w:rsidRDefault="00A27E7F" w:rsidP="00A27E7F">
            <w:pPr>
              <w:spacing w:after="0" w:line="360" w:lineRule="auto"/>
              <w:jc w:val="center"/>
              <w:rPr>
                <w:rFonts w:ascii="Calibri" w:hAnsi="Calibri"/>
                <w:b w:val="0"/>
              </w:rPr>
            </w:pPr>
            <w:r w:rsidRPr="004F68AA">
              <w:rPr>
                <w:b w:val="0"/>
              </w:rPr>
              <w:t>50-59</w:t>
            </w:r>
          </w:p>
        </w:tc>
        <w:tc>
          <w:tcPr>
            <w:tcW w:w="5212" w:type="dxa"/>
            <w:tcBorders>
              <w:top w:val="nil"/>
              <w:bottom w:val="nil"/>
            </w:tcBorders>
            <w:shd w:val="clear" w:color="auto" w:fill="auto"/>
          </w:tcPr>
          <w:p w14:paraId="23C01B71" w14:textId="77777777" w:rsidR="00C815FC" w:rsidRPr="004F68AA" w:rsidRDefault="00A27E7F" w:rsidP="00A27E7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F68AA">
              <w:t>12.30 (10.23)</w:t>
            </w:r>
          </w:p>
        </w:tc>
      </w:tr>
      <w:tr w:rsidR="00C815FC" w:rsidRPr="004F68AA" w14:paraId="253B625F" w14:textId="77777777" w:rsidTr="00C815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0" w:type="dxa"/>
            <w:tcBorders>
              <w:top w:val="nil"/>
              <w:bottom w:val="nil"/>
            </w:tcBorders>
            <w:shd w:val="clear" w:color="auto" w:fill="D9D9D9" w:themeFill="background1" w:themeFillShade="D9"/>
          </w:tcPr>
          <w:p w14:paraId="67DFE0C1" w14:textId="77777777" w:rsidR="00C815FC" w:rsidRPr="004F68AA" w:rsidRDefault="00A27E7F" w:rsidP="00A27E7F">
            <w:pPr>
              <w:spacing w:after="0" w:line="360" w:lineRule="auto"/>
              <w:jc w:val="center"/>
              <w:rPr>
                <w:rFonts w:ascii="Calibri" w:hAnsi="Calibri"/>
                <w:b w:val="0"/>
              </w:rPr>
            </w:pPr>
            <w:r w:rsidRPr="004F68AA">
              <w:rPr>
                <w:b w:val="0"/>
              </w:rPr>
              <w:t>60-69</w:t>
            </w:r>
          </w:p>
        </w:tc>
        <w:tc>
          <w:tcPr>
            <w:tcW w:w="5212" w:type="dxa"/>
            <w:tcBorders>
              <w:top w:val="nil"/>
              <w:bottom w:val="nil"/>
            </w:tcBorders>
            <w:shd w:val="clear" w:color="auto" w:fill="D9D9D9" w:themeFill="background1" w:themeFillShade="D9"/>
          </w:tcPr>
          <w:p w14:paraId="12BE2FC5" w14:textId="77777777" w:rsidR="00C815FC" w:rsidRPr="004F68AA" w:rsidRDefault="00A27E7F" w:rsidP="00A27E7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8AA">
              <w:t>9.21 (7.96)</w:t>
            </w:r>
          </w:p>
        </w:tc>
      </w:tr>
      <w:tr w:rsidR="00C815FC" w:rsidRPr="004F68AA" w14:paraId="6BA4AC50" w14:textId="77777777" w:rsidTr="00C815FC">
        <w:trPr>
          <w:jc w:val="center"/>
        </w:trPr>
        <w:tc>
          <w:tcPr>
            <w:cnfStyle w:val="001000000000" w:firstRow="0" w:lastRow="0" w:firstColumn="1" w:lastColumn="0" w:oddVBand="0" w:evenVBand="0" w:oddHBand="0" w:evenHBand="0" w:firstRowFirstColumn="0" w:firstRowLastColumn="0" w:lastRowFirstColumn="0" w:lastRowLastColumn="0"/>
            <w:tcW w:w="730" w:type="dxa"/>
            <w:tcBorders>
              <w:top w:val="nil"/>
            </w:tcBorders>
            <w:shd w:val="clear" w:color="auto" w:fill="auto"/>
          </w:tcPr>
          <w:p w14:paraId="7239AD20" w14:textId="77777777" w:rsidR="00C815FC" w:rsidRPr="004F68AA" w:rsidRDefault="00A27E7F" w:rsidP="00A27E7F">
            <w:pPr>
              <w:spacing w:after="0" w:line="360" w:lineRule="auto"/>
              <w:jc w:val="center"/>
              <w:rPr>
                <w:rFonts w:ascii="Calibri" w:hAnsi="Calibri"/>
                <w:b w:val="0"/>
              </w:rPr>
            </w:pPr>
            <w:r w:rsidRPr="004F68AA">
              <w:rPr>
                <w:b w:val="0"/>
              </w:rPr>
              <w:t>70+</w:t>
            </w:r>
          </w:p>
        </w:tc>
        <w:tc>
          <w:tcPr>
            <w:tcW w:w="5212" w:type="dxa"/>
            <w:tcBorders>
              <w:top w:val="nil"/>
            </w:tcBorders>
            <w:shd w:val="clear" w:color="auto" w:fill="auto"/>
          </w:tcPr>
          <w:p w14:paraId="29B3A3EE" w14:textId="77777777" w:rsidR="00C815FC" w:rsidRPr="004F68AA" w:rsidRDefault="00A27E7F" w:rsidP="00A27E7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F68AA">
              <w:t>6.89 (5.83)</w:t>
            </w:r>
          </w:p>
        </w:tc>
      </w:tr>
    </w:tbl>
    <w:p w14:paraId="10E3BB5A" w14:textId="77777777" w:rsidR="00C815FC" w:rsidRPr="004F68AA" w:rsidRDefault="00C815FC" w:rsidP="00A27E7F">
      <w:pPr>
        <w:spacing w:after="0" w:line="360" w:lineRule="auto"/>
        <w:rPr>
          <w:rFonts w:ascii="Calibri" w:hAnsi="Calibri"/>
        </w:rPr>
      </w:pPr>
    </w:p>
    <w:p w14:paraId="0B97234C" w14:textId="77777777" w:rsidR="00C815FC" w:rsidRPr="004F68AA" w:rsidRDefault="00C815FC" w:rsidP="00A27E7F">
      <w:pPr>
        <w:spacing w:after="0" w:line="360" w:lineRule="auto"/>
        <w:jc w:val="center"/>
        <w:rPr>
          <w:rFonts w:ascii="Calibri" w:hAnsi="Calibri"/>
        </w:rPr>
      </w:pPr>
    </w:p>
    <w:p w14:paraId="4031C58B" w14:textId="77777777" w:rsidR="00C815FC" w:rsidRPr="004F68AA" w:rsidRDefault="00A27E7F" w:rsidP="00A27E7F">
      <w:pPr>
        <w:spacing w:after="0" w:line="360" w:lineRule="auto"/>
        <w:jc w:val="center"/>
        <w:rPr>
          <w:rFonts w:ascii="Calibri" w:hAnsi="Calibri"/>
        </w:rPr>
      </w:pPr>
      <w:r w:rsidRPr="004F68AA">
        <w:rPr>
          <w:noProof/>
          <w:lang w:val="en-US"/>
        </w:rPr>
        <w:lastRenderedPageBreak/>
        <w:drawing>
          <wp:inline distT="0" distB="0" distL="0" distR="0" wp14:anchorId="13E42DF1" wp14:editId="33C33A83">
            <wp:extent cx="3937635" cy="2879725"/>
            <wp:effectExtent l="0" t="0" r="0" b="0"/>
            <wp:docPr id="2" name="Picture 5" descr="Macintosh HD:Users:moghadas:Dropbox:Influenza Vaccine:Results:ContactMatri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moghadas:Dropbox:Influenza Vaccine:Results:ContactMatrix.pdf"/>
                    <pic:cNvPicPr>
                      <a:picLocks noChangeAspect="1" noChangeArrowheads="1"/>
                    </pic:cNvPicPr>
                  </pic:nvPicPr>
                  <pic:blipFill>
                    <a:blip r:embed="rId9"/>
                    <a:stretch>
                      <a:fillRect/>
                    </a:stretch>
                  </pic:blipFill>
                  <pic:spPr bwMode="auto">
                    <a:xfrm>
                      <a:off x="0" y="0"/>
                      <a:ext cx="3937635" cy="2879725"/>
                    </a:xfrm>
                    <a:prstGeom prst="rect">
                      <a:avLst/>
                    </a:prstGeom>
                  </pic:spPr>
                </pic:pic>
              </a:graphicData>
            </a:graphic>
          </wp:inline>
        </w:drawing>
      </w:r>
    </w:p>
    <w:p w14:paraId="50744268" w14:textId="44C37705" w:rsidR="00C815FC" w:rsidRPr="004F68AA" w:rsidRDefault="00A27E7F" w:rsidP="00A27E7F">
      <w:pPr>
        <w:spacing w:after="0" w:line="360" w:lineRule="auto"/>
        <w:jc w:val="center"/>
        <w:rPr>
          <w:rFonts w:ascii="Calibri" w:hAnsi="Calibri"/>
        </w:rPr>
      </w:pPr>
      <w:r w:rsidRPr="004F68AA">
        <w:rPr>
          <w:b/>
        </w:rPr>
        <w:t xml:space="preserve">Figure S2 – </w:t>
      </w:r>
      <w:r w:rsidRPr="004F68AA">
        <w:t>Simulated daily number of contacts between age groups</w:t>
      </w:r>
      <w:r w:rsidR="00047C26" w:rsidRPr="004F68AA">
        <w:t xml:space="preserve"> represented in log</w:t>
      </w:r>
      <w:r w:rsidR="00337CC6">
        <w:t>-scale</w:t>
      </w:r>
      <w:r w:rsidRPr="004F68AA">
        <w:t>.</w:t>
      </w:r>
    </w:p>
    <w:p w14:paraId="1724729D" w14:textId="77777777" w:rsidR="00C815FC" w:rsidRPr="004F68AA" w:rsidRDefault="00C815FC" w:rsidP="00A27E7F">
      <w:pPr>
        <w:spacing w:after="0" w:line="360" w:lineRule="auto"/>
        <w:jc w:val="both"/>
        <w:rPr>
          <w:rFonts w:ascii="Calibri" w:hAnsi="Calibri"/>
          <w:b/>
        </w:rPr>
      </w:pPr>
    </w:p>
    <w:p w14:paraId="6C4DBAE9" w14:textId="77777777" w:rsidR="00C815FC" w:rsidRPr="004F68AA" w:rsidRDefault="00A27E7F" w:rsidP="00A27E7F">
      <w:pPr>
        <w:spacing w:after="0" w:line="360" w:lineRule="auto"/>
        <w:jc w:val="both"/>
        <w:rPr>
          <w:rFonts w:ascii="Calibri" w:hAnsi="Calibri" w:cstheme="minorHAnsi"/>
          <w:b/>
        </w:rPr>
      </w:pPr>
      <w:r w:rsidRPr="004F68AA">
        <w:rPr>
          <w:rFonts w:cstheme="minorHAnsi"/>
          <w:b/>
        </w:rPr>
        <w:t>Infectious period distribution</w:t>
      </w:r>
    </w:p>
    <w:p w14:paraId="7D088097" w14:textId="77777777" w:rsidR="00C815FC" w:rsidRPr="004F68AA" w:rsidRDefault="00A27E7F" w:rsidP="00A27E7F">
      <w:pPr>
        <w:spacing w:after="0" w:line="360" w:lineRule="auto"/>
        <w:jc w:val="both"/>
        <w:rPr>
          <w:rFonts w:ascii="Calibri" w:hAnsi="Calibri" w:cstheme="minorHAnsi"/>
        </w:rPr>
      </w:pPr>
      <w:r w:rsidRPr="004F68AA">
        <w:rPr>
          <w:rFonts w:cstheme="minorHAnsi"/>
        </w:rPr>
        <w:t xml:space="preserve">The infectious period of an infected individual was sampled from a truncated lognormal distribution, with the mean of 3.38 days (and maximum length of 15 days), as illustrated in Figure S3.   </w:t>
      </w:r>
    </w:p>
    <w:p w14:paraId="4A3A1C1D" w14:textId="77777777" w:rsidR="00C815FC" w:rsidRPr="004F68AA" w:rsidRDefault="00C815FC" w:rsidP="00A27E7F">
      <w:pPr>
        <w:spacing w:after="0" w:line="360" w:lineRule="auto"/>
        <w:jc w:val="both"/>
        <w:rPr>
          <w:rFonts w:ascii="Calibri" w:hAnsi="Calibri" w:cstheme="minorHAnsi"/>
        </w:rPr>
      </w:pPr>
    </w:p>
    <w:p w14:paraId="325556BC" w14:textId="77777777" w:rsidR="00C815FC" w:rsidRPr="004F68AA" w:rsidRDefault="00A27E7F" w:rsidP="00A27E7F">
      <w:pPr>
        <w:spacing w:after="0" w:line="360" w:lineRule="auto"/>
        <w:jc w:val="center"/>
        <w:rPr>
          <w:rFonts w:ascii="Calibri" w:hAnsi="Calibri" w:cstheme="minorHAnsi"/>
        </w:rPr>
      </w:pPr>
      <w:r w:rsidRPr="004F68AA">
        <w:rPr>
          <w:noProof/>
          <w:lang w:val="en-US"/>
        </w:rPr>
        <w:drawing>
          <wp:inline distT="0" distB="0" distL="0" distR="0" wp14:anchorId="63A883C3" wp14:editId="52D3B751">
            <wp:extent cx="2924175" cy="2339975"/>
            <wp:effectExtent l="0" t="0" r="0" b="0"/>
            <wp:docPr id="3" name="Picture 7" descr="Macintosh HD:Users:moghadas:Dropbox:Influenza Vaccine:lognorm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Macintosh HD:Users:moghadas:Dropbox:Influenza Vaccine:lognormal.pdf"/>
                    <pic:cNvPicPr>
                      <a:picLocks noChangeAspect="1" noChangeArrowheads="1"/>
                    </pic:cNvPicPr>
                  </pic:nvPicPr>
                  <pic:blipFill>
                    <a:blip r:embed="rId10"/>
                    <a:stretch>
                      <a:fillRect/>
                    </a:stretch>
                  </pic:blipFill>
                  <pic:spPr bwMode="auto">
                    <a:xfrm>
                      <a:off x="0" y="0"/>
                      <a:ext cx="2924175" cy="2339975"/>
                    </a:xfrm>
                    <a:prstGeom prst="rect">
                      <a:avLst/>
                    </a:prstGeom>
                  </pic:spPr>
                </pic:pic>
              </a:graphicData>
            </a:graphic>
          </wp:inline>
        </w:drawing>
      </w:r>
    </w:p>
    <w:p w14:paraId="0EED27BE" w14:textId="00028C15" w:rsidR="00C815FC" w:rsidRPr="004F68AA" w:rsidRDefault="00A27E7F" w:rsidP="00A27E7F">
      <w:pPr>
        <w:spacing w:after="0" w:line="360" w:lineRule="auto"/>
        <w:jc w:val="center"/>
        <w:rPr>
          <w:rFonts w:ascii="Calibri" w:hAnsi="Calibri" w:cstheme="minorHAnsi"/>
        </w:rPr>
      </w:pPr>
      <w:r w:rsidRPr="004F68AA">
        <w:rPr>
          <w:rFonts w:cstheme="minorHAnsi"/>
          <w:b/>
        </w:rPr>
        <w:t>Figure S3.</w:t>
      </w:r>
      <w:r w:rsidRPr="004F68AA">
        <w:rPr>
          <w:rFonts w:cstheme="minorHAnsi"/>
        </w:rPr>
        <w:t xml:space="preserve"> Lognormal distribution </w:t>
      </w:r>
      <w:r w:rsidR="00055B00">
        <w:rPr>
          <w:rFonts w:cstheme="minorHAnsi"/>
        </w:rPr>
        <w:t>of</w:t>
      </w:r>
      <w:r w:rsidRPr="004F68AA">
        <w:rPr>
          <w:rFonts w:cstheme="minorHAnsi"/>
        </w:rPr>
        <w:t xml:space="preserve"> the infectious period.</w:t>
      </w:r>
    </w:p>
    <w:p w14:paraId="3B1A5567" w14:textId="77777777" w:rsidR="00C815FC" w:rsidRPr="004F68AA" w:rsidRDefault="00C815FC" w:rsidP="00A27E7F">
      <w:pPr>
        <w:spacing w:after="0" w:line="360" w:lineRule="auto"/>
        <w:jc w:val="both"/>
        <w:rPr>
          <w:rFonts w:ascii="Calibri" w:hAnsi="Calibri"/>
          <w:b/>
        </w:rPr>
      </w:pPr>
    </w:p>
    <w:p w14:paraId="7C4B1ECA" w14:textId="77777777" w:rsidR="00C815FC" w:rsidRPr="004F68AA" w:rsidRDefault="00A27E7F" w:rsidP="00A27E7F">
      <w:pPr>
        <w:spacing w:after="0" w:line="360" w:lineRule="auto"/>
        <w:jc w:val="both"/>
        <w:rPr>
          <w:rFonts w:ascii="Calibri" w:hAnsi="Calibri"/>
        </w:rPr>
      </w:pPr>
      <w:r w:rsidRPr="004F68AA">
        <w:rPr>
          <w:b/>
        </w:rPr>
        <w:t>Vaccination</w:t>
      </w:r>
      <w:r w:rsidRPr="004F68AA">
        <w:t xml:space="preserve"> </w:t>
      </w:r>
    </w:p>
    <w:p w14:paraId="68E92B6F" w14:textId="41BEC9BA" w:rsidR="00C815FC" w:rsidRPr="004F68AA" w:rsidRDefault="00A27E7F" w:rsidP="00A27E7F">
      <w:pPr>
        <w:spacing w:after="0" w:line="360" w:lineRule="auto"/>
        <w:jc w:val="both"/>
        <w:rPr>
          <w:rFonts w:ascii="Calibri" w:hAnsi="Calibri"/>
          <w:b/>
        </w:rPr>
      </w:pPr>
      <w:r w:rsidRPr="004F68AA">
        <w:t xml:space="preserve">We included behavioural responses of individuals in the presence of vaccination. We assumed that vaccinated individuals are less likely to practice avoidance behaviour compared to unvaccinated individuals in terms of avoiding their contacts with symptomatically infectious individuals. Although </w:t>
      </w:r>
      <w:r w:rsidRPr="004F68AA">
        <w:lastRenderedPageBreak/>
        <w:t xml:space="preserve">there is a vast literature on the perception of risks and benefits prior to receiving a vaccine [Refs], there is no study to quantify the risk-of-infection perception following vaccination. However, it is reasonable to assume that vaccinated individuals may perceive their risk-of-infection reduced due to protective effects of </w:t>
      </w:r>
      <w:r w:rsidR="00165339" w:rsidRPr="004F68AA">
        <w:t xml:space="preserve">the </w:t>
      </w:r>
      <w:r w:rsidRPr="004F68AA">
        <w:t>vaccine, and therefore</w:t>
      </w:r>
      <w:r w:rsidR="00165339" w:rsidRPr="004F68AA">
        <w:t>, may</w:t>
      </w:r>
      <w:r w:rsidRPr="004F68AA">
        <w:t xml:space="preserve"> practice lower level of precaution in avoiding potentially infectious contacts. We therefore considered the parameter of avoidance behaviour for vaccinated individuals to be less than that of susceptible individuals and may reach the same level at its maximum.</w:t>
      </w:r>
    </w:p>
    <w:p w14:paraId="70758FBC" w14:textId="1D90E1C0" w:rsidR="00C815FC" w:rsidRPr="004F68AA" w:rsidRDefault="00A27E7F" w:rsidP="00A27E7F">
      <w:pPr>
        <w:spacing w:after="0" w:line="360" w:lineRule="auto"/>
        <w:jc w:val="both"/>
      </w:pPr>
      <w:r w:rsidRPr="004F68AA">
        <w:t>Vaccination was implemented as pre-epidemic strategy, and coverage was achieved for different age groups in random vaccination</w:t>
      </w:r>
      <w:r w:rsidRPr="004F68AA">
        <w:rPr>
          <w:rStyle w:val="EndnoteAnchor"/>
        </w:rPr>
        <w:endnoteReference w:id="3"/>
      </w:r>
      <w:r w:rsidRPr="004F68AA">
        <w:t xml:space="preserve">. Table S2 summarizes the vaccine coverage for different age groups reported in the </w:t>
      </w:r>
      <w:r w:rsidRPr="004F68AA">
        <w:rPr>
          <w:rFonts w:cs="Times New Roman"/>
          <w:lang w:val="en-US"/>
        </w:rPr>
        <w:t>National Influenza Immunization Coverage Survey, Canada, 2016-2017</w:t>
      </w:r>
      <w:r w:rsidRPr="004F68AA">
        <w:t>.</w:t>
      </w:r>
    </w:p>
    <w:p w14:paraId="69180F03" w14:textId="095B3010" w:rsidR="00C815FC" w:rsidRPr="004F68AA" w:rsidRDefault="00A27E7F" w:rsidP="00A27E7F">
      <w:pPr>
        <w:spacing w:after="0" w:line="360" w:lineRule="auto"/>
        <w:jc w:val="center"/>
        <w:rPr>
          <w:rFonts w:ascii="Calibri" w:hAnsi="Calibri"/>
        </w:rPr>
      </w:pPr>
      <w:r w:rsidRPr="004F68AA">
        <w:rPr>
          <w:b/>
        </w:rPr>
        <w:t xml:space="preserve">Table S2. </w:t>
      </w:r>
      <w:r w:rsidRPr="004F68AA">
        <w:t xml:space="preserve">Vaccine coverage for </w:t>
      </w:r>
      <w:r w:rsidR="00FC3E90" w:rsidRPr="004F68AA">
        <w:t>aggregated</w:t>
      </w:r>
      <w:r w:rsidRPr="004F68AA">
        <w:t xml:space="preserve"> age groups.</w:t>
      </w:r>
    </w:p>
    <w:tbl>
      <w:tblPr>
        <w:tblStyle w:val="LightShading"/>
        <w:tblW w:w="5225" w:type="dxa"/>
        <w:jc w:val="center"/>
        <w:tblLook w:val="04A0" w:firstRow="1" w:lastRow="0" w:firstColumn="1" w:lastColumn="0" w:noHBand="0" w:noVBand="1"/>
      </w:tblPr>
      <w:tblGrid>
        <w:gridCol w:w="1908"/>
        <w:gridCol w:w="3317"/>
      </w:tblGrid>
      <w:tr w:rsidR="00C815FC" w:rsidRPr="004F68AA" w14:paraId="4B735662" w14:textId="77777777" w:rsidTr="00C815FC">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908" w:type="dxa"/>
            <w:shd w:val="clear" w:color="auto" w:fill="auto"/>
          </w:tcPr>
          <w:p w14:paraId="5B04DFB2" w14:textId="77777777" w:rsidR="00C815FC" w:rsidRPr="004F68AA" w:rsidRDefault="00A27E7F" w:rsidP="00A27E7F">
            <w:pPr>
              <w:spacing w:after="0" w:line="360" w:lineRule="auto"/>
              <w:rPr>
                <w:rFonts w:ascii="Calibri" w:hAnsi="Calibri"/>
              </w:rPr>
            </w:pPr>
            <w:r w:rsidRPr="004F68AA">
              <w:t>Age</w:t>
            </w:r>
          </w:p>
        </w:tc>
        <w:tc>
          <w:tcPr>
            <w:tcW w:w="3316" w:type="dxa"/>
            <w:shd w:val="clear" w:color="auto" w:fill="auto"/>
          </w:tcPr>
          <w:p w14:paraId="6506A84C" w14:textId="77777777" w:rsidR="00C815FC" w:rsidRPr="004F68AA" w:rsidRDefault="00A27E7F" w:rsidP="00A27E7F">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rPr>
            </w:pPr>
            <w:r w:rsidRPr="004F68AA">
              <w:t>Coverage (95% confident interval)</w:t>
            </w:r>
          </w:p>
        </w:tc>
      </w:tr>
      <w:tr w:rsidR="00C815FC" w:rsidRPr="004F68AA" w14:paraId="68D73CAB" w14:textId="77777777" w:rsidTr="00C815F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08" w:type="dxa"/>
            <w:tcBorders>
              <w:top w:val="nil"/>
              <w:bottom w:val="nil"/>
            </w:tcBorders>
            <w:shd w:val="clear" w:color="auto" w:fill="D9D9D9" w:themeFill="background1" w:themeFillShade="D9"/>
          </w:tcPr>
          <w:p w14:paraId="22C5C139" w14:textId="77777777" w:rsidR="00C815FC" w:rsidRPr="004F68AA" w:rsidRDefault="00A27E7F" w:rsidP="00A27E7F">
            <w:pPr>
              <w:spacing w:after="0" w:line="360" w:lineRule="auto"/>
              <w:rPr>
                <w:rFonts w:ascii="Calibri" w:hAnsi="Calibri"/>
                <w:b w:val="0"/>
              </w:rPr>
            </w:pPr>
            <w:r w:rsidRPr="004F68AA">
              <w:rPr>
                <w:b w:val="0"/>
              </w:rPr>
              <w:t>6 months – 4 years</w:t>
            </w:r>
          </w:p>
        </w:tc>
        <w:tc>
          <w:tcPr>
            <w:tcW w:w="3316" w:type="dxa"/>
            <w:tcBorders>
              <w:top w:val="nil"/>
              <w:bottom w:val="nil"/>
            </w:tcBorders>
            <w:shd w:val="clear" w:color="auto" w:fill="D9D9D9" w:themeFill="background1" w:themeFillShade="D9"/>
          </w:tcPr>
          <w:p w14:paraId="17927676" w14:textId="77777777" w:rsidR="00C815FC" w:rsidRPr="004F68AA" w:rsidRDefault="00A27E7F" w:rsidP="00A27E7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8AA">
              <w:rPr>
                <w:rFonts w:cs="Times New Roman"/>
                <w:lang w:val="en-US"/>
              </w:rPr>
              <w:t>26.5 (20.1–32.9)</w:t>
            </w:r>
          </w:p>
        </w:tc>
      </w:tr>
      <w:tr w:rsidR="00C815FC" w:rsidRPr="004F68AA" w14:paraId="1392E363" w14:textId="77777777" w:rsidTr="00C815FC">
        <w:trPr>
          <w:trHeight w:val="311"/>
          <w:jc w:val="center"/>
        </w:trPr>
        <w:tc>
          <w:tcPr>
            <w:cnfStyle w:val="001000000000" w:firstRow="0" w:lastRow="0" w:firstColumn="1" w:lastColumn="0" w:oddVBand="0" w:evenVBand="0" w:oddHBand="0" w:evenHBand="0" w:firstRowFirstColumn="0" w:firstRowLastColumn="0" w:lastRowFirstColumn="0" w:lastRowLastColumn="0"/>
            <w:tcW w:w="1908" w:type="dxa"/>
            <w:tcBorders>
              <w:top w:val="nil"/>
              <w:bottom w:val="nil"/>
            </w:tcBorders>
            <w:shd w:val="clear" w:color="auto" w:fill="auto"/>
          </w:tcPr>
          <w:p w14:paraId="243F67FB" w14:textId="77777777" w:rsidR="00C815FC" w:rsidRPr="004F68AA" w:rsidRDefault="00A27E7F" w:rsidP="00A27E7F">
            <w:pPr>
              <w:spacing w:after="0" w:line="360" w:lineRule="auto"/>
              <w:rPr>
                <w:rFonts w:ascii="Calibri" w:hAnsi="Calibri"/>
                <w:b w:val="0"/>
              </w:rPr>
            </w:pPr>
            <w:r w:rsidRPr="004F68AA">
              <w:rPr>
                <w:b w:val="0"/>
              </w:rPr>
              <w:t>5 – 12 years</w:t>
            </w:r>
          </w:p>
        </w:tc>
        <w:tc>
          <w:tcPr>
            <w:tcW w:w="3316" w:type="dxa"/>
            <w:tcBorders>
              <w:top w:val="nil"/>
              <w:bottom w:val="nil"/>
            </w:tcBorders>
            <w:shd w:val="clear" w:color="auto" w:fill="auto"/>
          </w:tcPr>
          <w:p w14:paraId="2F84C554" w14:textId="77777777" w:rsidR="00C815FC" w:rsidRPr="004F68AA" w:rsidRDefault="00A27E7F" w:rsidP="00A27E7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F68AA">
              <w:rPr>
                <w:rFonts w:cs="Times New Roman"/>
                <w:lang w:val="en-US"/>
              </w:rPr>
              <w:t>23.0 (18.5–27.4)</w:t>
            </w:r>
          </w:p>
        </w:tc>
      </w:tr>
      <w:tr w:rsidR="00C815FC" w:rsidRPr="004F68AA" w14:paraId="4BDF0945" w14:textId="77777777" w:rsidTr="00C815FC">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908" w:type="dxa"/>
            <w:tcBorders>
              <w:top w:val="nil"/>
              <w:bottom w:val="nil"/>
            </w:tcBorders>
            <w:shd w:val="clear" w:color="auto" w:fill="D9D9D9" w:themeFill="background1" w:themeFillShade="D9"/>
          </w:tcPr>
          <w:p w14:paraId="052A0577" w14:textId="77777777" w:rsidR="00C815FC" w:rsidRPr="004F68AA" w:rsidRDefault="00A27E7F" w:rsidP="00A27E7F">
            <w:pPr>
              <w:spacing w:after="0" w:line="360" w:lineRule="auto"/>
              <w:rPr>
                <w:rFonts w:ascii="Calibri" w:hAnsi="Calibri"/>
                <w:b w:val="0"/>
              </w:rPr>
            </w:pPr>
            <w:r w:rsidRPr="004F68AA">
              <w:rPr>
                <w:b w:val="0"/>
              </w:rPr>
              <w:t>13 – 17 years</w:t>
            </w:r>
          </w:p>
        </w:tc>
        <w:tc>
          <w:tcPr>
            <w:tcW w:w="3316" w:type="dxa"/>
            <w:tcBorders>
              <w:top w:val="nil"/>
              <w:bottom w:val="nil"/>
            </w:tcBorders>
            <w:shd w:val="clear" w:color="auto" w:fill="D9D9D9" w:themeFill="background1" w:themeFillShade="D9"/>
          </w:tcPr>
          <w:p w14:paraId="3820580F" w14:textId="77777777" w:rsidR="00C815FC" w:rsidRPr="004F68AA" w:rsidRDefault="00A27E7F" w:rsidP="00A27E7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lang w:val="en-US"/>
              </w:rPr>
            </w:pPr>
            <w:r w:rsidRPr="004F68AA">
              <w:rPr>
                <w:rFonts w:cs="Times New Roman"/>
                <w:lang w:val="en-US"/>
              </w:rPr>
              <w:t>23.2 (17.0–29.4)</w:t>
            </w:r>
          </w:p>
        </w:tc>
      </w:tr>
      <w:tr w:rsidR="00C815FC" w:rsidRPr="004F68AA" w14:paraId="6E22DC59" w14:textId="77777777" w:rsidTr="00C815FC">
        <w:trPr>
          <w:trHeight w:val="311"/>
          <w:jc w:val="center"/>
        </w:trPr>
        <w:tc>
          <w:tcPr>
            <w:cnfStyle w:val="001000000000" w:firstRow="0" w:lastRow="0" w:firstColumn="1" w:lastColumn="0" w:oddVBand="0" w:evenVBand="0" w:oddHBand="0" w:evenHBand="0" w:firstRowFirstColumn="0" w:firstRowLastColumn="0" w:lastRowFirstColumn="0" w:lastRowLastColumn="0"/>
            <w:tcW w:w="1908" w:type="dxa"/>
            <w:tcBorders>
              <w:top w:val="nil"/>
              <w:bottom w:val="nil"/>
            </w:tcBorders>
            <w:shd w:val="clear" w:color="auto" w:fill="auto"/>
          </w:tcPr>
          <w:p w14:paraId="46738364" w14:textId="77777777" w:rsidR="00C815FC" w:rsidRPr="004F68AA" w:rsidRDefault="00A27E7F" w:rsidP="00A27E7F">
            <w:pPr>
              <w:spacing w:after="0" w:line="360" w:lineRule="auto"/>
              <w:rPr>
                <w:rFonts w:ascii="Calibri" w:hAnsi="Calibri"/>
                <w:b w:val="0"/>
              </w:rPr>
            </w:pPr>
            <w:r w:rsidRPr="004F68AA">
              <w:rPr>
                <w:b w:val="0"/>
              </w:rPr>
              <w:t>18 – 49 years</w:t>
            </w:r>
          </w:p>
        </w:tc>
        <w:tc>
          <w:tcPr>
            <w:tcW w:w="3316" w:type="dxa"/>
            <w:tcBorders>
              <w:top w:val="nil"/>
              <w:bottom w:val="nil"/>
            </w:tcBorders>
            <w:shd w:val="clear" w:color="auto" w:fill="auto"/>
          </w:tcPr>
          <w:p w14:paraId="58847FAC" w14:textId="77777777" w:rsidR="00C815FC" w:rsidRPr="004F68AA" w:rsidRDefault="00A27E7F" w:rsidP="00A27E7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lang w:val="en-US"/>
              </w:rPr>
            </w:pPr>
            <w:r w:rsidRPr="004F68AA">
              <w:rPr>
                <w:rFonts w:cs="Times New Roman"/>
                <w:lang w:val="en-US"/>
              </w:rPr>
              <w:t>22.7 (19.4–25.9)</w:t>
            </w:r>
          </w:p>
        </w:tc>
      </w:tr>
      <w:tr w:rsidR="00C815FC" w:rsidRPr="004F68AA" w14:paraId="546D87F2" w14:textId="77777777" w:rsidTr="00C815FC">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908" w:type="dxa"/>
            <w:tcBorders>
              <w:top w:val="nil"/>
              <w:bottom w:val="nil"/>
            </w:tcBorders>
            <w:shd w:val="clear" w:color="auto" w:fill="D9D9D9" w:themeFill="background1" w:themeFillShade="D9"/>
          </w:tcPr>
          <w:p w14:paraId="4A6C2DA1" w14:textId="77777777" w:rsidR="00C815FC" w:rsidRPr="004F68AA" w:rsidRDefault="00A27E7F" w:rsidP="00A27E7F">
            <w:pPr>
              <w:spacing w:after="0" w:line="360" w:lineRule="auto"/>
              <w:rPr>
                <w:rFonts w:ascii="Calibri" w:hAnsi="Calibri"/>
                <w:b w:val="0"/>
              </w:rPr>
            </w:pPr>
            <w:r w:rsidRPr="004F68AA">
              <w:rPr>
                <w:b w:val="0"/>
              </w:rPr>
              <w:t>50 – 64 years</w:t>
            </w:r>
          </w:p>
        </w:tc>
        <w:tc>
          <w:tcPr>
            <w:tcW w:w="3316" w:type="dxa"/>
            <w:tcBorders>
              <w:top w:val="nil"/>
              <w:bottom w:val="nil"/>
            </w:tcBorders>
            <w:shd w:val="clear" w:color="auto" w:fill="D9D9D9" w:themeFill="background1" w:themeFillShade="D9"/>
          </w:tcPr>
          <w:p w14:paraId="331F5786" w14:textId="77777777" w:rsidR="00C815FC" w:rsidRPr="004F68AA" w:rsidRDefault="00A27E7F" w:rsidP="00A27E7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8AA">
              <w:rPr>
                <w:rFonts w:cs="Times New Roman"/>
                <w:lang w:val="en-US"/>
              </w:rPr>
              <w:t>38.2 (34.2–42.3)</w:t>
            </w:r>
          </w:p>
        </w:tc>
      </w:tr>
      <w:tr w:rsidR="00C815FC" w:rsidRPr="004F68AA" w14:paraId="5F1D3EF0" w14:textId="77777777" w:rsidTr="00C815FC">
        <w:trPr>
          <w:trHeight w:val="320"/>
          <w:jc w:val="center"/>
        </w:trPr>
        <w:tc>
          <w:tcPr>
            <w:cnfStyle w:val="001000000000" w:firstRow="0" w:lastRow="0" w:firstColumn="1" w:lastColumn="0" w:oddVBand="0" w:evenVBand="0" w:oddHBand="0" w:evenHBand="0" w:firstRowFirstColumn="0" w:firstRowLastColumn="0" w:lastRowFirstColumn="0" w:lastRowLastColumn="0"/>
            <w:tcW w:w="1908" w:type="dxa"/>
            <w:tcBorders>
              <w:top w:val="nil"/>
            </w:tcBorders>
            <w:shd w:val="clear" w:color="auto" w:fill="auto"/>
          </w:tcPr>
          <w:p w14:paraId="090527B5" w14:textId="77777777" w:rsidR="00C815FC" w:rsidRPr="004F68AA" w:rsidRDefault="00A27E7F" w:rsidP="00A27E7F">
            <w:pPr>
              <w:spacing w:after="0" w:line="360" w:lineRule="auto"/>
              <w:rPr>
                <w:rFonts w:ascii="Calibri" w:hAnsi="Calibri"/>
                <w:b w:val="0"/>
              </w:rPr>
            </w:pPr>
            <w:r w:rsidRPr="004F68AA">
              <w:rPr>
                <w:b w:val="0"/>
              </w:rPr>
              <w:t>65+</w:t>
            </w:r>
          </w:p>
        </w:tc>
        <w:tc>
          <w:tcPr>
            <w:tcW w:w="3316" w:type="dxa"/>
            <w:tcBorders>
              <w:top w:val="nil"/>
            </w:tcBorders>
            <w:shd w:val="clear" w:color="auto" w:fill="auto"/>
          </w:tcPr>
          <w:p w14:paraId="25D10799" w14:textId="77777777" w:rsidR="00C815FC" w:rsidRPr="004F68AA" w:rsidRDefault="00A27E7F" w:rsidP="00A27E7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F68AA">
              <w:rPr>
                <w:rFonts w:cs="Times New Roman"/>
                <w:lang w:val="en-US"/>
              </w:rPr>
              <w:t>69.5 (65.5–73.4)</w:t>
            </w:r>
          </w:p>
        </w:tc>
      </w:tr>
    </w:tbl>
    <w:p w14:paraId="00046C89" w14:textId="77777777" w:rsidR="00C815FC" w:rsidRPr="004F68AA" w:rsidRDefault="00C815FC" w:rsidP="00A27E7F">
      <w:pPr>
        <w:spacing w:after="0" w:line="360" w:lineRule="auto"/>
        <w:rPr>
          <w:rFonts w:ascii="Calibri" w:hAnsi="Calibri"/>
        </w:rPr>
      </w:pPr>
    </w:p>
    <w:p w14:paraId="44C47419" w14:textId="77777777" w:rsidR="00C815FC" w:rsidRPr="004F68AA" w:rsidRDefault="00A27E7F" w:rsidP="00A27E7F">
      <w:pPr>
        <w:spacing w:after="0" w:line="360" w:lineRule="auto"/>
        <w:rPr>
          <w:rFonts w:ascii="Calibri" w:hAnsi="Calibri"/>
          <w:b/>
        </w:rPr>
      </w:pPr>
      <w:r w:rsidRPr="004F68AA">
        <w:rPr>
          <w:b/>
        </w:rPr>
        <w:t>Frailty index and vaccine effectiveness</w:t>
      </w:r>
    </w:p>
    <w:p w14:paraId="3FA6C2FE" w14:textId="77777777" w:rsidR="00C815FC" w:rsidRPr="004F68AA" w:rsidRDefault="00A27E7F" w:rsidP="00A27E7F">
      <w:pPr>
        <w:spacing w:after="0" w:line="360" w:lineRule="auto"/>
        <w:jc w:val="both"/>
      </w:pPr>
      <w:r w:rsidRPr="004F68AA">
        <w:t xml:space="preserve">Frailty index data of the 2014 </w:t>
      </w:r>
      <w:r w:rsidRPr="004F68AA">
        <w:rPr>
          <w:rFonts w:eastAsiaTheme="minorEastAsia" w:cs="Times New Roman"/>
        </w:rPr>
        <w:t>Canadian Community Health Survey of chronic diseases were fit using</w:t>
      </w:r>
      <w:r w:rsidRPr="004F68AA">
        <w:t xml:space="preserve"> segmented linear regression analysis</w:t>
      </w:r>
      <w:r w:rsidRPr="004F68AA">
        <w:rPr>
          <w:rStyle w:val="EndnoteAnchor"/>
        </w:rPr>
        <w:endnoteReference w:id="4"/>
      </w:r>
      <w:r w:rsidRPr="004F68AA">
        <w:t xml:space="preserve">. We considered the frailty index </w:t>
      </w:r>
      <m:oMath>
        <m:r>
          <w:rPr>
            <w:rFonts w:ascii="Cambria Math" w:hAnsi="Cambria Math"/>
          </w:rPr>
          <m:t>F</m:t>
        </m:r>
        <m:d>
          <m:dPr>
            <m:ctrlPr>
              <w:rPr>
                <w:rFonts w:ascii="Cambria Math" w:hAnsi="Cambria Math"/>
              </w:rPr>
            </m:ctrlPr>
          </m:dPr>
          <m:e>
            <m:r>
              <w:rPr>
                <w:rFonts w:ascii="Cambria Math" w:hAnsi="Cambria Math"/>
              </w:rPr>
              <m:t>a</m:t>
            </m:r>
          </m:e>
        </m:d>
      </m:oMath>
      <w:r w:rsidRPr="004F68AA">
        <w:t xml:space="preserve"> as a function of age in the fitting process, and sampled for each individual of age </w:t>
      </w:r>
      <w:r w:rsidRPr="004F68AA">
        <w:rPr>
          <w:rFonts w:eastAsiaTheme="minorEastAsia"/>
        </w:rPr>
        <w:t>‘</w:t>
      </w:r>
      <m:oMath>
        <m:r>
          <w:rPr>
            <w:rFonts w:ascii="Cambria Math" w:hAnsi="Cambria Math"/>
          </w:rPr>
          <m:t>a</m:t>
        </m:r>
      </m:oMath>
      <w:r w:rsidRPr="004F68AA">
        <w:rPr>
          <w:rFonts w:eastAsiaTheme="minorEastAsia"/>
        </w:rPr>
        <w:t xml:space="preserve">’ </w:t>
      </w:r>
      <w:r w:rsidRPr="004F68AA">
        <w:t xml:space="preserve">from a uniform distribution with the mean of </w:t>
      </w:r>
      <m:oMath>
        <m:r>
          <w:rPr>
            <w:rFonts w:ascii="Cambria Math" w:hAnsi="Cambria Math"/>
          </w:rPr>
          <m:t>F</m:t>
        </m:r>
        <m:d>
          <m:dPr>
            <m:ctrlPr>
              <w:rPr>
                <w:rFonts w:ascii="Cambria Math" w:hAnsi="Cambria Math"/>
              </w:rPr>
            </m:ctrlPr>
          </m:dPr>
          <m:e>
            <m:r>
              <w:rPr>
                <w:rFonts w:ascii="Cambria Math" w:hAnsi="Cambria Math"/>
              </w:rPr>
              <m:t>a</m:t>
            </m:r>
          </m:e>
        </m:d>
      </m:oMath>
      <w:r w:rsidRPr="004F68AA">
        <w:t xml:space="preserve"> in the range </w:t>
      </w:r>
      <m:oMath>
        <m:r>
          <w:rPr>
            <w:rFonts w:ascii="Cambria Math" w:hAnsi="Cambria Math"/>
          </w:rPr>
          <m:t>F</m:t>
        </m:r>
        <m:d>
          <m:dPr>
            <m:ctrlPr>
              <w:rPr>
                <w:rFonts w:ascii="Cambria Math" w:hAnsi="Cambria Math"/>
              </w:rPr>
            </m:ctrlPr>
          </m:dPr>
          <m:e>
            <m:r>
              <w:rPr>
                <w:rFonts w:ascii="Cambria Math" w:hAnsi="Cambria Math"/>
              </w:rPr>
              <m:t>a</m:t>
            </m:r>
          </m:e>
        </m:d>
        <m:r>
          <w:rPr>
            <w:rFonts w:ascii="Cambria Math" w:hAnsi="Cambria Math"/>
          </w:rPr>
          <m:t>±0.05</m:t>
        </m:r>
      </m:oMath>
      <w:r w:rsidRPr="004F68AA">
        <w:rPr>
          <w:rFonts w:eastAsiaTheme="minorEastAsia"/>
        </w:rPr>
        <w:t xml:space="preserve">. </w:t>
      </w:r>
    </w:p>
    <w:p w14:paraId="7B935ECA" w14:textId="77777777" w:rsidR="00C815FC" w:rsidRPr="004F68AA" w:rsidRDefault="00C815FC" w:rsidP="00A27E7F">
      <w:pPr>
        <w:spacing w:after="0" w:line="360" w:lineRule="auto"/>
        <w:jc w:val="both"/>
        <w:rPr>
          <w:rFonts w:ascii="Calibri" w:hAnsi="Calibri"/>
        </w:rPr>
      </w:pPr>
    </w:p>
    <w:p w14:paraId="5FA86763" w14:textId="77777777" w:rsidR="00C815FC" w:rsidRPr="004F68AA" w:rsidRDefault="00A27E7F" w:rsidP="00A27E7F">
      <w:pPr>
        <w:spacing w:after="0" w:line="360" w:lineRule="auto"/>
        <w:jc w:val="center"/>
        <w:rPr>
          <w:rFonts w:ascii="Calibri" w:hAnsi="Calibri"/>
        </w:rPr>
      </w:pPr>
      <w:r w:rsidRPr="004F68AA">
        <w:rPr>
          <w:noProof/>
          <w:lang w:val="en-US"/>
        </w:rPr>
        <w:drawing>
          <wp:inline distT="0" distB="0" distL="0" distR="0" wp14:anchorId="1F2C7259" wp14:editId="072B8498">
            <wp:extent cx="3486785" cy="1800225"/>
            <wp:effectExtent l="0" t="0" r="0" b="0"/>
            <wp:docPr id="4" name="Picture 8" descr="Macintosh HD:Users:moghadas:Dropbox:Influenza Vaccine:frail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Macintosh HD:Users:moghadas:Dropbox:Influenza Vaccine:frailty.pdf"/>
                    <pic:cNvPicPr>
                      <a:picLocks noChangeAspect="1" noChangeArrowheads="1"/>
                    </pic:cNvPicPr>
                  </pic:nvPicPr>
                  <pic:blipFill>
                    <a:blip r:embed="rId11"/>
                    <a:stretch>
                      <a:fillRect/>
                    </a:stretch>
                  </pic:blipFill>
                  <pic:spPr bwMode="auto">
                    <a:xfrm>
                      <a:off x="0" y="0"/>
                      <a:ext cx="3486785" cy="1800225"/>
                    </a:xfrm>
                    <a:prstGeom prst="rect">
                      <a:avLst/>
                    </a:prstGeom>
                  </pic:spPr>
                </pic:pic>
              </a:graphicData>
            </a:graphic>
          </wp:inline>
        </w:drawing>
      </w:r>
    </w:p>
    <w:p w14:paraId="5A93327B" w14:textId="751B6D7A" w:rsidR="00C815FC" w:rsidRPr="004F68AA" w:rsidRDefault="00A27E7F" w:rsidP="00A27E7F">
      <w:pPr>
        <w:spacing w:after="0" w:line="360" w:lineRule="auto"/>
        <w:jc w:val="center"/>
        <w:rPr>
          <w:rFonts w:ascii="Calibri" w:hAnsi="Calibri"/>
        </w:rPr>
      </w:pPr>
      <w:r w:rsidRPr="004F68AA">
        <w:rPr>
          <w:b/>
        </w:rPr>
        <w:t xml:space="preserve">Figure S4. </w:t>
      </w:r>
      <w:r w:rsidRPr="004F68AA">
        <w:rPr>
          <w:rFonts w:cs="Times New Roman"/>
          <w:lang w:val="en-US"/>
        </w:rPr>
        <w:t>Piecewise linear regression was fit</w:t>
      </w:r>
      <w:r w:rsidR="00165339" w:rsidRPr="004F68AA">
        <w:rPr>
          <w:rFonts w:cs="Times New Roman"/>
          <w:lang w:val="en-US"/>
        </w:rPr>
        <w:t>ted</w:t>
      </w:r>
      <w:r w:rsidRPr="004F68AA">
        <w:rPr>
          <w:rFonts w:cs="Times New Roman"/>
          <w:lang w:val="en-US"/>
        </w:rPr>
        <w:t xml:space="preserve"> to </w:t>
      </w:r>
      <w:r w:rsidR="00165339" w:rsidRPr="004F68AA">
        <w:rPr>
          <w:rFonts w:cs="Times New Roman"/>
          <w:lang w:val="en-US"/>
        </w:rPr>
        <w:t xml:space="preserve">the </w:t>
      </w:r>
      <w:r w:rsidRPr="004F68AA">
        <w:rPr>
          <w:rFonts w:cs="Times New Roman"/>
          <w:lang w:val="en-US"/>
        </w:rPr>
        <w:t>frailty index data (circles) as a function of age.</w:t>
      </w:r>
      <w:r w:rsidRPr="004F68AA">
        <w:t xml:space="preserve"> </w:t>
      </w:r>
    </w:p>
    <w:p w14:paraId="5C0479A4" w14:textId="77777777" w:rsidR="00C815FC" w:rsidRPr="004F68AA" w:rsidRDefault="00C815FC" w:rsidP="00A27E7F">
      <w:pPr>
        <w:spacing w:after="0" w:line="360" w:lineRule="auto"/>
        <w:jc w:val="both"/>
        <w:rPr>
          <w:rFonts w:ascii="Calibri" w:hAnsi="Calibri"/>
        </w:rPr>
      </w:pPr>
    </w:p>
    <w:p w14:paraId="32BB6411" w14:textId="49D4FAFD" w:rsidR="00C815FC" w:rsidRPr="004F68AA" w:rsidRDefault="00A27E7F" w:rsidP="00A27E7F">
      <w:pPr>
        <w:spacing w:after="0" w:line="360" w:lineRule="auto"/>
        <w:jc w:val="both"/>
        <w:rPr>
          <w:rFonts w:ascii="Calibri" w:hAnsi="Calibri"/>
        </w:rPr>
      </w:pPr>
      <w:r w:rsidRPr="004F68AA">
        <w:t>Using the sampled frailty index, we calculated individual-level vaccine effectiveness (the level o</w:t>
      </w:r>
      <w:r w:rsidR="00D72CA7" w:rsidRPr="004F68AA">
        <w:t>f protection against infection)</w:t>
      </w:r>
      <w:r w:rsidRPr="004F68AA">
        <w:t xml:space="preserve"> and averaged over each age group. Figure S5 illustrates vaccine effectiveness in different age groups, based on given vaccine efficacies (</w:t>
      </w:r>
      <m:oMath>
        <m:sSub>
          <m:sSubPr>
            <m:ctrlPr>
              <w:rPr>
                <w:rFonts w:ascii="Cambria Math" w:hAnsi="Cambria Math"/>
              </w:rPr>
            </m:ctrlPr>
          </m:sSubPr>
          <m:e>
            <m:r>
              <w:rPr>
                <w:rFonts w:ascii="Cambria Math" w:hAnsi="Cambria Math"/>
              </w:rPr>
              <m:t>V</m:t>
            </m:r>
          </m:e>
          <m:sub>
            <m:r>
              <m:rPr>
                <m:lit/>
                <m:nor/>
              </m:rPr>
              <w:rPr>
                <w:rFonts w:ascii="Cambria Math" w:hAnsi="Cambria Math"/>
              </w:rPr>
              <m:t>e</m:t>
            </m:r>
          </m:sub>
        </m:sSub>
      </m:oMath>
      <w:r w:rsidRPr="004F68AA">
        <w:t xml:space="preserve">).  </w:t>
      </w:r>
    </w:p>
    <w:p w14:paraId="59FAB1B2" w14:textId="77777777" w:rsidR="00C815FC" w:rsidRPr="004F68AA" w:rsidRDefault="00C815FC" w:rsidP="00A27E7F">
      <w:pPr>
        <w:spacing w:after="0" w:line="360" w:lineRule="auto"/>
        <w:jc w:val="both"/>
        <w:rPr>
          <w:rFonts w:ascii="Calibri" w:hAnsi="Calibri"/>
        </w:rPr>
      </w:pPr>
    </w:p>
    <w:p w14:paraId="017FEB7C" w14:textId="77777777" w:rsidR="00C815FC" w:rsidRPr="004F68AA" w:rsidRDefault="00A27E7F" w:rsidP="00A27E7F">
      <w:pPr>
        <w:spacing w:after="0" w:line="360" w:lineRule="auto"/>
        <w:jc w:val="center"/>
        <w:rPr>
          <w:rFonts w:ascii="Calibri" w:hAnsi="Calibri"/>
        </w:rPr>
      </w:pPr>
      <w:r w:rsidRPr="004F68AA">
        <w:rPr>
          <w:noProof/>
          <w:lang w:val="en-US"/>
        </w:rPr>
        <w:drawing>
          <wp:inline distT="0" distB="0" distL="0" distR="0" wp14:anchorId="2B8A80E7" wp14:editId="7B7FF4E8">
            <wp:extent cx="3443605" cy="2879725"/>
            <wp:effectExtent l="0" t="0" r="0" b="0"/>
            <wp:docPr id="5" name="Picture 1" descr="Macintosh HD:Seyed Documents:York Projects:Influenza Vaccine Low Effectiveness 2018:Results:Figures:Supplemental:VaccineEffectivene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Seyed Documents:York Projects:Influenza Vaccine Low Effectiveness 2018:Results:Figures:Supplemental:VaccineEffectiveness.pdf"/>
                    <pic:cNvPicPr>
                      <a:picLocks noChangeAspect="1" noChangeArrowheads="1"/>
                    </pic:cNvPicPr>
                  </pic:nvPicPr>
                  <pic:blipFill>
                    <a:blip r:embed="rId12"/>
                    <a:stretch>
                      <a:fillRect/>
                    </a:stretch>
                  </pic:blipFill>
                  <pic:spPr bwMode="auto">
                    <a:xfrm>
                      <a:off x="0" y="0"/>
                      <a:ext cx="3443605" cy="2879725"/>
                    </a:xfrm>
                    <a:prstGeom prst="rect">
                      <a:avLst/>
                    </a:prstGeom>
                  </pic:spPr>
                </pic:pic>
              </a:graphicData>
            </a:graphic>
          </wp:inline>
        </w:drawing>
      </w:r>
    </w:p>
    <w:p w14:paraId="2379A427" w14:textId="317830BD" w:rsidR="00C815FC" w:rsidRPr="004F68AA" w:rsidRDefault="00A27E7F" w:rsidP="00A27E7F">
      <w:pPr>
        <w:spacing w:after="0" w:line="360" w:lineRule="auto"/>
        <w:jc w:val="center"/>
        <w:rPr>
          <w:rFonts w:ascii="Calibri" w:hAnsi="Calibri"/>
        </w:rPr>
      </w:pPr>
      <w:r w:rsidRPr="004F68AA">
        <w:rPr>
          <w:b/>
        </w:rPr>
        <w:t xml:space="preserve">Figure S5. </w:t>
      </w:r>
      <w:r w:rsidR="00314C96" w:rsidRPr="004F68AA">
        <w:t>Mean</w:t>
      </w:r>
      <w:r w:rsidR="00314C96" w:rsidRPr="004F68AA">
        <w:rPr>
          <w:b/>
        </w:rPr>
        <w:t xml:space="preserve"> </w:t>
      </w:r>
      <w:r w:rsidR="00314C96" w:rsidRPr="004F68AA">
        <w:t>v</w:t>
      </w:r>
      <w:r w:rsidRPr="004F68AA">
        <w:t>accine effectiveness in different age groups.</w:t>
      </w:r>
    </w:p>
    <w:p w14:paraId="48E456E1" w14:textId="77777777" w:rsidR="0073493C" w:rsidRDefault="0073493C" w:rsidP="00A27E7F">
      <w:pPr>
        <w:spacing w:after="0" w:line="360" w:lineRule="auto"/>
        <w:rPr>
          <w:b/>
        </w:rPr>
      </w:pPr>
    </w:p>
    <w:p w14:paraId="0C9B372D" w14:textId="77777777" w:rsidR="00C815FC" w:rsidRDefault="00A27E7F" w:rsidP="00A27E7F">
      <w:pPr>
        <w:spacing w:after="0" w:line="360" w:lineRule="auto"/>
        <w:rPr>
          <w:b/>
        </w:rPr>
      </w:pPr>
      <w:r w:rsidRPr="004F68AA">
        <w:rPr>
          <w:b/>
        </w:rPr>
        <w:t>Incidence of symptomatic infection</w:t>
      </w:r>
    </w:p>
    <w:p w14:paraId="7AE5C8E8" w14:textId="05BEDBDD" w:rsidR="0073493C" w:rsidRPr="0073493C" w:rsidRDefault="0073493C" w:rsidP="00A27E7F">
      <w:pPr>
        <w:spacing w:after="0" w:line="360" w:lineRule="auto"/>
        <w:rPr>
          <w:rFonts w:ascii="Calibri" w:hAnsi="Calibri"/>
        </w:rPr>
      </w:pPr>
      <w:r>
        <w:rPr>
          <w:rFonts w:ascii="Calibri" w:hAnsi="Calibri"/>
        </w:rPr>
        <w:t xml:space="preserve">We recorded the daily number of new infections who developed symptoms </w:t>
      </w:r>
      <w:r w:rsidR="00CB38F6">
        <w:rPr>
          <w:rFonts w:ascii="Calibri" w:hAnsi="Calibri"/>
        </w:rPr>
        <w:t xml:space="preserve">in each simulation for different scenarios of vaccine efficacy and contact avoidance. Figure S6 represents the simulation curves (blue curves) and their average (red curve) </w:t>
      </w:r>
      <w:r w:rsidR="00356CFC">
        <w:rPr>
          <w:rFonts w:ascii="Calibri" w:hAnsi="Calibri"/>
        </w:rPr>
        <w:t>during the epidemic.</w:t>
      </w:r>
      <w:r w:rsidR="00CB38F6">
        <w:rPr>
          <w:rFonts w:ascii="Calibri" w:hAnsi="Calibri"/>
        </w:rPr>
        <w:t xml:space="preserve"> </w:t>
      </w:r>
    </w:p>
    <w:p w14:paraId="39A07182" w14:textId="77777777" w:rsidR="00C815FC" w:rsidRPr="004F68AA" w:rsidRDefault="00C815FC" w:rsidP="00A27E7F">
      <w:pPr>
        <w:spacing w:after="0" w:line="360" w:lineRule="auto"/>
        <w:jc w:val="center"/>
        <w:rPr>
          <w:rFonts w:ascii="Calibri" w:hAnsi="Calibri"/>
        </w:rPr>
      </w:pPr>
    </w:p>
    <w:p w14:paraId="5B2F543D" w14:textId="77777777" w:rsidR="00C815FC" w:rsidRPr="004F68AA" w:rsidRDefault="00A27E7F" w:rsidP="00A27E7F">
      <w:pPr>
        <w:spacing w:after="0" w:line="360" w:lineRule="auto"/>
        <w:jc w:val="center"/>
        <w:rPr>
          <w:rFonts w:ascii="Calibri" w:hAnsi="Calibri"/>
        </w:rPr>
      </w:pPr>
      <w:r w:rsidRPr="004F68AA">
        <w:rPr>
          <w:noProof/>
          <w:lang w:val="en-US"/>
        </w:rPr>
        <w:lastRenderedPageBreak/>
        <w:drawing>
          <wp:inline distT="0" distB="0" distL="0" distR="0" wp14:anchorId="76E3640F" wp14:editId="0C82965A">
            <wp:extent cx="5974715" cy="4789170"/>
            <wp:effectExtent l="0" t="0" r="0" b="0"/>
            <wp:docPr id="6" name="Picture 2" descr="Macintosh HD:Seyed Documents:York Projects:Influenza Vaccine Low Effectiveness 2018:Results:Figures:Supplemental:AllIncide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Macintosh HD:Seyed Documents:York Projects:Influenza Vaccine Low Effectiveness 2018:Results:Figures:Supplemental:AllIncidence.pdf"/>
                    <pic:cNvPicPr>
                      <a:picLocks noChangeAspect="1" noChangeArrowheads="1"/>
                    </pic:cNvPicPr>
                  </pic:nvPicPr>
                  <pic:blipFill>
                    <a:blip r:embed="rId13"/>
                    <a:stretch>
                      <a:fillRect/>
                    </a:stretch>
                  </pic:blipFill>
                  <pic:spPr bwMode="auto">
                    <a:xfrm>
                      <a:off x="0" y="0"/>
                      <a:ext cx="5974715" cy="4789170"/>
                    </a:xfrm>
                    <a:prstGeom prst="rect">
                      <a:avLst/>
                    </a:prstGeom>
                  </pic:spPr>
                </pic:pic>
              </a:graphicData>
            </a:graphic>
          </wp:inline>
        </w:drawing>
      </w:r>
    </w:p>
    <w:p w14:paraId="41BF9FBF" w14:textId="04354A9C" w:rsidR="00C815FC" w:rsidRPr="004F68AA" w:rsidRDefault="00A27E7F" w:rsidP="00A27E7F">
      <w:pPr>
        <w:spacing w:after="0" w:line="360" w:lineRule="auto"/>
        <w:rPr>
          <w:rFonts w:ascii="Calibri" w:eastAsiaTheme="minorEastAsia" w:hAnsi="Calibri"/>
        </w:rPr>
      </w:pPr>
      <w:r w:rsidRPr="004F68AA">
        <w:rPr>
          <w:b/>
        </w:rPr>
        <w:t xml:space="preserve">Figure S6. </w:t>
      </w:r>
      <w:r w:rsidRPr="004F68AA">
        <w:t xml:space="preserve">Incidence of symptomatic infection for the scenarios of </w:t>
      </w:r>
      <m:oMath>
        <m:sSub>
          <m:sSubPr>
            <m:ctrlPr>
              <w:rPr>
                <w:rFonts w:ascii="Cambria Math" w:hAnsi="Cambria Math"/>
              </w:rPr>
            </m:ctrlPr>
          </m:sSubPr>
          <m:e>
            <m:r>
              <w:rPr>
                <w:rFonts w:ascii="Cambria Math" w:hAnsi="Cambria Math"/>
              </w:rPr>
              <m:t>p</m:t>
            </m:r>
          </m:e>
          <m:sub>
            <m:r>
              <w:rPr>
                <w:rFonts w:ascii="Cambria Math" w:hAnsi="Cambria Math"/>
              </w:rPr>
              <m:t>s</m:t>
            </m:r>
          </m:sub>
        </m:sSub>
        <m:r>
          <w:rPr>
            <w:rFonts w:ascii="Cambria Math" w:hAnsi="Cambria Math"/>
          </w:rPr>
          <m:t>=0.4</m:t>
        </m:r>
      </m:oMath>
      <w:r w:rsidRPr="004F68AA">
        <w:rPr>
          <w:rFonts w:eastAsiaTheme="minorEastAsia"/>
        </w:rPr>
        <w:t xml:space="preserve"> (A1-A5) and </w:t>
      </w:r>
      <m:oMath>
        <m:sSub>
          <m:sSubPr>
            <m:ctrlPr>
              <w:rPr>
                <w:rFonts w:ascii="Cambria Math" w:hAnsi="Cambria Math"/>
              </w:rPr>
            </m:ctrlPr>
          </m:sSubPr>
          <m:e>
            <m:r>
              <w:rPr>
                <w:rFonts w:ascii="Cambria Math" w:hAnsi="Cambria Math"/>
              </w:rPr>
              <m:t>p</m:t>
            </m:r>
          </m:e>
          <m:sub>
            <m:r>
              <w:rPr>
                <w:rFonts w:ascii="Cambria Math" w:hAnsi="Cambria Math"/>
              </w:rPr>
              <m:t>s</m:t>
            </m:r>
          </m:sub>
        </m:sSub>
        <m:r>
          <w:rPr>
            <w:rFonts w:ascii="Cambria Math" w:hAnsi="Cambria Math"/>
          </w:rPr>
          <m:t>=0.8</m:t>
        </m:r>
      </m:oMath>
      <w:r w:rsidRPr="004F68AA">
        <w:rPr>
          <w:rFonts w:eastAsiaTheme="minorEastAsia"/>
        </w:rPr>
        <w:t xml:space="preserve"> (B1-B5). Simulations were run for 2000 independent realization (blue curves) to </w:t>
      </w:r>
      <w:r w:rsidR="00303083" w:rsidRPr="004F68AA">
        <w:rPr>
          <w:rFonts w:eastAsiaTheme="minorEastAsia"/>
        </w:rPr>
        <w:t>determine</w:t>
      </w:r>
      <w:r w:rsidRPr="004F68AA">
        <w:rPr>
          <w:rFonts w:eastAsiaTheme="minorEastAsia"/>
        </w:rPr>
        <w:t xml:space="preserve"> their average (red curves) in the absence of vaccination (A1, B1); and in the presence of vaccination with </w:t>
      </w:r>
      <m:oMath>
        <m:sSub>
          <m:sSubPr>
            <m:ctrlPr>
              <w:rPr>
                <w:rFonts w:ascii="Cambria Math" w:hAnsi="Cambria Math"/>
              </w:rPr>
            </m:ctrlPr>
          </m:sSubPr>
          <m:e>
            <m:r>
              <w:rPr>
                <w:rFonts w:ascii="Cambria Math" w:hAnsi="Cambria Math"/>
              </w:rPr>
              <m:t>V</m:t>
            </m:r>
          </m:e>
          <m:sub>
            <m:r>
              <m:rPr>
                <m:sty m:val="p"/>
              </m:rPr>
              <w:rPr>
                <w:rFonts w:ascii="Cambria Math" w:hAnsi="Cambria Math"/>
              </w:rPr>
              <m:t>e</m:t>
            </m:r>
          </m:sub>
        </m:sSub>
        <m:r>
          <w:rPr>
            <w:rFonts w:ascii="Cambria Math" w:hAnsi="Cambria Math"/>
          </w:rPr>
          <m:t>=0.2,</m:t>
        </m:r>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=0</m:t>
        </m:r>
      </m:oMath>
      <w:r w:rsidRPr="004F68AA">
        <w:rPr>
          <w:rFonts w:eastAsiaTheme="minorEastAsia"/>
        </w:rPr>
        <w:t xml:space="preserve"> (A2); </w:t>
      </w:r>
      <m:oMath>
        <m:sSub>
          <m:sSubPr>
            <m:ctrlPr>
              <w:rPr>
                <w:rFonts w:ascii="Cambria Math" w:hAnsi="Cambria Math"/>
              </w:rPr>
            </m:ctrlPr>
          </m:sSubPr>
          <m:e>
            <m:r>
              <w:rPr>
                <w:rFonts w:ascii="Cambria Math" w:hAnsi="Cambria Math"/>
              </w:rPr>
              <m:t>V</m:t>
            </m:r>
          </m:e>
          <m:sub>
            <m:r>
              <m:rPr>
                <m:sty m:val="p"/>
              </m:rPr>
              <w:rPr>
                <w:rFonts w:ascii="Cambria Math" w:hAnsi="Cambria Math"/>
              </w:rPr>
              <m:t>e</m:t>
            </m:r>
          </m:sub>
        </m:sSub>
        <m:r>
          <w:rPr>
            <w:rFonts w:ascii="Cambria Math" w:hAnsi="Cambria Math"/>
          </w:rPr>
          <m:t>=0.2,</m:t>
        </m:r>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=0.4</m:t>
        </m:r>
      </m:oMath>
      <w:r w:rsidRPr="004F68AA">
        <w:rPr>
          <w:rFonts w:eastAsiaTheme="minorEastAsia"/>
        </w:rPr>
        <w:t xml:space="preserve"> (A3); </w:t>
      </w:r>
      <m:oMath>
        <m:sSub>
          <m:sSubPr>
            <m:ctrlPr>
              <w:rPr>
                <w:rFonts w:ascii="Cambria Math" w:hAnsi="Cambria Math"/>
              </w:rPr>
            </m:ctrlPr>
          </m:sSubPr>
          <m:e>
            <m:r>
              <w:rPr>
                <w:rFonts w:ascii="Cambria Math" w:hAnsi="Cambria Math"/>
              </w:rPr>
              <m:t>V</m:t>
            </m:r>
          </m:e>
          <m:sub>
            <m:r>
              <m:rPr>
                <m:sty m:val="p"/>
              </m:rPr>
              <w:rPr>
                <w:rFonts w:ascii="Cambria Math" w:hAnsi="Cambria Math"/>
              </w:rPr>
              <m:t>e</m:t>
            </m:r>
          </m:sub>
        </m:sSub>
        <m:r>
          <w:rPr>
            <w:rFonts w:ascii="Cambria Math" w:hAnsi="Cambria Math"/>
          </w:rPr>
          <m:t>=0.8,</m:t>
        </m:r>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=0</m:t>
        </m:r>
      </m:oMath>
      <w:r w:rsidRPr="004F68AA">
        <w:rPr>
          <w:rFonts w:eastAsiaTheme="minorEastAsia"/>
        </w:rPr>
        <w:t xml:space="preserve"> (A4);  </w:t>
      </w:r>
      <m:oMath>
        <m:sSub>
          <m:sSubPr>
            <m:ctrlPr>
              <w:rPr>
                <w:rFonts w:ascii="Cambria Math" w:hAnsi="Cambria Math"/>
              </w:rPr>
            </m:ctrlPr>
          </m:sSubPr>
          <m:e>
            <m:r>
              <w:rPr>
                <w:rFonts w:ascii="Cambria Math" w:hAnsi="Cambria Math"/>
              </w:rPr>
              <m:t>V</m:t>
            </m:r>
          </m:e>
          <m:sub>
            <m:r>
              <m:rPr>
                <m:sty m:val="p"/>
              </m:rPr>
              <w:rPr>
                <w:rFonts w:ascii="Cambria Math" w:hAnsi="Cambria Math"/>
              </w:rPr>
              <m:t>e</m:t>
            </m:r>
          </m:sub>
        </m:sSub>
        <m:r>
          <w:rPr>
            <w:rFonts w:ascii="Cambria Math" w:hAnsi="Cambria Math"/>
          </w:rPr>
          <m:t>=0.8,</m:t>
        </m:r>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=0.4</m:t>
        </m:r>
      </m:oMath>
      <w:r w:rsidRPr="004F68AA">
        <w:rPr>
          <w:rFonts w:eastAsiaTheme="minorEastAsia"/>
        </w:rPr>
        <w:t xml:space="preserve"> (A5); </w:t>
      </w:r>
      <m:oMath>
        <m:sSub>
          <m:sSubPr>
            <m:ctrlPr>
              <w:rPr>
                <w:rFonts w:ascii="Cambria Math" w:hAnsi="Cambria Math"/>
              </w:rPr>
            </m:ctrlPr>
          </m:sSubPr>
          <m:e>
            <m:r>
              <w:rPr>
                <w:rFonts w:ascii="Cambria Math" w:hAnsi="Cambria Math"/>
              </w:rPr>
              <m:t>V</m:t>
            </m:r>
          </m:e>
          <m:sub>
            <m:r>
              <m:rPr>
                <m:sty m:val="p"/>
              </m:rPr>
              <w:rPr>
                <w:rFonts w:ascii="Cambria Math" w:hAnsi="Cambria Math"/>
              </w:rPr>
              <m:t>e</m:t>
            </m:r>
          </m:sub>
        </m:sSub>
        <m:r>
          <w:rPr>
            <w:rFonts w:ascii="Cambria Math" w:hAnsi="Cambria Math"/>
          </w:rPr>
          <m:t>=0.2,</m:t>
        </m:r>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=0</m:t>
        </m:r>
      </m:oMath>
      <w:r w:rsidRPr="004F68AA">
        <w:rPr>
          <w:rFonts w:eastAsiaTheme="minorEastAsia"/>
        </w:rPr>
        <w:t xml:space="preserve"> (B2); </w:t>
      </w:r>
      <m:oMath>
        <m:sSub>
          <m:sSubPr>
            <m:ctrlPr>
              <w:rPr>
                <w:rFonts w:ascii="Cambria Math" w:hAnsi="Cambria Math"/>
              </w:rPr>
            </m:ctrlPr>
          </m:sSubPr>
          <m:e>
            <m:r>
              <w:rPr>
                <w:rFonts w:ascii="Cambria Math" w:hAnsi="Cambria Math"/>
              </w:rPr>
              <m:t>V</m:t>
            </m:r>
          </m:e>
          <m:sub>
            <m:r>
              <m:rPr>
                <m:sty m:val="p"/>
              </m:rPr>
              <w:rPr>
                <w:rFonts w:ascii="Cambria Math" w:hAnsi="Cambria Math"/>
              </w:rPr>
              <m:t>e</m:t>
            </m:r>
          </m:sub>
        </m:sSub>
        <m:r>
          <w:rPr>
            <w:rFonts w:ascii="Cambria Math" w:hAnsi="Cambria Math"/>
          </w:rPr>
          <m:t>=0.2,</m:t>
        </m:r>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=0.8</m:t>
        </m:r>
      </m:oMath>
      <w:r w:rsidRPr="004F68AA">
        <w:rPr>
          <w:rFonts w:eastAsiaTheme="minorEastAsia"/>
        </w:rPr>
        <w:t xml:space="preserve"> (B3); </w:t>
      </w:r>
      <m:oMath>
        <m:sSub>
          <m:sSubPr>
            <m:ctrlPr>
              <w:rPr>
                <w:rFonts w:ascii="Cambria Math" w:hAnsi="Cambria Math"/>
              </w:rPr>
            </m:ctrlPr>
          </m:sSubPr>
          <m:e>
            <m:r>
              <w:rPr>
                <w:rFonts w:ascii="Cambria Math" w:hAnsi="Cambria Math"/>
              </w:rPr>
              <m:t>V</m:t>
            </m:r>
          </m:e>
          <m:sub>
            <m:r>
              <m:rPr>
                <m:sty m:val="p"/>
              </m:rPr>
              <w:rPr>
                <w:rFonts w:ascii="Cambria Math" w:hAnsi="Cambria Math"/>
              </w:rPr>
              <m:t>e</m:t>
            </m:r>
          </m:sub>
        </m:sSub>
        <m:r>
          <w:rPr>
            <w:rFonts w:ascii="Cambria Math" w:hAnsi="Cambria Math"/>
          </w:rPr>
          <m:t>=0.8,</m:t>
        </m:r>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=0</m:t>
        </m:r>
      </m:oMath>
      <w:r w:rsidRPr="004F68AA">
        <w:rPr>
          <w:rFonts w:eastAsiaTheme="minorEastAsia"/>
        </w:rPr>
        <w:t xml:space="preserve"> (B4);  </w:t>
      </w:r>
      <m:oMath>
        <m:sSub>
          <m:sSubPr>
            <m:ctrlPr>
              <w:rPr>
                <w:rFonts w:ascii="Cambria Math" w:hAnsi="Cambria Math"/>
              </w:rPr>
            </m:ctrlPr>
          </m:sSubPr>
          <m:e>
            <m:r>
              <w:rPr>
                <w:rFonts w:ascii="Cambria Math" w:hAnsi="Cambria Math"/>
              </w:rPr>
              <m:t>V</m:t>
            </m:r>
          </m:e>
          <m:sub>
            <m:r>
              <m:rPr>
                <m:sty m:val="p"/>
              </m:rPr>
              <w:rPr>
                <w:rFonts w:ascii="Cambria Math" w:hAnsi="Cambria Math"/>
              </w:rPr>
              <m:t>e</m:t>
            </m:r>
          </m:sub>
        </m:sSub>
        <m:r>
          <w:rPr>
            <w:rFonts w:ascii="Cambria Math" w:hAnsi="Cambria Math"/>
          </w:rPr>
          <m:t>=0.8,</m:t>
        </m:r>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=0.8</m:t>
        </m:r>
      </m:oMath>
      <w:r w:rsidRPr="004F68AA">
        <w:rPr>
          <w:rFonts w:eastAsiaTheme="minorEastAsia"/>
        </w:rPr>
        <w:t xml:space="preserve"> (B5).</w:t>
      </w:r>
    </w:p>
    <w:p w14:paraId="5D4F03EE" w14:textId="77777777" w:rsidR="0047034C" w:rsidRPr="004F68AA" w:rsidRDefault="0047034C" w:rsidP="00A27E7F">
      <w:pPr>
        <w:spacing w:after="0" w:line="360" w:lineRule="auto"/>
        <w:rPr>
          <w:rFonts w:ascii="Calibri" w:eastAsiaTheme="minorEastAsia" w:hAnsi="Calibri"/>
        </w:rPr>
      </w:pPr>
    </w:p>
    <w:p w14:paraId="3B56A138" w14:textId="77777777" w:rsidR="0047034C" w:rsidRPr="004F68AA" w:rsidRDefault="0047034C" w:rsidP="00A27E7F">
      <w:pPr>
        <w:spacing w:after="0" w:line="360" w:lineRule="auto"/>
        <w:rPr>
          <w:rFonts w:ascii="Calibri" w:eastAsiaTheme="minorEastAsia" w:hAnsi="Calibri"/>
        </w:rPr>
      </w:pPr>
    </w:p>
    <w:p w14:paraId="20F317B7" w14:textId="77777777" w:rsidR="00C815FC" w:rsidRPr="004F68AA" w:rsidRDefault="00A27E7F" w:rsidP="00A27E7F">
      <w:pPr>
        <w:spacing w:after="0" w:line="360" w:lineRule="auto"/>
        <w:rPr>
          <w:rFonts w:ascii="Calibri" w:eastAsiaTheme="minorEastAsia" w:hAnsi="Calibri"/>
          <w:b/>
        </w:rPr>
      </w:pPr>
      <w:r w:rsidRPr="004F68AA">
        <w:rPr>
          <w:rFonts w:eastAsiaTheme="minorEastAsia"/>
          <w:b/>
        </w:rPr>
        <w:t>Relative contributions of symptomatic and asymptomatic infections to the epidemic size</w:t>
      </w:r>
    </w:p>
    <w:p w14:paraId="57E2AE70" w14:textId="601FAEBD" w:rsidR="00B10AEB" w:rsidRPr="002F1942" w:rsidRDefault="00A27E7F" w:rsidP="00A27E7F">
      <w:pPr>
        <w:spacing w:after="0" w:line="360" w:lineRule="auto"/>
        <w:rPr>
          <w:rFonts w:eastAsiaTheme="minorEastAsia"/>
        </w:rPr>
      </w:pPr>
      <w:r w:rsidRPr="004F68AA">
        <w:rPr>
          <w:rFonts w:eastAsiaTheme="minorEastAsia"/>
        </w:rPr>
        <w:t>In each simulation, we recorded the type of contacts between susceptible and infectious individuals to determine the relative contributions of symptomatic and asymptomatic infections to t</w:t>
      </w:r>
      <w:r w:rsidR="00D72CA7" w:rsidRPr="004F68AA">
        <w:rPr>
          <w:rFonts w:eastAsiaTheme="minorEastAsia"/>
        </w:rPr>
        <w:t>he cumulative incidence through</w:t>
      </w:r>
      <w:r w:rsidRPr="004F68AA">
        <w:rPr>
          <w:rFonts w:eastAsiaTheme="minorEastAsia"/>
        </w:rPr>
        <w:t>out the epidemic.</w:t>
      </w:r>
      <w:r w:rsidR="00B10AEB" w:rsidRPr="004F68AA">
        <w:rPr>
          <w:rFonts w:eastAsiaTheme="minorEastAsia"/>
        </w:rPr>
        <w:t xml:space="preserve"> </w:t>
      </w:r>
      <w:r w:rsidR="004F68AA">
        <w:rPr>
          <w:rFonts w:ascii="Calibri" w:hAnsi="Calibri"/>
        </w:rPr>
        <w:t xml:space="preserve">Figure S7 shows </w:t>
      </w:r>
      <w:r w:rsidR="00B10AEB" w:rsidRPr="004F68AA">
        <w:rPr>
          <w:rFonts w:ascii="Calibri" w:hAnsi="Calibri"/>
        </w:rPr>
        <w:t>the proportion of infections that were cause by symptomatic (A, C) and asymptomatic (B, D) infections</w:t>
      </w:r>
      <w:r w:rsidR="004F68AA">
        <w:rPr>
          <w:rFonts w:ascii="Calibri" w:hAnsi="Calibri"/>
        </w:rPr>
        <w:t xml:space="preserve"> for </w:t>
      </w:r>
      <w:r w:rsidR="004F68AA" w:rsidRPr="004F68AA">
        <w:rPr>
          <w:rFonts w:ascii="Calibri" w:hAnsi="Calibri"/>
        </w:rPr>
        <w:t>diffe</w:t>
      </w:r>
      <w:r w:rsidR="004F68AA">
        <w:rPr>
          <w:rFonts w:ascii="Calibri" w:hAnsi="Calibri"/>
        </w:rPr>
        <w:t>rent values of vaccine efficacy</w:t>
      </w:r>
      <w:r w:rsidR="00B10AEB" w:rsidRPr="004F68AA">
        <w:rPr>
          <w:rFonts w:ascii="Calibri" w:hAnsi="Calibri"/>
        </w:rPr>
        <w:t xml:space="preserve">, when the </w:t>
      </w:r>
      <w:r w:rsidR="004F68AA">
        <w:rPr>
          <w:rFonts w:ascii="Calibri" w:hAnsi="Calibri"/>
        </w:rPr>
        <w:t>contact avoidance of susceptible</w:t>
      </w:r>
      <w:r w:rsidR="00B10AEB" w:rsidRPr="004F68AA">
        <w:rPr>
          <w:rFonts w:ascii="Calibri" w:hAnsi="Calibri"/>
        </w:rPr>
        <w:t xml:space="preserve"> </w:t>
      </w:r>
      <w:r w:rsidR="004F68AA">
        <w:rPr>
          <w:rFonts w:ascii="Calibri" w:hAnsi="Calibri"/>
        </w:rPr>
        <w:t>individuals</w:t>
      </w:r>
      <w:r w:rsidR="00B10AEB" w:rsidRPr="004F68AA">
        <w:rPr>
          <w:rFonts w:ascii="Calibri" w:hAnsi="Calibri"/>
        </w:rPr>
        <w:t xml:space="preserve"> (</w:t>
      </w:r>
      <m:oMath>
        <m:sSub>
          <m:sSubPr>
            <m:ctrlPr>
              <w:rPr>
                <w:rFonts w:ascii="Cambria Math" w:hAnsi="Cambria Math"/>
              </w:rPr>
            </m:ctrlPr>
          </m:sSubPr>
          <m:e>
            <m:r>
              <w:rPr>
                <w:rFonts w:ascii="Cambria Math" w:hAnsi="Cambria Math"/>
              </w:rPr>
              <m:t>p</m:t>
            </m:r>
          </m:e>
          <m:sub>
            <m:r>
              <w:rPr>
                <w:rFonts w:ascii="Cambria Math" w:hAnsi="Cambria Math"/>
              </w:rPr>
              <m:t>s</m:t>
            </m:r>
          </m:sub>
        </m:sSub>
      </m:oMath>
      <w:r w:rsidR="00B10AEB" w:rsidRPr="004F68AA">
        <w:rPr>
          <w:rFonts w:ascii="Calibri" w:hAnsi="Calibri"/>
        </w:rPr>
        <w:t xml:space="preserve">) is 0.4 (A, B) and 0.8 (C, D), and the </w:t>
      </w:r>
      <w:r w:rsidR="004F68AA">
        <w:rPr>
          <w:rFonts w:ascii="Calibri" w:hAnsi="Calibri"/>
        </w:rPr>
        <w:t>contact avoidance</w:t>
      </w:r>
      <w:r w:rsidR="00B10AEB" w:rsidRPr="004F68AA">
        <w:rPr>
          <w:rFonts w:ascii="Calibri" w:hAnsi="Calibri"/>
        </w:rPr>
        <w:t xml:space="preserve"> of vaccinated </w:t>
      </w:r>
      <w:r w:rsidR="004F68AA">
        <w:rPr>
          <w:rFonts w:ascii="Calibri" w:hAnsi="Calibri"/>
        </w:rPr>
        <w:t>individuals</w:t>
      </w:r>
      <w:r w:rsidR="00B10AEB" w:rsidRPr="004F68AA">
        <w:rPr>
          <w:rFonts w:ascii="Calibri" w:hAnsi="Calibri"/>
        </w:rPr>
        <w:t xml:space="preserve"> </w:t>
      </w:r>
      <w:r w:rsidR="004F68AA">
        <w:rPr>
          <w:rFonts w:ascii="Calibri" w:hAnsi="Calibri"/>
        </w:rPr>
        <w:t>varies</w:t>
      </w:r>
      <w:r w:rsidR="00B10AEB" w:rsidRPr="004F68AA">
        <w:rPr>
          <w:rFonts w:ascii="Calibri" w:hAnsi="Calibri"/>
        </w:rPr>
        <w:t xml:space="preserve"> </w:t>
      </w:r>
      <w:r w:rsidR="00E5395D">
        <w:rPr>
          <w:rFonts w:ascii="Calibri" w:hAnsi="Calibri"/>
        </w:rPr>
        <w:t xml:space="preserve">in the rage represented on </w:t>
      </w:r>
      <w:r w:rsidR="00B10AEB" w:rsidRPr="004F68AA">
        <w:rPr>
          <w:rFonts w:ascii="Calibri" w:hAnsi="Calibri"/>
        </w:rPr>
        <w:t xml:space="preserve">the </w:t>
      </w:r>
      <w:r w:rsidR="00B10AEB" w:rsidRPr="00E5395D">
        <w:rPr>
          <w:rFonts w:ascii="Calibri" w:hAnsi="Calibri"/>
          <w:i/>
        </w:rPr>
        <w:t>x</w:t>
      </w:r>
      <w:r w:rsidR="00B10AEB" w:rsidRPr="004F68AA">
        <w:rPr>
          <w:rFonts w:ascii="Calibri" w:hAnsi="Calibri"/>
        </w:rPr>
        <w:t xml:space="preserve">-axis. </w:t>
      </w:r>
      <w:r w:rsidR="008D3B87">
        <w:rPr>
          <w:rFonts w:ascii="Calibri" w:hAnsi="Calibri"/>
        </w:rPr>
        <w:t xml:space="preserve">As evident, contact avoidance </w:t>
      </w:r>
      <w:r w:rsidR="008D3B87">
        <w:rPr>
          <w:rFonts w:ascii="Calibri" w:hAnsi="Calibri"/>
        </w:rPr>
        <w:lastRenderedPageBreak/>
        <w:t xml:space="preserve">decreases the </w:t>
      </w:r>
      <w:r w:rsidR="00DA3F28">
        <w:rPr>
          <w:rFonts w:ascii="Calibri" w:hAnsi="Calibri"/>
        </w:rPr>
        <w:t>number of infections caused by symptomatic cases; however, the fraction of new infections caused by asymptomatic infection</w:t>
      </w:r>
      <w:r w:rsidR="00BA55D9">
        <w:rPr>
          <w:rFonts w:ascii="Calibri" w:hAnsi="Calibri"/>
        </w:rPr>
        <w:t>s</w:t>
      </w:r>
      <w:r w:rsidR="00DA3F28">
        <w:rPr>
          <w:rFonts w:ascii="Calibri" w:hAnsi="Calibri"/>
        </w:rPr>
        <w:t xml:space="preserve"> increases. This is expected as </w:t>
      </w:r>
      <w:r w:rsidR="00A8746A">
        <w:rPr>
          <w:rFonts w:ascii="Calibri" w:hAnsi="Calibri"/>
        </w:rPr>
        <w:t xml:space="preserve">contact avoidance is implemented for possible contact between susceptible and symptomatically infectious individuals. Furthermore, since contact avoidance with asymptomatic infections is impractical, </w:t>
      </w:r>
      <w:r w:rsidR="002F1942">
        <w:rPr>
          <w:rFonts w:ascii="Calibri" w:hAnsi="Calibri"/>
        </w:rPr>
        <w:t>contacts can lead to disease transmission, which may increase the epidemic size.</w:t>
      </w:r>
    </w:p>
    <w:p w14:paraId="6EA10A61" w14:textId="77777777" w:rsidR="00C815FC" w:rsidRPr="004F68AA" w:rsidRDefault="00C815FC" w:rsidP="00A27E7F">
      <w:pPr>
        <w:spacing w:after="0" w:line="360" w:lineRule="auto"/>
        <w:rPr>
          <w:rFonts w:ascii="Calibri" w:eastAsiaTheme="minorEastAsia" w:hAnsi="Calibri"/>
          <w:b/>
        </w:rPr>
      </w:pPr>
    </w:p>
    <w:p w14:paraId="33181676" w14:textId="77777777" w:rsidR="00C815FC" w:rsidRPr="004F68AA" w:rsidRDefault="00A27E7F" w:rsidP="00A27E7F">
      <w:pPr>
        <w:spacing w:after="0" w:line="360" w:lineRule="auto"/>
        <w:rPr>
          <w:rFonts w:ascii="Calibri" w:eastAsiaTheme="minorEastAsia" w:hAnsi="Calibri"/>
        </w:rPr>
      </w:pPr>
      <w:r w:rsidRPr="004F68AA">
        <w:rPr>
          <w:noProof/>
          <w:lang w:val="en-US"/>
        </w:rPr>
        <w:drawing>
          <wp:inline distT="0" distB="0" distL="0" distR="0" wp14:anchorId="08CEBAC3" wp14:editId="7DDF89ED">
            <wp:extent cx="5974715" cy="4192270"/>
            <wp:effectExtent l="0" t="0" r="0" b="0"/>
            <wp:docPr id="7" name="Picture 3" descr="Macintosh HD:Seyed Documents:York Projects:Influenza Vaccine Low Effectiveness 2018:Results:Figures:Supplemental:FractionCas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Macintosh HD:Seyed Documents:York Projects:Influenza Vaccine Low Effectiveness 2018:Results:Figures:Supplemental:FractionCases.pdf"/>
                    <pic:cNvPicPr>
                      <a:picLocks noChangeAspect="1" noChangeArrowheads="1"/>
                    </pic:cNvPicPr>
                  </pic:nvPicPr>
                  <pic:blipFill>
                    <a:blip r:embed="rId14"/>
                    <a:stretch>
                      <a:fillRect/>
                    </a:stretch>
                  </pic:blipFill>
                  <pic:spPr bwMode="auto">
                    <a:xfrm>
                      <a:off x="0" y="0"/>
                      <a:ext cx="5974715" cy="4192270"/>
                    </a:xfrm>
                    <a:prstGeom prst="rect">
                      <a:avLst/>
                    </a:prstGeom>
                  </pic:spPr>
                </pic:pic>
              </a:graphicData>
            </a:graphic>
          </wp:inline>
        </w:drawing>
      </w:r>
    </w:p>
    <w:p w14:paraId="3E228402" w14:textId="77777777" w:rsidR="00C815FC" w:rsidRPr="004F68AA" w:rsidRDefault="00A27E7F" w:rsidP="00A27E7F">
      <w:pPr>
        <w:spacing w:after="0" w:line="360" w:lineRule="auto"/>
        <w:rPr>
          <w:rFonts w:ascii="Calibri" w:hAnsi="Calibri"/>
        </w:rPr>
      </w:pPr>
      <w:r w:rsidRPr="004F68AA">
        <w:rPr>
          <w:b/>
        </w:rPr>
        <w:t>Figure S7.</w:t>
      </w:r>
      <w:r w:rsidRPr="004F68AA">
        <w:t xml:space="preserve"> Fraction of total infections caused by symptomatic and asymptomatic cases as a function of </w:t>
      </w:r>
      <m:oMath>
        <m:sSub>
          <m:sSubPr>
            <m:ctrlPr>
              <w:rPr>
                <w:rFonts w:ascii="Cambria Math" w:hAnsi="Cambria Math"/>
              </w:rPr>
            </m:ctrlPr>
          </m:sSubPr>
          <m:e>
            <m:r>
              <w:rPr>
                <w:rFonts w:ascii="Cambria Math" w:hAnsi="Cambria Math"/>
              </w:rPr>
              <m:t>p</m:t>
            </m:r>
          </m:e>
          <m:sub>
            <m:r>
              <w:rPr>
                <w:rFonts w:ascii="Cambria Math" w:hAnsi="Cambria Math"/>
              </w:rPr>
              <m:t>v</m:t>
            </m:r>
          </m:sub>
        </m:sSub>
      </m:oMath>
      <w:r w:rsidRPr="004F68AA">
        <w:rPr>
          <w:rFonts w:eastAsiaTheme="minorEastAsia"/>
        </w:rPr>
        <w:t xml:space="preserve"> </w:t>
      </w:r>
      <w:r w:rsidRPr="004F68AA">
        <w:t xml:space="preserve">for different vaccine efficacy, with </w:t>
      </w:r>
      <m:oMath>
        <m:sSub>
          <m:sSubPr>
            <m:ctrlPr>
              <w:rPr>
                <w:rFonts w:ascii="Cambria Math" w:hAnsi="Cambria Math"/>
              </w:rPr>
            </m:ctrlPr>
          </m:sSubPr>
          <m:e>
            <m:r>
              <w:rPr>
                <w:rFonts w:ascii="Cambria Math" w:hAnsi="Cambria Math"/>
              </w:rPr>
              <m:t>p</m:t>
            </m:r>
          </m:e>
          <m:sub>
            <m:r>
              <w:rPr>
                <w:rFonts w:ascii="Cambria Math" w:hAnsi="Cambria Math"/>
              </w:rPr>
              <m:t>s</m:t>
            </m:r>
          </m:sub>
        </m:sSub>
        <m:r>
          <w:rPr>
            <w:rFonts w:ascii="Cambria Math" w:hAnsi="Cambria Math"/>
          </w:rPr>
          <m:t>=0.4</m:t>
        </m:r>
      </m:oMath>
      <w:r w:rsidRPr="004F68AA">
        <w:rPr>
          <w:rFonts w:eastAsiaTheme="minorEastAsia"/>
        </w:rPr>
        <w:t xml:space="preserve"> (</w:t>
      </w:r>
      <w:proofErr w:type="gramStart"/>
      <w:r w:rsidRPr="004F68AA">
        <w:rPr>
          <w:rFonts w:eastAsiaTheme="minorEastAsia"/>
        </w:rPr>
        <w:t>A,B</w:t>
      </w:r>
      <w:proofErr w:type="gramEnd"/>
      <w:r w:rsidRPr="004F68AA">
        <w:rPr>
          <w:rFonts w:eastAsiaTheme="minorEastAsia"/>
        </w:rPr>
        <w:t xml:space="preserve">); and </w:t>
      </w:r>
      <m:oMath>
        <m:sSub>
          <m:sSubPr>
            <m:ctrlPr>
              <w:rPr>
                <w:rFonts w:ascii="Cambria Math" w:hAnsi="Cambria Math"/>
              </w:rPr>
            </m:ctrlPr>
          </m:sSubPr>
          <m:e>
            <m:r>
              <w:rPr>
                <w:rFonts w:ascii="Cambria Math" w:hAnsi="Cambria Math"/>
              </w:rPr>
              <m:t>p</m:t>
            </m:r>
          </m:e>
          <m:sub>
            <m:r>
              <w:rPr>
                <w:rFonts w:ascii="Cambria Math" w:hAnsi="Cambria Math"/>
              </w:rPr>
              <m:t>s</m:t>
            </m:r>
          </m:sub>
        </m:sSub>
        <m:r>
          <w:rPr>
            <w:rFonts w:ascii="Cambria Math" w:hAnsi="Cambria Math"/>
          </w:rPr>
          <m:t>=0.8</m:t>
        </m:r>
      </m:oMath>
      <w:r w:rsidRPr="004F68AA">
        <w:rPr>
          <w:rFonts w:eastAsiaTheme="minorEastAsia"/>
        </w:rPr>
        <w:t xml:space="preserve"> (C,D).</w:t>
      </w:r>
    </w:p>
    <w:p w14:paraId="4D2F2415" w14:textId="77777777" w:rsidR="00197864" w:rsidRPr="004F68AA" w:rsidRDefault="00197864" w:rsidP="00A27E7F">
      <w:pPr>
        <w:spacing w:after="0" w:line="360" w:lineRule="auto"/>
        <w:rPr>
          <w:b/>
        </w:rPr>
      </w:pPr>
    </w:p>
    <w:p w14:paraId="49362C1F" w14:textId="3E4789B6" w:rsidR="0047034C" w:rsidRDefault="0047034C" w:rsidP="00A27E7F">
      <w:pPr>
        <w:spacing w:after="0" w:line="360" w:lineRule="auto"/>
        <w:rPr>
          <w:b/>
        </w:rPr>
      </w:pPr>
      <w:r w:rsidRPr="004F68AA">
        <w:rPr>
          <w:b/>
        </w:rPr>
        <w:t>Average number of cases per index</w:t>
      </w:r>
    </w:p>
    <w:p w14:paraId="4DB1F399" w14:textId="027821E0" w:rsidR="000C2FCE" w:rsidRPr="000C2FCE" w:rsidRDefault="00ED10E7" w:rsidP="00A27E7F">
      <w:pPr>
        <w:spacing w:after="0" w:line="360" w:lineRule="auto"/>
        <w:rPr>
          <w:rFonts w:ascii="Calibri" w:hAnsi="Calibri"/>
          <w:b/>
        </w:rPr>
      </w:pPr>
      <w:r>
        <w:rPr>
          <w:rFonts w:ascii="Calibri" w:hAnsi="Calibri"/>
        </w:rPr>
        <w:t>We calculated</w:t>
      </w:r>
      <w:r w:rsidR="000C2FCE" w:rsidRPr="000C2FCE">
        <w:rPr>
          <w:rFonts w:ascii="Calibri" w:hAnsi="Calibri"/>
        </w:rPr>
        <w:t xml:space="preserve"> the average number of cases that </w:t>
      </w:r>
      <w:r>
        <w:rPr>
          <w:rFonts w:ascii="Calibri" w:hAnsi="Calibri"/>
        </w:rPr>
        <w:t>is</w:t>
      </w:r>
      <w:r w:rsidR="000C2FCE" w:rsidRPr="000C2FCE">
        <w:rPr>
          <w:rFonts w:ascii="Calibri" w:hAnsi="Calibri"/>
        </w:rPr>
        <w:t xml:space="preserve"> generated by </w:t>
      </w:r>
      <w:r>
        <w:rPr>
          <w:rFonts w:ascii="Calibri" w:hAnsi="Calibri"/>
        </w:rPr>
        <w:t>an</w:t>
      </w:r>
      <w:r w:rsidR="000C2FCE" w:rsidRPr="000C2FCE">
        <w:rPr>
          <w:rFonts w:ascii="Calibri" w:hAnsi="Calibri"/>
        </w:rPr>
        <w:t xml:space="preserve"> </w:t>
      </w:r>
      <w:r>
        <w:rPr>
          <w:rFonts w:ascii="Calibri" w:hAnsi="Calibri"/>
        </w:rPr>
        <w:t xml:space="preserve">infectious </w:t>
      </w:r>
      <w:r w:rsidR="000C2FCE" w:rsidRPr="000C2FCE">
        <w:rPr>
          <w:rFonts w:ascii="Calibri" w:hAnsi="Calibri"/>
        </w:rPr>
        <w:t xml:space="preserve">individual </w:t>
      </w:r>
      <w:r>
        <w:rPr>
          <w:rFonts w:ascii="Calibri" w:hAnsi="Calibri"/>
        </w:rPr>
        <w:t>in different</w:t>
      </w:r>
      <w:r w:rsidR="000C2FCE" w:rsidRPr="000C2FCE">
        <w:rPr>
          <w:rFonts w:ascii="Calibri" w:hAnsi="Calibri"/>
        </w:rPr>
        <w:t xml:space="preserve"> age group</w:t>
      </w:r>
      <w:r>
        <w:rPr>
          <w:rFonts w:ascii="Calibri" w:hAnsi="Calibri"/>
        </w:rPr>
        <w:t>s</w:t>
      </w:r>
      <w:r w:rsidR="00505AD8">
        <w:rPr>
          <w:rFonts w:ascii="Calibri" w:hAnsi="Calibri"/>
        </w:rPr>
        <w:t xml:space="preserve"> in the absence of vaccination</w:t>
      </w:r>
      <w:r w:rsidR="000C2FCE" w:rsidRPr="000C2FCE">
        <w:rPr>
          <w:rFonts w:ascii="Calibri" w:hAnsi="Calibri"/>
        </w:rPr>
        <w:t>. For instance, an infectious individual in</w:t>
      </w:r>
      <w:r>
        <w:rPr>
          <w:rFonts w:ascii="Calibri" w:hAnsi="Calibri"/>
        </w:rPr>
        <w:t xml:space="preserve"> the age group 20-24 produced, o</w:t>
      </w:r>
      <w:r w:rsidR="000C2FCE" w:rsidRPr="000C2FCE">
        <w:rPr>
          <w:rFonts w:ascii="Calibri" w:hAnsi="Calibri"/>
        </w:rPr>
        <w:t xml:space="preserve">n average, one new infection, both for </w:t>
      </w:r>
      <m:oMath>
        <m:sSub>
          <m:sSubPr>
            <m:ctrlPr>
              <w:rPr>
                <w:rFonts w:ascii="Cambria Math" w:hAnsi="Cambria Math"/>
              </w:rPr>
            </m:ctrlPr>
          </m:sSubPr>
          <m:e>
            <m:r>
              <w:rPr>
                <w:rFonts w:ascii="Cambria Math" w:hAnsi="Cambria Math"/>
              </w:rPr>
              <m:t>p</m:t>
            </m:r>
          </m:e>
          <m:sub>
            <m:r>
              <w:rPr>
                <w:rFonts w:ascii="Cambria Math" w:hAnsi="Cambria Math"/>
              </w:rPr>
              <m:t>s</m:t>
            </m:r>
          </m:sub>
        </m:sSub>
        <m:r>
          <w:rPr>
            <w:rFonts w:ascii="Cambria Math" w:hAnsi="Cambria Math"/>
          </w:rPr>
          <m:t>=0.4</m:t>
        </m:r>
      </m:oMath>
      <w:r w:rsidR="000C2FCE" w:rsidRPr="000C2FCE">
        <w:rPr>
          <w:rFonts w:ascii="Calibri" w:eastAsiaTheme="minorEastAsia" w:hAnsi="Calibri"/>
        </w:rPr>
        <w:t xml:space="preserve"> (black curve) and </w:t>
      </w:r>
      <m:oMath>
        <m:sSub>
          <m:sSubPr>
            <m:ctrlPr>
              <w:rPr>
                <w:rFonts w:ascii="Cambria Math" w:hAnsi="Cambria Math"/>
              </w:rPr>
            </m:ctrlPr>
          </m:sSubPr>
          <m:e>
            <m:r>
              <w:rPr>
                <w:rFonts w:ascii="Cambria Math" w:hAnsi="Cambria Math"/>
              </w:rPr>
              <m:t>p</m:t>
            </m:r>
          </m:e>
          <m:sub>
            <m:r>
              <w:rPr>
                <w:rFonts w:ascii="Cambria Math" w:hAnsi="Cambria Math"/>
              </w:rPr>
              <m:t>s</m:t>
            </m:r>
          </m:sub>
        </m:sSub>
        <m:r>
          <w:rPr>
            <w:rFonts w:ascii="Cambria Math" w:hAnsi="Cambria Math"/>
          </w:rPr>
          <m:t>=0.8</m:t>
        </m:r>
      </m:oMath>
      <w:r w:rsidR="000C2FCE" w:rsidRPr="000C2FCE">
        <w:rPr>
          <w:rFonts w:ascii="Calibri" w:eastAsiaTheme="minorEastAsia" w:hAnsi="Calibri"/>
        </w:rPr>
        <w:t xml:space="preserve"> (red curve).</w:t>
      </w:r>
      <w:r w:rsidR="000C2FCE" w:rsidRPr="000C2FCE">
        <w:rPr>
          <w:rFonts w:ascii="Calibri" w:hAnsi="Calibri"/>
        </w:rPr>
        <w:t xml:space="preserve"> This result is clearly related to and follows the behaviour of the average number of daily contacts per age group, presented in Table S1. </w:t>
      </w:r>
    </w:p>
    <w:p w14:paraId="0573C06F" w14:textId="0651BD05" w:rsidR="0047034C" w:rsidRPr="004F68AA" w:rsidRDefault="00E77C52" w:rsidP="00041046">
      <w:pPr>
        <w:spacing w:after="0" w:line="360" w:lineRule="auto"/>
        <w:jc w:val="center"/>
        <w:rPr>
          <w:b/>
        </w:rPr>
      </w:pPr>
      <w:r w:rsidRPr="004F68AA">
        <w:rPr>
          <w:b/>
          <w:noProof/>
          <w:lang w:val="en-US"/>
        </w:rPr>
        <w:lastRenderedPageBreak/>
        <w:drawing>
          <wp:inline distT="0" distB="0" distL="0" distR="0" wp14:anchorId="08CD0E0F" wp14:editId="3DA1137E">
            <wp:extent cx="3036732" cy="2520000"/>
            <wp:effectExtent l="0" t="0" r="11430" b="0"/>
            <wp:docPr id="11" name="Picture 11" descr="Macintosh HD:Seyed Documents:York Projects:Influenza Vaccine Low Effectiveness 2018:Results:Figures:Supplemental:AverageCasesPerInde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Seyed Documents:York Projects:Influenza Vaccine Low Effectiveness 2018:Results:Figures:Supplemental:AverageCasesPerIndex.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6732" cy="2520000"/>
                    </a:xfrm>
                    <a:prstGeom prst="rect">
                      <a:avLst/>
                    </a:prstGeom>
                    <a:noFill/>
                    <a:ln>
                      <a:noFill/>
                    </a:ln>
                  </pic:spPr>
                </pic:pic>
              </a:graphicData>
            </a:graphic>
          </wp:inline>
        </w:drawing>
      </w:r>
    </w:p>
    <w:p w14:paraId="7DF06689" w14:textId="67C4994F" w:rsidR="00041046" w:rsidRDefault="00041046" w:rsidP="00A27E7F">
      <w:pPr>
        <w:spacing w:after="0" w:line="360" w:lineRule="auto"/>
        <w:rPr>
          <w:rFonts w:eastAsiaTheme="minorEastAsia"/>
        </w:rPr>
      </w:pPr>
      <w:r w:rsidRPr="004F68AA">
        <w:rPr>
          <w:b/>
        </w:rPr>
        <w:t>Figure S8.</w:t>
      </w:r>
      <w:r w:rsidRPr="004F68AA">
        <w:t xml:space="preserve"> </w:t>
      </w:r>
      <w:r w:rsidR="0011092C" w:rsidRPr="004F68AA">
        <w:t xml:space="preserve">Average number of new cases generated by an infected individual in </w:t>
      </w:r>
      <w:r w:rsidR="00A332B3" w:rsidRPr="004F68AA">
        <w:t>an age group</w:t>
      </w:r>
      <w:r w:rsidR="0011092C" w:rsidRPr="004F68AA">
        <w:t xml:space="preserve"> in the absence of vaccination </w:t>
      </w:r>
      <w:r w:rsidRPr="004F68AA">
        <w:t xml:space="preserve">with </w:t>
      </w:r>
      <m:oMath>
        <m:sSub>
          <m:sSubPr>
            <m:ctrlPr>
              <w:rPr>
                <w:rFonts w:ascii="Cambria Math" w:hAnsi="Cambria Math"/>
              </w:rPr>
            </m:ctrlPr>
          </m:sSubPr>
          <m:e>
            <m:r>
              <w:rPr>
                <w:rFonts w:ascii="Cambria Math" w:hAnsi="Cambria Math"/>
              </w:rPr>
              <m:t>p</m:t>
            </m:r>
          </m:e>
          <m:sub>
            <m:r>
              <w:rPr>
                <w:rFonts w:ascii="Cambria Math" w:hAnsi="Cambria Math"/>
              </w:rPr>
              <m:t>s</m:t>
            </m:r>
          </m:sub>
        </m:sSub>
        <m:r>
          <w:rPr>
            <w:rFonts w:ascii="Cambria Math" w:hAnsi="Cambria Math"/>
          </w:rPr>
          <m:t>=0.4</m:t>
        </m:r>
      </m:oMath>
      <w:r w:rsidR="0011092C" w:rsidRPr="004F68AA">
        <w:rPr>
          <w:rFonts w:eastAsiaTheme="minorEastAsia"/>
        </w:rPr>
        <w:t xml:space="preserve"> (</w:t>
      </w:r>
      <w:r w:rsidR="00DD04A2" w:rsidRPr="004F68AA">
        <w:rPr>
          <w:rFonts w:eastAsiaTheme="minorEastAsia"/>
        </w:rPr>
        <w:t>black curve)</w:t>
      </w:r>
      <w:r w:rsidRPr="004F68AA">
        <w:rPr>
          <w:rFonts w:eastAsiaTheme="minorEastAsia"/>
        </w:rPr>
        <w:t xml:space="preserve"> and </w:t>
      </w:r>
      <m:oMath>
        <m:sSub>
          <m:sSubPr>
            <m:ctrlPr>
              <w:rPr>
                <w:rFonts w:ascii="Cambria Math" w:hAnsi="Cambria Math"/>
              </w:rPr>
            </m:ctrlPr>
          </m:sSubPr>
          <m:e>
            <m:r>
              <w:rPr>
                <w:rFonts w:ascii="Cambria Math" w:hAnsi="Cambria Math"/>
              </w:rPr>
              <m:t>p</m:t>
            </m:r>
          </m:e>
          <m:sub>
            <m:r>
              <w:rPr>
                <w:rFonts w:ascii="Cambria Math" w:hAnsi="Cambria Math"/>
              </w:rPr>
              <m:t>s</m:t>
            </m:r>
          </m:sub>
        </m:sSub>
        <m:r>
          <w:rPr>
            <w:rFonts w:ascii="Cambria Math" w:hAnsi="Cambria Math"/>
          </w:rPr>
          <m:t>=0.8</m:t>
        </m:r>
      </m:oMath>
      <w:r w:rsidR="00DD04A2" w:rsidRPr="004F68AA">
        <w:rPr>
          <w:rFonts w:eastAsiaTheme="minorEastAsia"/>
        </w:rPr>
        <w:t xml:space="preserve"> (red curve</w:t>
      </w:r>
      <w:r w:rsidRPr="004F68AA">
        <w:rPr>
          <w:rFonts w:eastAsiaTheme="minorEastAsia"/>
        </w:rPr>
        <w:t>).</w:t>
      </w:r>
    </w:p>
    <w:p w14:paraId="4EDBEF47" w14:textId="77777777" w:rsidR="00ED10E7" w:rsidRPr="004F68AA" w:rsidRDefault="00ED10E7" w:rsidP="00A27E7F">
      <w:pPr>
        <w:spacing w:after="0" w:line="360" w:lineRule="auto"/>
        <w:rPr>
          <w:rFonts w:eastAsiaTheme="minorEastAsia"/>
        </w:rPr>
      </w:pPr>
    </w:p>
    <w:p w14:paraId="68C53418" w14:textId="67758B88" w:rsidR="00E77C52" w:rsidRDefault="00DE174D" w:rsidP="00A27E7F">
      <w:pPr>
        <w:spacing w:after="0" w:line="360" w:lineRule="auto"/>
        <w:rPr>
          <w:b/>
        </w:rPr>
      </w:pPr>
      <w:r w:rsidRPr="004F68AA">
        <w:rPr>
          <w:b/>
        </w:rPr>
        <w:t>Age-dependent number of cases per index</w:t>
      </w:r>
    </w:p>
    <w:p w14:paraId="412E78B8" w14:textId="01CFD061" w:rsidR="00ED10E7" w:rsidRPr="000C2FCE" w:rsidRDefault="00875E71" w:rsidP="00ED10E7">
      <w:pPr>
        <w:spacing w:after="0" w:line="360" w:lineRule="auto"/>
        <w:rPr>
          <w:rFonts w:ascii="Calibri" w:hAnsi="Calibri"/>
          <w:b/>
        </w:rPr>
      </w:pPr>
      <w:r>
        <w:rPr>
          <w:rFonts w:ascii="Calibri" w:hAnsi="Calibri"/>
        </w:rPr>
        <w:t xml:space="preserve">We </w:t>
      </w:r>
      <w:r w:rsidR="003F774E">
        <w:rPr>
          <w:rFonts w:ascii="Calibri" w:hAnsi="Calibri"/>
        </w:rPr>
        <w:t>used the</w:t>
      </w:r>
      <w:r w:rsidR="00ED10E7" w:rsidRPr="000C2FCE">
        <w:rPr>
          <w:rFonts w:ascii="Calibri" w:hAnsi="Calibri"/>
        </w:rPr>
        <w:t xml:space="preserve"> </w:t>
      </w:r>
      <w:r w:rsidR="003F774E">
        <w:rPr>
          <w:rFonts w:ascii="Calibri" w:hAnsi="Calibri"/>
        </w:rPr>
        <w:t>total nu</w:t>
      </w:r>
      <w:r w:rsidR="004A5E7D">
        <w:rPr>
          <w:rFonts w:ascii="Calibri" w:hAnsi="Calibri"/>
        </w:rPr>
        <w:t>mber of cases in each age group</w:t>
      </w:r>
      <w:r w:rsidR="003F774E">
        <w:rPr>
          <w:rFonts w:ascii="Calibri" w:hAnsi="Calibri"/>
        </w:rPr>
        <w:t xml:space="preserve"> and </w:t>
      </w:r>
      <w:r w:rsidR="004A5E7D">
        <w:rPr>
          <w:rFonts w:ascii="Calibri" w:hAnsi="Calibri"/>
        </w:rPr>
        <w:t xml:space="preserve">their </w:t>
      </w:r>
      <w:r w:rsidR="003F774E">
        <w:rPr>
          <w:rFonts w:ascii="Calibri" w:hAnsi="Calibri"/>
        </w:rPr>
        <w:t xml:space="preserve">contact information recorded in simulations to derive the average number of </w:t>
      </w:r>
      <w:r w:rsidR="00505AD8">
        <w:rPr>
          <w:rFonts w:ascii="Calibri" w:hAnsi="Calibri"/>
        </w:rPr>
        <w:t>cases in an age group generated by an infectious case in any other age group. In the a</w:t>
      </w:r>
      <w:r w:rsidR="00AE6A77">
        <w:rPr>
          <w:rFonts w:ascii="Calibri" w:hAnsi="Calibri"/>
        </w:rPr>
        <w:t xml:space="preserve">bsence of vaccination, Figure S9 represents the results </w:t>
      </w:r>
      <w:r w:rsidR="00AE6A77">
        <w:t>for</w:t>
      </w:r>
      <w:r w:rsidR="00AE6A77" w:rsidRPr="004F68AA">
        <w:t xml:space="preserve"> </w:t>
      </w:r>
      <m:oMath>
        <m:sSub>
          <m:sSubPr>
            <m:ctrlPr>
              <w:rPr>
                <w:rFonts w:ascii="Cambria Math" w:hAnsi="Cambria Math"/>
              </w:rPr>
            </m:ctrlPr>
          </m:sSubPr>
          <m:e>
            <m:r>
              <w:rPr>
                <w:rFonts w:ascii="Cambria Math" w:hAnsi="Cambria Math"/>
              </w:rPr>
              <m:t>p</m:t>
            </m:r>
          </m:e>
          <m:sub>
            <m:r>
              <w:rPr>
                <w:rFonts w:ascii="Cambria Math" w:hAnsi="Cambria Math"/>
              </w:rPr>
              <m:t>s</m:t>
            </m:r>
          </m:sub>
        </m:sSub>
        <m:r>
          <w:rPr>
            <w:rFonts w:ascii="Cambria Math" w:hAnsi="Cambria Math"/>
          </w:rPr>
          <m:t>=0.4</m:t>
        </m:r>
      </m:oMath>
      <w:r w:rsidR="00AE6A77" w:rsidRPr="004F68AA">
        <w:rPr>
          <w:rFonts w:eastAsiaTheme="minorEastAsia"/>
        </w:rPr>
        <w:t xml:space="preserve"> (</w:t>
      </w:r>
      <w:r w:rsidR="00AE6A77">
        <w:rPr>
          <w:rFonts w:eastAsiaTheme="minorEastAsia"/>
        </w:rPr>
        <w:t>A</w:t>
      </w:r>
      <w:r w:rsidR="00AE6A77" w:rsidRPr="004F68AA">
        <w:rPr>
          <w:rFonts w:eastAsiaTheme="minorEastAsia"/>
        </w:rPr>
        <w:t xml:space="preserve">) and </w:t>
      </w:r>
      <m:oMath>
        <m:sSub>
          <m:sSubPr>
            <m:ctrlPr>
              <w:rPr>
                <w:rFonts w:ascii="Cambria Math" w:hAnsi="Cambria Math"/>
              </w:rPr>
            </m:ctrlPr>
          </m:sSubPr>
          <m:e>
            <m:r>
              <w:rPr>
                <w:rFonts w:ascii="Cambria Math" w:hAnsi="Cambria Math"/>
              </w:rPr>
              <m:t>p</m:t>
            </m:r>
          </m:e>
          <m:sub>
            <m:r>
              <w:rPr>
                <w:rFonts w:ascii="Cambria Math" w:hAnsi="Cambria Math"/>
              </w:rPr>
              <m:t>s</m:t>
            </m:r>
          </m:sub>
        </m:sSub>
        <m:r>
          <w:rPr>
            <w:rFonts w:ascii="Cambria Math" w:hAnsi="Cambria Math"/>
          </w:rPr>
          <m:t>=0.8</m:t>
        </m:r>
      </m:oMath>
      <w:r w:rsidR="00AE6A77">
        <w:rPr>
          <w:rFonts w:eastAsiaTheme="minorEastAsia"/>
        </w:rPr>
        <w:t xml:space="preserve"> (B</w:t>
      </w:r>
      <w:r w:rsidR="00AE6A77" w:rsidRPr="004F68AA">
        <w:rPr>
          <w:rFonts w:eastAsiaTheme="minorEastAsia"/>
        </w:rPr>
        <w:t>)</w:t>
      </w:r>
      <w:r w:rsidR="00AE6A77">
        <w:rPr>
          <w:rFonts w:eastAsiaTheme="minorEastAsia"/>
        </w:rPr>
        <w:t xml:space="preserve">. </w:t>
      </w:r>
    </w:p>
    <w:p w14:paraId="561D6813" w14:textId="77777777" w:rsidR="00ED10E7" w:rsidRPr="004F68AA" w:rsidRDefault="00ED10E7" w:rsidP="00A27E7F">
      <w:pPr>
        <w:spacing w:after="0" w:line="360" w:lineRule="auto"/>
        <w:rPr>
          <w:b/>
        </w:rPr>
      </w:pPr>
    </w:p>
    <w:p w14:paraId="44AA02B1" w14:textId="132AB743" w:rsidR="0047034C" w:rsidRPr="004F68AA" w:rsidRDefault="00E77C52" w:rsidP="00041046">
      <w:pPr>
        <w:spacing w:after="0" w:line="360" w:lineRule="auto"/>
        <w:jc w:val="center"/>
        <w:rPr>
          <w:b/>
        </w:rPr>
      </w:pPr>
      <w:r w:rsidRPr="004F68AA">
        <w:rPr>
          <w:b/>
          <w:noProof/>
          <w:lang w:val="en-US"/>
        </w:rPr>
        <w:drawing>
          <wp:inline distT="0" distB="0" distL="0" distR="0" wp14:anchorId="3A9F4015" wp14:editId="5A4E9158">
            <wp:extent cx="5974715" cy="2673350"/>
            <wp:effectExtent l="0" t="0" r="0" b="0"/>
            <wp:docPr id="10" name="Picture 10" descr="Macintosh HD:Seyed Documents:York Projects:Influenza Vaccine Low Effectiveness 2018:Results:Figures:Supplemental:CasesPerInde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Seyed Documents:York Projects:Influenza Vaccine Low Effectiveness 2018:Results:Figures:Supplemental:CasesPerIndex.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4715" cy="2673350"/>
                    </a:xfrm>
                    <a:prstGeom prst="rect">
                      <a:avLst/>
                    </a:prstGeom>
                    <a:noFill/>
                    <a:ln>
                      <a:noFill/>
                    </a:ln>
                  </pic:spPr>
                </pic:pic>
              </a:graphicData>
            </a:graphic>
          </wp:inline>
        </w:drawing>
      </w:r>
    </w:p>
    <w:p w14:paraId="2AD6EED8" w14:textId="21A0F000" w:rsidR="00E04721" w:rsidRPr="004F68AA" w:rsidRDefault="00E04721" w:rsidP="00E04721">
      <w:pPr>
        <w:spacing w:after="0" w:line="360" w:lineRule="auto"/>
        <w:rPr>
          <w:rFonts w:eastAsiaTheme="minorEastAsia"/>
        </w:rPr>
      </w:pPr>
      <w:r w:rsidRPr="004F68AA">
        <w:rPr>
          <w:b/>
        </w:rPr>
        <w:t>Figure S9.</w:t>
      </w:r>
      <w:r w:rsidRPr="004F68AA">
        <w:t xml:space="preserve"> Average number of new cases generated by an infected individual in </w:t>
      </w:r>
      <w:r w:rsidR="00A332B3" w:rsidRPr="004F68AA">
        <w:t>different age groups</w:t>
      </w:r>
      <w:r w:rsidRPr="004F68AA">
        <w:t xml:space="preserve"> in the absence of vaccination with </w:t>
      </w:r>
      <m:oMath>
        <m:sSub>
          <m:sSubPr>
            <m:ctrlPr>
              <w:rPr>
                <w:rFonts w:ascii="Cambria Math" w:hAnsi="Cambria Math"/>
              </w:rPr>
            </m:ctrlPr>
          </m:sSubPr>
          <m:e>
            <m:r>
              <w:rPr>
                <w:rFonts w:ascii="Cambria Math" w:hAnsi="Cambria Math"/>
              </w:rPr>
              <m:t>p</m:t>
            </m:r>
          </m:e>
          <m:sub>
            <m:r>
              <w:rPr>
                <w:rFonts w:ascii="Cambria Math" w:hAnsi="Cambria Math"/>
              </w:rPr>
              <m:t>s</m:t>
            </m:r>
          </m:sub>
        </m:sSub>
        <m:r>
          <w:rPr>
            <w:rFonts w:ascii="Cambria Math" w:hAnsi="Cambria Math"/>
          </w:rPr>
          <m:t>=0.4</m:t>
        </m:r>
      </m:oMath>
      <w:r w:rsidRPr="004F68AA">
        <w:rPr>
          <w:rFonts w:eastAsiaTheme="minorEastAsia"/>
        </w:rPr>
        <w:t xml:space="preserve"> (</w:t>
      </w:r>
      <w:r w:rsidR="00A332B3" w:rsidRPr="004F68AA">
        <w:rPr>
          <w:rFonts w:eastAsiaTheme="minorEastAsia"/>
        </w:rPr>
        <w:t>A</w:t>
      </w:r>
      <w:r w:rsidRPr="004F68AA">
        <w:rPr>
          <w:rFonts w:eastAsiaTheme="minorEastAsia"/>
        </w:rPr>
        <w:t xml:space="preserve">) and </w:t>
      </w:r>
      <m:oMath>
        <m:sSub>
          <m:sSubPr>
            <m:ctrlPr>
              <w:rPr>
                <w:rFonts w:ascii="Cambria Math" w:hAnsi="Cambria Math"/>
              </w:rPr>
            </m:ctrlPr>
          </m:sSubPr>
          <m:e>
            <m:r>
              <w:rPr>
                <w:rFonts w:ascii="Cambria Math" w:hAnsi="Cambria Math"/>
              </w:rPr>
              <m:t>p</m:t>
            </m:r>
          </m:e>
          <m:sub>
            <m:r>
              <w:rPr>
                <w:rFonts w:ascii="Cambria Math" w:hAnsi="Cambria Math"/>
              </w:rPr>
              <m:t>s</m:t>
            </m:r>
          </m:sub>
        </m:sSub>
        <m:r>
          <w:rPr>
            <w:rFonts w:ascii="Cambria Math" w:hAnsi="Cambria Math"/>
          </w:rPr>
          <m:t>=0.8</m:t>
        </m:r>
      </m:oMath>
      <w:r w:rsidRPr="004F68AA">
        <w:rPr>
          <w:rFonts w:eastAsiaTheme="minorEastAsia"/>
        </w:rPr>
        <w:t xml:space="preserve"> (</w:t>
      </w:r>
      <w:r w:rsidR="00A332B3" w:rsidRPr="004F68AA">
        <w:rPr>
          <w:rFonts w:eastAsiaTheme="minorEastAsia"/>
        </w:rPr>
        <w:t>B</w:t>
      </w:r>
      <w:r w:rsidRPr="004F68AA">
        <w:rPr>
          <w:rFonts w:eastAsiaTheme="minorEastAsia"/>
        </w:rPr>
        <w:t>).</w:t>
      </w:r>
    </w:p>
    <w:p w14:paraId="259B2B8E" w14:textId="77777777" w:rsidR="00A93133" w:rsidRDefault="00A93133" w:rsidP="00A27E7F">
      <w:pPr>
        <w:spacing w:after="0" w:line="360" w:lineRule="auto"/>
        <w:rPr>
          <w:b/>
        </w:rPr>
      </w:pPr>
    </w:p>
    <w:p w14:paraId="24880DED" w14:textId="77777777" w:rsidR="00C815FC" w:rsidRPr="00197864" w:rsidRDefault="00197864" w:rsidP="00A27E7F">
      <w:pPr>
        <w:spacing w:after="0" w:line="360" w:lineRule="auto"/>
        <w:rPr>
          <w:b/>
        </w:rPr>
      </w:pPr>
      <w:r w:rsidRPr="00197864">
        <w:rPr>
          <w:b/>
        </w:rPr>
        <w:lastRenderedPageBreak/>
        <w:t>References</w:t>
      </w:r>
    </w:p>
    <w:sectPr w:rsidR="00C815FC" w:rsidRPr="00197864" w:rsidSect="004C03C2">
      <w:footerReference w:type="even" r:id="rId17"/>
      <w:footerReference w:type="default" r:id="rId18"/>
      <w:endnotePr>
        <w:numFmt w:val="decimal"/>
      </w:endnotePr>
      <w:pgSz w:w="12240" w:h="15840"/>
      <w:pgMar w:top="1418" w:right="1418" w:bottom="1134" w:left="1418" w:header="567" w:footer="567" w:gutter="0"/>
      <w:cols w:space="720"/>
      <w:formProt w:val="0"/>
      <w:docGrid w:linePitch="360" w:charSpace="16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E24BE" w14:textId="77777777" w:rsidR="00FE131F" w:rsidRDefault="00FE131F">
      <w:r>
        <w:separator/>
      </w:r>
    </w:p>
  </w:endnote>
  <w:endnote w:type="continuationSeparator" w:id="0">
    <w:p w14:paraId="69872B7A" w14:textId="77777777" w:rsidR="00FE131F" w:rsidRDefault="00FE131F">
      <w:r>
        <w:continuationSeparator/>
      </w:r>
    </w:p>
  </w:endnote>
  <w:endnote w:id="1">
    <w:p w14:paraId="5DC0D24F" w14:textId="2FFC2A5D" w:rsidR="00AB0E65" w:rsidRPr="001A4C67" w:rsidRDefault="00AB0E65" w:rsidP="00483A71">
      <w:pPr>
        <w:pStyle w:val="EndnoteText"/>
        <w:spacing w:after="120"/>
        <w:ind w:left="357" w:hanging="357"/>
        <w:rPr>
          <w:rFonts w:ascii="Calibri" w:hAnsi="Calibri"/>
          <w:sz w:val="24"/>
          <w:szCs w:val="24"/>
        </w:rPr>
      </w:pPr>
      <w:r w:rsidRPr="00483A71">
        <w:rPr>
          <w:rStyle w:val="EndnoteCharacters"/>
          <w:rFonts w:ascii="Calibri" w:hAnsi="Calibri"/>
          <w:sz w:val="24"/>
          <w:szCs w:val="24"/>
        </w:rPr>
        <w:endnoteRef/>
      </w:r>
      <w:r w:rsidRPr="00483A71">
        <w:rPr>
          <w:rStyle w:val="EndnoteCharacters"/>
          <w:rFonts w:ascii="Calibri" w:hAnsi="Calibri"/>
          <w:sz w:val="24"/>
          <w:szCs w:val="24"/>
        </w:rPr>
        <w:t>.</w:t>
      </w:r>
      <w:r w:rsidRPr="00483A71">
        <w:rPr>
          <w:rStyle w:val="EndnoteCharacters"/>
          <w:rFonts w:ascii="Calibri" w:hAnsi="Calibri"/>
          <w:sz w:val="24"/>
          <w:szCs w:val="24"/>
        </w:rPr>
        <w:tab/>
      </w:r>
      <w:r w:rsidRPr="001A4C67">
        <w:rPr>
          <w:rFonts w:ascii="Calibri" w:hAnsi="Calibri"/>
          <w:sz w:val="24"/>
          <w:szCs w:val="24"/>
        </w:rPr>
        <w:t xml:space="preserve">Website of Government of Canada at </w:t>
      </w:r>
      <w:r w:rsidRPr="001A4C67">
        <w:rPr>
          <w:rStyle w:val="InternetLink"/>
          <w:rFonts w:ascii="Calibri" w:hAnsi="Calibri"/>
          <w:color w:val="auto"/>
          <w:sz w:val="24"/>
          <w:szCs w:val="24"/>
          <w:u w:val="none"/>
        </w:rPr>
        <w:t>http://www5.statcan.gc.ca/cansim/a26?lang=eng&amp;retrLang=eng&amp;id=0510001&amp;&amp;pattern=&amp;stByVal=1&amp;p1=1&amp;p2=37&amp;tabMode=dataTable&amp;csid</w:t>
      </w:r>
      <w:r>
        <w:rPr>
          <w:rFonts w:ascii="Calibri" w:hAnsi="Calibri"/>
          <w:sz w:val="24"/>
          <w:szCs w:val="24"/>
        </w:rPr>
        <w:t>=. Accessed February</w:t>
      </w:r>
      <w:r w:rsidRPr="001A4C67">
        <w:rPr>
          <w:rFonts w:ascii="Calibri" w:hAnsi="Calibri"/>
          <w:sz w:val="24"/>
          <w:szCs w:val="24"/>
        </w:rPr>
        <w:t xml:space="preserve"> 2018.</w:t>
      </w:r>
    </w:p>
  </w:endnote>
  <w:endnote w:id="2">
    <w:p w14:paraId="49510CDC" w14:textId="77777777" w:rsidR="00AB0E65" w:rsidRPr="001A4C67" w:rsidRDefault="00AB0E65" w:rsidP="00483A71">
      <w:pPr>
        <w:suppressLineNumbers/>
        <w:spacing w:after="120" w:line="240" w:lineRule="auto"/>
        <w:ind w:left="357" w:hanging="357"/>
        <w:rPr>
          <w:rFonts w:ascii="Calibri" w:hAnsi="Calibri"/>
          <w:sz w:val="24"/>
          <w:szCs w:val="24"/>
        </w:rPr>
      </w:pPr>
      <w:r w:rsidRPr="001A4C67">
        <w:rPr>
          <w:rStyle w:val="EndnoteCharacters"/>
          <w:rFonts w:ascii="Calibri" w:hAnsi="Calibri"/>
          <w:sz w:val="24"/>
          <w:szCs w:val="24"/>
        </w:rPr>
        <w:endnoteRef/>
      </w:r>
      <w:r w:rsidRPr="001A4C67">
        <w:rPr>
          <w:rStyle w:val="EndnoteCharacters"/>
          <w:rFonts w:ascii="Calibri" w:hAnsi="Calibri"/>
          <w:sz w:val="24"/>
          <w:szCs w:val="24"/>
        </w:rPr>
        <w:t>.</w:t>
      </w:r>
      <w:r w:rsidRPr="001A4C67">
        <w:rPr>
          <w:rStyle w:val="EndnoteCharacters"/>
          <w:rFonts w:ascii="Calibri" w:hAnsi="Calibri"/>
          <w:sz w:val="24"/>
          <w:szCs w:val="24"/>
        </w:rPr>
        <w:tab/>
      </w:r>
      <w:r w:rsidRPr="001A4C67">
        <w:rPr>
          <w:rFonts w:ascii="Calibri" w:hAnsi="Calibri" w:cs="Times New Roman"/>
          <w:sz w:val="24"/>
          <w:szCs w:val="24"/>
        </w:rPr>
        <w:t>Mossong, J., Hens, N., Jit, M., Beutels, P., Auranen, K., Mikolajczyk, R., Massari, M., Salmaso, S., Tomba, G.S., Wallinga, J., Heijne, J., Sadkowska-Todys, M., Rosinska, M., Edmunds, W.J., 2008. Social contacts and mixing patterns relevant to the spread of infectious diseases. PLoS Med. 5, 0381–0391. https://doi.org/10.1371/journal.pmed.0050074</w:t>
      </w:r>
    </w:p>
  </w:endnote>
  <w:endnote w:id="3">
    <w:p w14:paraId="45672226" w14:textId="77777777" w:rsidR="00AB0E65" w:rsidRPr="001A4C67" w:rsidRDefault="00AB0E65" w:rsidP="00483A71">
      <w:pPr>
        <w:spacing w:after="120" w:line="240" w:lineRule="auto"/>
        <w:ind w:left="357" w:hanging="357"/>
        <w:rPr>
          <w:rFonts w:ascii="Calibri" w:hAnsi="Calibri"/>
          <w:sz w:val="24"/>
          <w:szCs w:val="24"/>
        </w:rPr>
      </w:pPr>
      <w:r w:rsidRPr="001A4C67">
        <w:rPr>
          <w:rStyle w:val="EndnoteCharacters"/>
          <w:rFonts w:ascii="Calibri" w:hAnsi="Calibri"/>
          <w:sz w:val="24"/>
          <w:szCs w:val="24"/>
        </w:rPr>
        <w:endnoteRef/>
      </w:r>
      <w:r w:rsidRPr="001A4C67">
        <w:rPr>
          <w:rStyle w:val="EndnoteCharacters"/>
          <w:rFonts w:ascii="Calibri" w:hAnsi="Calibri"/>
          <w:sz w:val="24"/>
          <w:szCs w:val="24"/>
        </w:rPr>
        <w:t>.</w:t>
      </w:r>
      <w:r w:rsidRPr="001A4C67">
        <w:rPr>
          <w:rStyle w:val="EndnoteCharacters"/>
          <w:rFonts w:ascii="Calibri" w:hAnsi="Calibri"/>
          <w:sz w:val="24"/>
          <w:szCs w:val="24"/>
        </w:rPr>
        <w:tab/>
      </w:r>
      <w:r w:rsidRPr="001A4C67">
        <w:rPr>
          <w:rFonts w:ascii="Calibri" w:hAnsi="Calibri" w:cs="Times New Roman"/>
          <w:sz w:val="24"/>
          <w:szCs w:val="24"/>
        </w:rPr>
        <w:t>Public Health Agency of Canada, 2018. 2016/17 Seasonal Influenza Vaccine Coverage in Canada.</w:t>
      </w:r>
    </w:p>
  </w:endnote>
  <w:endnote w:id="4">
    <w:p w14:paraId="2095D78F" w14:textId="1C7D9C27" w:rsidR="00AB0E65" w:rsidRPr="001A4C67" w:rsidRDefault="00AB0E65" w:rsidP="00483A71">
      <w:pPr>
        <w:pStyle w:val="EndnoteText"/>
        <w:spacing w:after="120" w:line="240" w:lineRule="auto"/>
        <w:ind w:left="357" w:hanging="357"/>
        <w:rPr>
          <w:rFonts w:ascii="Calibri" w:hAnsi="Calibri"/>
          <w:sz w:val="24"/>
          <w:szCs w:val="24"/>
        </w:rPr>
      </w:pPr>
      <w:r w:rsidRPr="001A4C67">
        <w:rPr>
          <w:rStyle w:val="EndnoteCharacters"/>
          <w:rFonts w:ascii="Calibri" w:hAnsi="Calibri"/>
          <w:sz w:val="24"/>
          <w:szCs w:val="24"/>
        </w:rPr>
        <w:endnoteRef/>
      </w:r>
      <w:r w:rsidRPr="001A4C67">
        <w:rPr>
          <w:rStyle w:val="EndnoteCharacters"/>
          <w:rFonts w:ascii="Calibri" w:hAnsi="Calibri"/>
          <w:sz w:val="24"/>
          <w:szCs w:val="24"/>
        </w:rPr>
        <w:t>.</w:t>
      </w:r>
      <w:r w:rsidRPr="001A4C67">
        <w:rPr>
          <w:rStyle w:val="EndnoteCharacters"/>
          <w:rFonts w:ascii="Calibri" w:hAnsi="Calibri"/>
          <w:sz w:val="24"/>
          <w:szCs w:val="24"/>
        </w:rPr>
        <w:tab/>
      </w:r>
      <w:r w:rsidRPr="001A4C67">
        <w:rPr>
          <w:rFonts w:ascii="Calibri" w:hAnsi="Calibri" w:cs="Times New Roman"/>
          <w:sz w:val="24"/>
          <w:szCs w:val="24"/>
        </w:rPr>
        <w:t xml:space="preserve">Government of Canada’s website available at </w:t>
      </w:r>
      <w:r w:rsidRPr="001A4C67">
        <w:rPr>
          <w:rStyle w:val="InternetLink"/>
          <w:rFonts w:ascii="Calibri" w:hAnsi="Calibri" w:cs="Times New Roman"/>
          <w:color w:val="auto"/>
          <w:sz w:val="24"/>
          <w:szCs w:val="24"/>
          <w:u w:val="none"/>
        </w:rPr>
        <w:t>http://infobase.phac-aspc.gc.ca</w:t>
      </w:r>
      <w:r w:rsidRPr="001A4C67">
        <w:rPr>
          <w:rStyle w:val="InternetLink"/>
          <w:rFonts w:ascii="Calibri" w:hAnsi="Calibri" w:cs="Times New Roman"/>
          <w:color w:val="auto"/>
          <w:sz w:val="24"/>
          <w:szCs w:val="24"/>
          <w:u w:val="none"/>
        </w:rPr>
        <w:t>:9600/PHAC/dimensionMembers.jsp?l=en&amp;rep=i3212B12F133F4CE88AD13DB60CA37237&amp;s</w:t>
      </w:r>
      <w:r>
        <w:rPr>
          <w:rFonts w:ascii="Calibri" w:hAnsi="Calibri" w:cs="Times New Roman"/>
          <w:sz w:val="24"/>
          <w:szCs w:val="24"/>
        </w:rPr>
        <w:t>#. Accessed March</w:t>
      </w:r>
      <w:r w:rsidRPr="001A4C67">
        <w:rPr>
          <w:rFonts w:ascii="Calibri" w:hAnsi="Calibri" w:cs="Times New Roman"/>
          <w:sz w:val="24"/>
          <w:szCs w:val="24"/>
        </w:rPr>
        <w:t xml:space="preserve">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1"/>
    <w:family w:val="swiss"/>
    <w:pitch w:val="variable"/>
  </w:font>
  <w:font w:name="Noto Sans CJK SC Regular">
    <w:panose1 w:val="020B0604020202020204"/>
    <w:charset w:val="00"/>
    <w:family w:val="roman"/>
    <w:notTrueType/>
    <w:pitch w:val="default"/>
  </w:font>
  <w:font w:name="FreeSans">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76647" w14:textId="77777777" w:rsidR="00AB0E65" w:rsidRDefault="00AB0E65" w:rsidP="00797D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FF0A35" w14:textId="77777777" w:rsidR="00AB0E65" w:rsidRDefault="00AB0E65" w:rsidP="00AB0E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49A9E" w14:textId="77777777" w:rsidR="00AB0E65" w:rsidRDefault="00AB0E65" w:rsidP="00AB0E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03C2">
      <w:rPr>
        <w:rStyle w:val="PageNumber"/>
        <w:noProof/>
      </w:rPr>
      <w:t>1</w:t>
    </w:r>
    <w:r>
      <w:rPr>
        <w:rStyle w:val="PageNumber"/>
      </w:rPr>
      <w:fldChar w:fldCharType="end"/>
    </w:r>
  </w:p>
  <w:p w14:paraId="6FC448AA" w14:textId="77777777" w:rsidR="00AB0E65" w:rsidRDefault="00AB0E65" w:rsidP="00AB0E6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7DE1F" w14:textId="77777777" w:rsidR="00FE131F" w:rsidRDefault="00FE131F">
      <w:pPr>
        <w:spacing w:after="0" w:line="240" w:lineRule="auto"/>
      </w:pPr>
      <w:r>
        <w:separator/>
      </w:r>
    </w:p>
  </w:footnote>
  <w:footnote w:type="continuationSeparator" w:id="0">
    <w:p w14:paraId="269993F2" w14:textId="77777777" w:rsidR="00FE131F" w:rsidRDefault="00FE1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E34388"/>
    <w:multiLevelType w:val="multilevel"/>
    <w:tmpl w:val="FBB4B8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781F049B"/>
    <w:multiLevelType w:val="multilevel"/>
    <w:tmpl w:val="9CBC577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5FC"/>
    <w:rsid w:val="00041046"/>
    <w:rsid w:val="00047C26"/>
    <w:rsid w:val="00055B00"/>
    <w:rsid w:val="000C2FCE"/>
    <w:rsid w:val="0011092C"/>
    <w:rsid w:val="00165339"/>
    <w:rsid w:val="0017068B"/>
    <w:rsid w:val="00197864"/>
    <w:rsid w:val="001A4C67"/>
    <w:rsid w:val="002C0152"/>
    <w:rsid w:val="002E744E"/>
    <w:rsid w:val="002F1942"/>
    <w:rsid w:val="00303083"/>
    <w:rsid w:val="00314C96"/>
    <w:rsid w:val="00337CC6"/>
    <w:rsid w:val="00356CFC"/>
    <w:rsid w:val="003F774E"/>
    <w:rsid w:val="00461008"/>
    <w:rsid w:val="0047034C"/>
    <w:rsid w:val="00483A71"/>
    <w:rsid w:val="004A5E7D"/>
    <w:rsid w:val="004C03C2"/>
    <w:rsid w:val="004F68AA"/>
    <w:rsid w:val="00505AD8"/>
    <w:rsid w:val="005A32FE"/>
    <w:rsid w:val="005D4FCB"/>
    <w:rsid w:val="00626763"/>
    <w:rsid w:val="00716CC5"/>
    <w:rsid w:val="0073493C"/>
    <w:rsid w:val="00797D57"/>
    <w:rsid w:val="007A0830"/>
    <w:rsid w:val="008566EF"/>
    <w:rsid w:val="00875E71"/>
    <w:rsid w:val="008C4878"/>
    <w:rsid w:val="008D3B87"/>
    <w:rsid w:val="009313D7"/>
    <w:rsid w:val="009554F9"/>
    <w:rsid w:val="009667A3"/>
    <w:rsid w:val="00A27E7F"/>
    <w:rsid w:val="00A332B3"/>
    <w:rsid w:val="00A8746A"/>
    <w:rsid w:val="00A93133"/>
    <w:rsid w:val="00AB0E65"/>
    <w:rsid w:val="00AE6A77"/>
    <w:rsid w:val="00B10AEB"/>
    <w:rsid w:val="00BA55D9"/>
    <w:rsid w:val="00BA5AA8"/>
    <w:rsid w:val="00C35E3A"/>
    <w:rsid w:val="00C815FC"/>
    <w:rsid w:val="00C85825"/>
    <w:rsid w:val="00CB38F6"/>
    <w:rsid w:val="00D5513C"/>
    <w:rsid w:val="00D72CA7"/>
    <w:rsid w:val="00DA3F28"/>
    <w:rsid w:val="00DD04A2"/>
    <w:rsid w:val="00DE174D"/>
    <w:rsid w:val="00DF6B7C"/>
    <w:rsid w:val="00E04721"/>
    <w:rsid w:val="00E15685"/>
    <w:rsid w:val="00E47998"/>
    <w:rsid w:val="00E5395D"/>
    <w:rsid w:val="00E77C52"/>
    <w:rsid w:val="00E803E0"/>
    <w:rsid w:val="00E9312F"/>
    <w:rsid w:val="00ED10E7"/>
    <w:rsid w:val="00F84A50"/>
    <w:rsid w:val="00FC3E90"/>
    <w:rsid w:val="00FE131F"/>
    <w:rsid w:val="00FF533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B77B9B4"/>
  <w15:docId w15:val="{3C494162-B7A8-5E45-8C3B-83E3BD14C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A60771"/>
    <w:rPr>
      <w:rFonts w:ascii="Tahoma" w:hAnsi="Tahoma" w:cs="Tahoma"/>
      <w:sz w:val="16"/>
      <w:szCs w:val="16"/>
    </w:rPr>
  </w:style>
  <w:style w:type="character" w:styleId="PlaceholderText">
    <w:name w:val="Placeholder Text"/>
    <w:basedOn w:val="DefaultParagraphFont"/>
    <w:uiPriority w:val="99"/>
    <w:semiHidden/>
    <w:qFormat/>
    <w:rsid w:val="007154CB"/>
    <w:rPr>
      <w:color w:val="808080"/>
    </w:rPr>
  </w:style>
  <w:style w:type="character" w:customStyle="1" w:styleId="EndnoteCharacters">
    <w:name w:val="Endnote Characters"/>
    <w:qFormat/>
  </w:style>
  <w:style w:type="character" w:customStyle="1" w:styleId="EndnoteAnchor">
    <w:name w:val="Endnote Anchor"/>
    <w:rPr>
      <w:vertAlign w:val="superscript"/>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InternetLink">
    <w:name w:val="Internet Link"/>
    <w:rPr>
      <w:color w:val="000080"/>
      <w:u w:val="single"/>
      <w:lang w:val="uz-Cyrl-UZ" w:eastAsia="uz-Cyrl-UZ" w:bidi="uz-Cyrl-UZ"/>
    </w:rPr>
  </w:style>
  <w:style w:type="character" w:customStyle="1" w:styleId="ListLabel4">
    <w:name w:val="ListLabel 4"/>
    <w:qFormat/>
    <w:rPr>
      <w:rFonts w:ascii="Times New Roman" w:hAnsi="Times New Roman"/>
      <w:sz w:val="24"/>
      <w:szCs w:val="24"/>
    </w:rPr>
  </w:style>
  <w:style w:type="character" w:customStyle="1" w:styleId="VisitedInternetLink">
    <w:name w:val="Visited Internet Link"/>
    <w:rPr>
      <w:color w:val="800000"/>
      <w:u w:val="single"/>
      <w:lang w:val="uz-Cyrl-UZ" w:eastAsia="uz-Cyrl-UZ" w:bidi="uz-Cyrl-UZ"/>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BalloonText">
    <w:name w:val="Balloon Text"/>
    <w:basedOn w:val="Normal"/>
    <w:link w:val="BalloonTextChar"/>
    <w:uiPriority w:val="99"/>
    <w:semiHidden/>
    <w:unhideWhenUsed/>
    <w:qFormat/>
    <w:rsid w:val="00A60771"/>
    <w:pPr>
      <w:spacing w:after="0" w:line="240" w:lineRule="auto"/>
    </w:pPr>
    <w:rPr>
      <w:rFonts w:ascii="Tahoma" w:hAnsi="Tahoma" w:cs="Tahoma"/>
      <w:sz w:val="16"/>
      <w:szCs w:val="16"/>
    </w:rPr>
  </w:style>
  <w:style w:type="paragraph" w:styleId="EndnoteText">
    <w:name w:val="endnote text"/>
    <w:basedOn w:val="Normal"/>
    <w:pPr>
      <w:suppressLineNumbers/>
      <w:ind w:left="339" w:hanging="339"/>
    </w:pPr>
    <w:rPr>
      <w:sz w:val="20"/>
      <w:szCs w:val="20"/>
    </w:rPr>
  </w:style>
  <w:style w:type="paragraph" w:styleId="FootnoteText">
    <w:name w:val="footnote text"/>
    <w:basedOn w:val="Normal"/>
    <w:pPr>
      <w:suppressLineNumbers/>
      <w:ind w:left="339" w:hanging="339"/>
    </w:pPr>
    <w:rPr>
      <w:sz w:val="20"/>
      <w:szCs w:val="20"/>
    </w:rPr>
  </w:style>
  <w:style w:type="paragraph" w:styleId="Header">
    <w:name w:val="header"/>
    <w:basedOn w:val="Normal"/>
    <w:pPr>
      <w:suppressLineNumbers/>
      <w:tabs>
        <w:tab w:val="center" w:pos="4702"/>
        <w:tab w:val="right" w:pos="9404"/>
      </w:tabs>
    </w:pPr>
  </w:style>
  <w:style w:type="table" w:styleId="TableGrid">
    <w:name w:val="Table Grid"/>
    <w:basedOn w:val="TableNormal"/>
    <w:uiPriority w:val="59"/>
    <w:rsid w:val="00F410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D7D9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116F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er">
    <w:name w:val="footer"/>
    <w:basedOn w:val="Normal"/>
    <w:link w:val="FooterChar"/>
    <w:uiPriority w:val="99"/>
    <w:unhideWhenUsed/>
    <w:rsid w:val="00AB0E65"/>
    <w:pPr>
      <w:tabs>
        <w:tab w:val="center" w:pos="4320"/>
        <w:tab w:val="right" w:pos="8640"/>
      </w:tabs>
      <w:spacing w:after="0" w:line="240" w:lineRule="auto"/>
    </w:pPr>
  </w:style>
  <w:style w:type="character" w:customStyle="1" w:styleId="FooterChar">
    <w:name w:val="Footer Char"/>
    <w:basedOn w:val="DefaultParagraphFont"/>
    <w:link w:val="Footer"/>
    <w:uiPriority w:val="99"/>
    <w:rsid w:val="00AB0E65"/>
    <w:rPr>
      <w:sz w:val="22"/>
    </w:rPr>
  </w:style>
  <w:style w:type="character" w:styleId="PageNumber">
    <w:name w:val="page number"/>
    <w:basedOn w:val="DefaultParagraphFont"/>
    <w:uiPriority w:val="99"/>
    <w:semiHidden/>
    <w:unhideWhenUsed/>
    <w:rsid w:val="00AB0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05091-5289-9146-B84C-45C9A8D0E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1281</Words>
  <Characters>7302</Characters>
  <Application>Microsoft Office Word</Application>
  <DocSecurity>0</DocSecurity>
  <Lines>60</Lines>
  <Paragraphs>17</Paragraphs>
  <ScaleCrop>false</ScaleCrop>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dc:creator>
  <dc:description/>
  <cp:lastModifiedBy>Caroline Burson</cp:lastModifiedBy>
  <cp:revision>2</cp:revision>
  <cp:lastPrinted>2018-04-22T23:45:00Z</cp:lastPrinted>
  <dcterms:created xsi:type="dcterms:W3CDTF">2018-12-12T19:28:00Z</dcterms:created>
  <dcterms:modified xsi:type="dcterms:W3CDTF">2018-12-12T19:28:00Z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