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55297" w14:textId="77777777" w:rsidR="00102C00" w:rsidRDefault="00102C00" w:rsidP="00102C00">
      <w:pPr>
        <w:pStyle w:val="Body"/>
        <w:spacing w:after="0" w:line="480" w:lineRule="auto"/>
        <w:jc w:val="both"/>
        <w:rPr>
          <w:b/>
          <w:bCs/>
        </w:rPr>
      </w:pPr>
      <w:r>
        <w:rPr>
          <w:b/>
          <w:bCs/>
        </w:rPr>
        <w:t>Supplementary material</w:t>
      </w:r>
    </w:p>
    <w:p w14:paraId="34FE442C" w14:textId="77777777" w:rsidR="00102C00" w:rsidRDefault="00102C00" w:rsidP="00102C00">
      <w:pPr>
        <w:pStyle w:val="Body"/>
        <w:spacing w:after="0" w:line="480" w:lineRule="auto"/>
        <w:jc w:val="both"/>
        <w:rPr>
          <w:b/>
          <w:bCs/>
        </w:rPr>
      </w:pPr>
      <w:proofErr w:type="spellStart"/>
      <w:r>
        <w:rPr>
          <w:b/>
          <w:bCs/>
        </w:rPr>
        <w:t>WinBUGS</w:t>
      </w:r>
      <w:proofErr w:type="spellEnd"/>
      <w:r>
        <w:rPr>
          <w:b/>
          <w:bCs/>
        </w:rPr>
        <w:t xml:space="preserve"> code for fitting the GGM to a time series </w:t>
      </w:r>
    </w:p>
    <w:p w14:paraId="198A133E" w14:textId="77777777" w:rsidR="00102C00" w:rsidRDefault="00102C00" w:rsidP="00102C00">
      <w:pPr>
        <w:pStyle w:val="Body"/>
        <w:spacing w:after="0" w:line="480" w:lineRule="auto"/>
        <w:jc w:val="both"/>
      </w:pPr>
      <w:proofErr w:type="gramStart"/>
      <w:r>
        <w:rPr>
          <w:lang w:val="it-IT"/>
        </w:rPr>
        <w:t>model{</w:t>
      </w:r>
      <w:proofErr w:type="gramEnd"/>
    </w:p>
    <w:p w14:paraId="61110165" w14:textId="77777777" w:rsidR="00102C00" w:rsidRDefault="00102C00" w:rsidP="00102C00">
      <w:pPr>
        <w:pStyle w:val="Body"/>
        <w:spacing w:after="0" w:line="480" w:lineRule="auto"/>
        <w:jc w:val="both"/>
      </w:pPr>
      <w:proofErr w:type="gramStart"/>
      <w:r>
        <w:t>solution[</w:t>
      </w:r>
      <w:proofErr w:type="gramEnd"/>
      <w:r>
        <w:t>1:ngrid, 1:ndim] &lt;- ode(</w:t>
      </w:r>
      <w:proofErr w:type="spellStart"/>
      <w:r>
        <w:t>init</w:t>
      </w:r>
      <w:proofErr w:type="spellEnd"/>
      <w:r>
        <w:t xml:space="preserve">[1:ndim], </w:t>
      </w:r>
      <w:proofErr w:type="spellStart"/>
      <w:r>
        <w:t>tgrid</w:t>
      </w:r>
      <w:proofErr w:type="spellEnd"/>
      <w:r>
        <w:t xml:space="preserve">[1:ngrid], D(C[1:ndim], t), origin, </w:t>
      </w:r>
      <w:proofErr w:type="spellStart"/>
      <w:r>
        <w:t>tol</w:t>
      </w:r>
      <w:proofErr w:type="spellEnd"/>
      <w:r>
        <w:t xml:space="preserve">) </w:t>
      </w:r>
    </w:p>
    <w:p w14:paraId="646F71A8" w14:textId="77777777" w:rsidR="00102C00" w:rsidRDefault="00102C00" w:rsidP="00102C00">
      <w:pPr>
        <w:pStyle w:val="Body"/>
        <w:spacing w:after="0" w:line="480" w:lineRule="auto"/>
        <w:jc w:val="both"/>
      </w:pPr>
      <w:r>
        <w:t xml:space="preserve">D(C[I], t) &lt;-   </w:t>
      </w:r>
      <w:proofErr w:type="spellStart"/>
      <w:r>
        <w:t>rweek</w:t>
      </w:r>
      <w:proofErr w:type="spellEnd"/>
      <w:r>
        <w:t>*pow(C[I], p)</w:t>
      </w:r>
    </w:p>
    <w:p w14:paraId="22681E70" w14:textId="77777777" w:rsidR="00102C00" w:rsidRDefault="00102C00" w:rsidP="00102C00">
      <w:pPr>
        <w:pStyle w:val="Body"/>
        <w:spacing w:after="0" w:line="480" w:lineRule="auto"/>
        <w:jc w:val="both"/>
      </w:pPr>
      <w:proofErr w:type="spellStart"/>
      <w:r>
        <w:t>init</w:t>
      </w:r>
      <w:proofErr w:type="spellEnd"/>
      <w:r>
        <w:t xml:space="preserve">[I] &lt;- </w:t>
      </w:r>
      <w:proofErr w:type="spellStart"/>
      <w:r>
        <w:t>initcase</w:t>
      </w:r>
      <w:proofErr w:type="spellEnd"/>
    </w:p>
    <w:p w14:paraId="0F647174" w14:textId="77777777" w:rsidR="00102C00" w:rsidRDefault="00102C00" w:rsidP="00102C00">
      <w:pPr>
        <w:pStyle w:val="Body"/>
        <w:spacing w:after="0" w:line="480" w:lineRule="auto"/>
        <w:jc w:val="both"/>
      </w:pPr>
      <w:proofErr w:type="gramStart"/>
      <w:r>
        <w:t>sol[</w:t>
      </w:r>
      <w:proofErr w:type="gramEnd"/>
      <w:r>
        <w:t>1] &lt;- solution[1, 1]</w:t>
      </w:r>
    </w:p>
    <w:p w14:paraId="1B611C8D" w14:textId="77777777" w:rsidR="00102C00" w:rsidRDefault="00102C00" w:rsidP="00102C00">
      <w:pPr>
        <w:pStyle w:val="Body"/>
        <w:spacing w:after="0" w:line="480" w:lineRule="auto"/>
        <w:jc w:val="both"/>
      </w:pPr>
      <w:proofErr w:type="gramStart"/>
      <w:r>
        <w:t>for(</w:t>
      </w:r>
      <w:proofErr w:type="gramEnd"/>
      <w:r>
        <w:t>k in 2:ngrid){</w:t>
      </w:r>
    </w:p>
    <w:p w14:paraId="7791038B" w14:textId="77777777" w:rsidR="00102C00" w:rsidRDefault="00102C00" w:rsidP="00102C00">
      <w:pPr>
        <w:pStyle w:val="Body"/>
        <w:spacing w:after="0" w:line="480" w:lineRule="auto"/>
        <w:jc w:val="both"/>
      </w:pPr>
      <w:r>
        <w:t xml:space="preserve">sol[k] &lt;- </w:t>
      </w:r>
      <w:proofErr w:type="gramStart"/>
      <w:r>
        <w:t>solution[</w:t>
      </w:r>
      <w:proofErr w:type="gramEnd"/>
      <w:r>
        <w:t>k, 1] - solution[(k-1), 1]</w:t>
      </w:r>
    </w:p>
    <w:p w14:paraId="1141DFCA" w14:textId="77777777" w:rsidR="00102C00" w:rsidRDefault="00102C00" w:rsidP="00102C00">
      <w:pPr>
        <w:pStyle w:val="Body"/>
        <w:spacing w:after="0" w:line="480" w:lineRule="auto"/>
        <w:jc w:val="both"/>
      </w:pPr>
      <w:r>
        <w:t>}</w:t>
      </w:r>
    </w:p>
    <w:p w14:paraId="2732F844" w14:textId="77777777" w:rsidR="00102C00" w:rsidRDefault="00102C00" w:rsidP="00102C00">
      <w:pPr>
        <w:pStyle w:val="Body"/>
        <w:spacing w:after="0" w:line="480" w:lineRule="auto"/>
        <w:jc w:val="both"/>
      </w:pPr>
      <w:r>
        <w:rPr>
          <w:lang w:val="sv-SE"/>
        </w:rPr>
        <w:t xml:space="preserve">for (i in </w:t>
      </w:r>
      <w:proofErr w:type="gramStart"/>
      <w:r>
        <w:rPr>
          <w:lang w:val="sv-SE"/>
        </w:rPr>
        <w:t>2:ngrid</w:t>
      </w:r>
      <w:proofErr w:type="gramEnd"/>
      <w:r>
        <w:rPr>
          <w:lang w:val="sv-SE"/>
        </w:rPr>
        <w:t>){</w:t>
      </w:r>
    </w:p>
    <w:p w14:paraId="696AFECD" w14:textId="77777777" w:rsidR="00102C00" w:rsidRDefault="00102C00" w:rsidP="00102C00">
      <w:pPr>
        <w:pStyle w:val="Body"/>
        <w:spacing w:after="0" w:line="480" w:lineRule="auto"/>
        <w:jc w:val="both"/>
      </w:pPr>
      <w:r>
        <w:t>cases[</w:t>
      </w:r>
      <w:proofErr w:type="spellStart"/>
      <w:r>
        <w:t>i</w:t>
      </w:r>
      <w:proofErr w:type="spellEnd"/>
      <w:r>
        <w:t xml:space="preserve">] ~ </w:t>
      </w:r>
      <w:proofErr w:type="spellStart"/>
      <w:r>
        <w:t>dnegbin</w:t>
      </w:r>
      <w:proofErr w:type="spellEnd"/>
      <w:r>
        <w:t>(mu[</w:t>
      </w:r>
      <w:proofErr w:type="spellStart"/>
      <w:r>
        <w:t>i</w:t>
      </w:r>
      <w:proofErr w:type="spellEnd"/>
      <w:r>
        <w:t>], theta)</w:t>
      </w:r>
    </w:p>
    <w:p w14:paraId="48BDDDDB" w14:textId="77777777" w:rsidR="00102C00" w:rsidRDefault="00102C00" w:rsidP="00102C00">
      <w:pPr>
        <w:pStyle w:val="Body"/>
        <w:spacing w:after="0" w:line="480" w:lineRule="auto"/>
        <w:jc w:val="both"/>
      </w:pPr>
      <w:r>
        <w:t>mu[</w:t>
      </w:r>
      <w:proofErr w:type="spellStart"/>
      <w:r>
        <w:t>i</w:t>
      </w:r>
      <w:proofErr w:type="spellEnd"/>
      <w:r>
        <w:t>] &lt;- theta/(</w:t>
      </w:r>
      <w:proofErr w:type="spellStart"/>
      <w:r>
        <w:t>theta+sol</w:t>
      </w:r>
      <w:proofErr w:type="spellEnd"/>
      <w:r>
        <w:t>[</w:t>
      </w:r>
      <w:proofErr w:type="spellStart"/>
      <w:r>
        <w:t>i</w:t>
      </w:r>
      <w:proofErr w:type="spellEnd"/>
      <w:r>
        <w:t>])</w:t>
      </w:r>
      <w:r>
        <w:tab/>
      </w:r>
    </w:p>
    <w:p w14:paraId="36F4FD2A" w14:textId="77777777" w:rsidR="00102C00" w:rsidRDefault="00102C00" w:rsidP="00102C00">
      <w:pPr>
        <w:pStyle w:val="Body"/>
        <w:spacing w:after="0" w:line="480" w:lineRule="auto"/>
        <w:jc w:val="both"/>
      </w:pPr>
      <w:r>
        <w:t>}</w:t>
      </w:r>
    </w:p>
    <w:p w14:paraId="6FA10F98" w14:textId="77777777" w:rsidR="00102C00" w:rsidRDefault="00102C00" w:rsidP="00102C00">
      <w:pPr>
        <w:pStyle w:val="Body"/>
        <w:spacing w:after="0" w:line="480" w:lineRule="auto"/>
        <w:jc w:val="both"/>
      </w:pPr>
      <w:r>
        <w:t xml:space="preserve">p   ~ </w:t>
      </w:r>
      <w:proofErr w:type="spellStart"/>
      <w:proofErr w:type="gramStart"/>
      <w:r>
        <w:t>dunif</w:t>
      </w:r>
      <w:proofErr w:type="spellEnd"/>
      <w:r>
        <w:t>(</w:t>
      </w:r>
      <w:proofErr w:type="gramEnd"/>
      <w:r>
        <w:t>0,1)</w:t>
      </w:r>
    </w:p>
    <w:p w14:paraId="10E0242C" w14:textId="77777777" w:rsidR="00102C00" w:rsidRDefault="00102C00" w:rsidP="00102C00">
      <w:pPr>
        <w:pStyle w:val="Body"/>
        <w:spacing w:after="0" w:line="480" w:lineRule="auto"/>
        <w:jc w:val="both"/>
      </w:pPr>
      <w:proofErr w:type="spellStart"/>
      <w:proofErr w:type="gramStart"/>
      <w:r>
        <w:rPr>
          <w:lang w:val="nl-NL"/>
        </w:rPr>
        <w:t>rweek</w:t>
      </w:r>
      <w:proofErr w:type="spellEnd"/>
      <w:proofErr w:type="gramEnd"/>
      <w:r>
        <w:rPr>
          <w:lang w:val="nl-NL"/>
        </w:rPr>
        <w:t xml:space="preserve">   ~ </w:t>
      </w:r>
      <w:proofErr w:type="spellStart"/>
      <w:r>
        <w:rPr>
          <w:lang w:val="nl-NL"/>
        </w:rPr>
        <w:t>dunif</w:t>
      </w:r>
      <w:proofErr w:type="spellEnd"/>
      <w:r>
        <w:rPr>
          <w:lang w:val="nl-NL"/>
        </w:rPr>
        <w:t>(0,5)</w:t>
      </w:r>
    </w:p>
    <w:p w14:paraId="01D85978" w14:textId="77777777" w:rsidR="00102C00" w:rsidRDefault="00102C00" w:rsidP="00102C00">
      <w:pPr>
        <w:pStyle w:val="Body"/>
        <w:spacing w:after="0" w:line="480" w:lineRule="auto"/>
        <w:jc w:val="both"/>
      </w:pPr>
      <w:r>
        <w:t xml:space="preserve">theta   ~ </w:t>
      </w:r>
      <w:proofErr w:type="spellStart"/>
      <w:proofErr w:type="gramStart"/>
      <w:r>
        <w:t>dgamma</w:t>
      </w:r>
      <w:proofErr w:type="spellEnd"/>
      <w:r>
        <w:t>(</w:t>
      </w:r>
      <w:proofErr w:type="gramEnd"/>
      <w:r>
        <w:t>0.001, 0.001)</w:t>
      </w:r>
    </w:p>
    <w:p w14:paraId="63ED0DE2" w14:textId="77777777" w:rsidR="00102C00" w:rsidRDefault="00102C00" w:rsidP="00102C00">
      <w:pPr>
        <w:pStyle w:val="Body"/>
        <w:spacing w:after="0" w:line="480" w:lineRule="auto"/>
        <w:jc w:val="both"/>
      </w:pPr>
      <w:r>
        <w:t xml:space="preserve">r &lt;- </w:t>
      </w:r>
      <w:proofErr w:type="spellStart"/>
      <w:r>
        <w:t>rweek</w:t>
      </w:r>
      <w:proofErr w:type="spellEnd"/>
      <w:r>
        <w:t>*(1/7)</w:t>
      </w:r>
    </w:p>
    <w:p w14:paraId="183A8746" w14:textId="77777777" w:rsidR="00102C00" w:rsidRDefault="00102C00" w:rsidP="00102C00">
      <w:pPr>
        <w:pStyle w:val="Body"/>
        <w:spacing w:after="0" w:line="480" w:lineRule="auto"/>
        <w:jc w:val="both"/>
      </w:pPr>
      <w:r>
        <w:t>}</w:t>
      </w:r>
    </w:p>
    <w:p w14:paraId="18644FB0" w14:textId="77777777" w:rsidR="00102C00" w:rsidRDefault="00102C00" w:rsidP="00102C00">
      <w:pPr>
        <w:pStyle w:val="Body"/>
        <w:spacing w:after="0" w:line="480" w:lineRule="auto"/>
        <w:jc w:val="both"/>
      </w:pPr>
    </w:p>
    <w:p w14:paraId="5B51E2CF" w14:textId="77777777" w:rsidR="00102C00" w:rsidRDefault="00102C00" w:rsidP="00102C00">
      <w:pPr>
        <w:pStyle w:val="Body"/>
        <w:spacing w:after="0" w:line="480" w:lineRule="auto"/>
        <w:jc w:val="both"/>
        <w:rPr>
          <w:b/>
          <w:bCs/>
        </w:rPr>
      </w:pPr>
      <w:proofErr w:type="spellStart"/>
      <w:r>
        <w:rPr>
          <w:b/>
          <w:bCs/>
        </w:rPr>
        <w:t>WinBUGS</w:t>
      </w:r>
      <w:proofErr w:type="spellEnd"/>
      <w:r>
        <w:rPr>
          <w:b/>
          <w:bCs/>
        </w:rPr>
        <w:t xml:space="preserve"> code for fitting negative binomial regression</w:t>
      </w:r>
    </w:p>
    <w:p w14:paraId="6F77112A" w14:textId="77777777" w:rsidR="00102C00" w:rsidRDefault="00102C00" w:rsidP="00102C00">
      <w:pPr>
        <w:pStyle w:val="Body"/>
        <w:spacing w:after="0" w:line="480" w:lineRule="auto"/>
        <w:jc w:val="both"/>
      </w:pPr>
      <w:proofErr w:type="gramStart"/>
      <w:r>
        <w:rPr>
          <w:lang w:val="it-IT"/>
        </w:rPr>
        <w:t>model{</w:t>
      </w:r>
      <w:proofErr w:type="gramEnd"/>
    </w:p>
    <w:p w14:paraId="45DA5CA9" w14:textId="77777777" w:rsidR="00102C00" w:rsidRDefault="00102C00" w:rsidP="00102C00">
      <w:pPr>
        <w:pStyle w:val="Body"/>
        <w:spacing w:after="0" w:line="480" w:lineRule="auto"/>
        <w:jc w:val="both"/>
      </w:pPr>
      <w:r>
        <w:rPr>
          <w:lang w:val="it-IT"/>
        </w:rPr>
        <w:t xml:space="preserve">for (i in </w:t>
      </w:r>
      <w:proofErr w:type="gramStart"/>
      <w:r>
        <w:rPr>
          <w:lang w:val="it-IT"/>
        </w:rPr>
        <w:t>1:N</w:t>
      </w:r>
      <w:proofErr w:type="gramEnd"/>
      <w:r>
        <w:rPr>
          <w:lang w:val="it-IT"/>
        </w:rPr>
        <w:t>){</w:t>
      </w:r>
    </w:p>
    <w:p w14:paraId="6521A884" w14:textId="77777777" w:rsidR="00102C00" w:rsidRDefault="00102C00" w:rsidP="00102C00">
      <w:pPr>
        <w:pStyle w:val="Body"/>
        <w:spacing w:after="0" w:line="480" w:lineRule="auto"/>
        <w:jc w:val="both"/>
      </w:pPr>
      <w:r>
        <w:t>sol[</w:t>
      </w:r>
      <w:proofErr w:type="spellStart"/>
      <w:r>
        <w:t>i</w:t>
      </w:r>
      <w:proofErr w:type="spellEnd"/>
      <w:r>
        <w:t xml:space="preserve">] &lt;- </w:t>
      </w:r>
      <w:proofErr w:type="spellStart"/>
      <w:r>
        <w:t>exp</w:t>
      </w:r>
      <w:proofErr w:type="spellEnd"/>
      <w:r>
        <w:t>(</w:t>
      </w:r>
      <w:proofErr w:type="gramStart"/>
      <w:r>
        <w:t>beta[</w:t>
      </w:r>
      <w:proofErr w:type="gramEnd"/>
      <w:r>
        <w:t>1] + beta[2]*p[</w:t>
      </w:r>
      <w:proofErr w:type="spellStart"/>
      <w:r>
        <w:t>i</w:t>
      </w:r>
      <w:proofErr w:type="spellEnd"/>
      <w:r>
        <w:t>])</w:t>
      </w:r>
      <w:r>
        <w:tab/>
      </w:r>
    </w:p>
    <w:p w14:paraId="574ACA16" w14:textId="77777777" w:rsidR="00102C00" w:rsidRDefault="00102C00" w:rsidP="00102C00">
      <w:pPr>
        <w:pStyle w:val="Body"/>
        <w:spacing w:after="0" w:line="480" w:lineRule="auto"/>
        <w:jc w:val="both"/>
      </w:pPr>
      <w:r>
        <w:lastRenderedPageBreak/>
        <w:t>mu[</w:t>
      </w:r>
      <w:proofErr w:type="spellStart"/>
      <w:r>
        <w:t>i</w:t>
      </w:r>
      <w:proofErr w:type="spellEnd"/>
      <w:r>
        <w:t>] &lt;- phi /(</w:t>
      </w:r>
      <w:proofErr w:type="spellStart"/>
      <w:r>
        <w:t>phi+sol</w:t>
      </w:r>
      <w:proofErr w:type="spellEnd"/>
      <w:r>
        <w:t>[</w:t>
      </w:r>
      <w:proofErr w:type="spellStart"/>
      <w:r>
        <w:t>i</w:t>
      </w:r>
      <w:proofErr w:type="spellEnd"/>
      <w:r>
        <w:t>])</w:t>
      </w:r>
    </w:p>
    <w:p w14:paraId="6B378AAD" w14:textId="77777777" w:rsidR="00102C00" w:rsidRDefault="00102C00" w:rsidP="00102C00">
      <w:pPr>
        <w:pStyle w:val="Body"/>
        <w:spacing w:after="0" w:line="480" w:lineRule="auto"/>
        <w:jc w:val="both"/>
      </w:pPr>
      <w:r>
        <w:t>y[</w:t>
      </w:r>
      <w:proofErr w:type="spellStart"/>
      <w:r>
        <w:t>i</w:t>
      </w:r>
      <w:proofErr w:type="spellEnd"/>
      <w:r>
        <w:t xml:space="preserve">] ~ </w:t>
      </w:r>
      <w:proofErr w:type="spellStart"/>
      <w:r>
        <w:t>dnegbin</w:t>
      </w:r>
      <w:proofErr w:type="spellEnd"/>
      <w:r>
        <w:t>(mu[</w:t>
      </w:r>
      <w:proofErr w:type="spellStart"/>
      <w:r>
        <w:t>i</w:t>
      </w:r>
      <w:proofErr w:type="spellEnd"/>
      <w:r>
        <w:t>], phi)</w:t>
      </w:r>
    </w:p>
    <w:p w14:paraId="4CD00323" w14:textId="77777777" w:rsidR="00102C00" w:rsidRDefault="00102C00" w:rsidP="00102C00">
      <w:pPr>
        <w:pStyle w:val="Body"/>
        <w:spacing w:after="0" w:line="480" w:lineRule="auto"/>
        <w:jc w:val="both"/>
      </w:pPr>
      <w:r>
        <w:t>}</w:t>
      </w:r>
    </w:p>
    <w:p w14:paraId="63152BF5" w14:textId="77777777" w:rsidR="00102C00" w:rsidRDefault="00102C00" w:rsidP="00102C00">
      <w:pPr>
        <w:pStyle w:val="Body"/>
        <w:spacing w:after="0" w:line="480" w:lineRule="auto"/>
        <w:jc w:val="both"/>
      </w:pPr>
      <w:r>
        <w:t xml:space="preserve">phi ~ </w:t>
      </w:r>
      <w:proofErr w:type="spellStart"/>
      <w:proofErr w:type="gramStart"/>
      <w:r>
        <w:t>dgamma</w:t>
      </w:r>
      <w:proofErr w:type="spellEnd"/>
      <w:r>
        <w:t>(</w:t>
      </w:r>
      <w:proofErr w:type="gramEnd"/>
      <w:r>
        <w:t>0.001, 0.001)</w:t>
      </w:r>
    </w:p>
    <w:p w14:paraId="3E443277" w14:textId="77777777" w:rsidR="00102C00" w:rsidRDefault="00102C00" w:rsidP="00102C00">
      <w:pPr>
        <w:pStyle w:val="Body"/>
        <w:spacing w:after="0" w:line="480" w:lineRule="auto"/>
        <w:jc w:val="both"/>
      </w:pPr>
      <w:proofErr w:type="gramStart"/>
      <w:r>
        <w:t>for(</w:t>
      </w:r>
      <w:proofErr w:type="gramEnd"/>
      <w:r>
        <w:t>k in 1:2){</w:t>
      </w:r>
    </w:p>
    <w:p w14:paraId="5950DE9D" w14:textId="77777777" w:rsidR="00102C00" w:rsidRDefault="00102C00" w:rsidP="00102C00">
      <w:pPr>
        <w:pStyle w:val="Body"/>
        <w:spacing w:after="0" w:line="480" w:lineRule="auto"/>
        <w:jc w:val="both"/>
      </w:pPr>
      <w:r>
        <w:t xml:space="preserve">beta[k] ~ </w:t>
      </w:r>
      <w:proofErr w:type="spellStart"/>
      <w:proofErr w:type="gramStart"/>
      <w:r>
        <w:t>dnorm</w:t>
      </w:r>
      <w:proofErr w:type="spellEnd"/>
      <w:r>
        <w:t>(</w:t>
      </w:r>
      <w:proofErr w:type="gramEnd"/>
      <w:r>
        <w:t>0, 0.0001)</w:t>
      </w:r>
      <w:r>
        <w:tab/>
      </w:r>
    </w:p>
    <w:p w14:paraId="0E790FA5" w14:textId="77777777" w:rsidR="00102C00" w:rsidRDefault="00102C00" w:rsidP="00102C00">
      <w:pPr>
        <w:pStyle w:val="Body"/>
        <w:spacing w:after="0" w:line="480" w:lineRule="auto"/>
        <w:jc w:val="both"/>
      </w:pPr>
      <w:r>
        <w:t>}</w:t>
      </w:r>
    </w:p>
    <w:p w14:paraId="5559E1EA" w14:textId="77777777" w:rsidR="00102C00" w:rsidRDefault="00102C00" w:rsidP="00102C00">
      <w:pPr>
        <w:pStyle w:val="Body"/>
        <w:spacing w:after="0" w:line="480" w:lineRule="auto"/>
        <w:jc w:val="both"/>
      </w:pPr>
      <w:r>
        <w:t>}</w:t>
      </w:r>
    </w:p>
    <w:p w14:paraId="743CB7F4" w14:textId="77777777" w:rsidR="00102C00" w:rsidRDefault="00102C00" w:rsidP="00102C00">
      <w:pPr>
        <w:pStyle w:val="Body"/>
        <w:spacing w:after="0" w:line="480" w:lineRule="auto"/>
        <w:jc w:val="both"/>
      </w:pPr>
    </w:p>
    <w:p w14:paraId="586A05B3" w14:textId="77777777" w:rsidR="00102C00" w:rsidRDefault="00102C00" w:rsidP="00102C00">
      <w:pPr>
        <w:spacing w:line="480" w:lineRule="auto"/>
        <w:rPr>
          <w:rFonts w:ascii="Calibri" w:eastAsia="Calibri" w:hAnsi="Calibri" w:cs="Calibri"/>
          <w:color w:val="000000"/>
          <w:sz w:val="22"/>
          <w:szCs w:val="22"/>
          <w:u w:color="000000"/>
        </w:rPr>
      </w:pPr>
      <w:r>
        <w:br w:type="page"/>
      </w:r>
    </w:p>
    <w:p w14:paraId="766979D1" w14:textId="77777777" w:rsidR="00102C00" w:rsidRDefault="00102C00" w:rsidP="00102C00">
      <w:pPr>
        <w:pStyle w:val="Body"/>
        <w:spacing w:after="0" w:line="480" w:lineRule="auto"/>
        <w:jc w:val="both"/>
        <w:rPr>
          <w:b/>
        </w:rPr>
      </w:pPr>
      <w:r w:rsidRPr="0008198D">
        <w:rPr>
          <w:b/>
        </w:rPr>
        <w:lastRenderedPageBreak/>
        <w:t xml:space="preserve">Exploring the sensitivity of results to the removal of outlying cases </w:t>
      </w:r>
    </w:p>
    <w:p w14:paraId="4773464E" w14:textId="77777777" w:rsidR="00102C00" w:rsidRPr="006116AA" w:rsidRDefault="00102C00" w:rsidP="00102C00">
      <w:pPr>
        <w:pStyle w:val="Body"/>
        <w:spacing w:after="0" w:line="480" w:lineRule="auto"/>
        <w:jc w:val="both"/>
      </w:pPr>
      <w:r>
        <w:t>Here, we present similar analyses as presented in the main document after removing four observations which are outlying in the observed epidemic sizes (the highest 4). Tables 2a and 3a correspond to Tables 2 and 3 in the main document, respectively.</w:t>
      </w:r>
    </w:p>
    <w:p w14:paraId="2C5CF016" w14:textId="77777777" w:rsidR="00102C00" w:rsidRDefault="00102C00" w:rsidP="00102C00">
      <w:pPr>
        <w:pStyle w:val="Body"/>
        <w:spacing w:after="0" w:line="480" w:lineRule="auto"/>
        <w:jc w:val="both"/>
      </w:pPr>
    </w:p>
    <w:p w14:paraId="047335FE" w14:textId="77777777" w:rsidR="00102C00" w:rsidRDefault="00102C00" w:rsidP="00102C00">
      <w:pPr>
        <w:pStyle w:val="Caption"/>
        <w:keepNext/>
        <w:spacing w:after="0" w:line="480" w:lineRule="auto"/>
        <w:ind w:left="1620" w:right="1620"/>
        <w:jc w:val="both"/>
      </w:pPr>
      <w:r>
        <w:rPr>
          <w:i w:val="0"/>
          <w:iCs w:val="0"/>
          <w:color w:val="000000"/>
          <w:u w:color="000000"/>
        </w:rPr>
        <w:t>Table 2a Spearman correlation coefficient (</w:t>
      </w:r>
      <w:r w:rsidRPr="0048402A">
        <w:rPr>
          <w:i w:val="0"/>
          <w:color w:val="000000"/>
          <w:u w:color="000000"/>
        </w:rPr>
        <w:t>ρ</w:t>
      </w:r>
      <w:r>
        <w:rPr>
          <w:i w:val="0"/>
          <w:iCs w:val="0"/>
          <w:color w:val="000000"/>
          <w:u w:color="000000"/>
        </w:rPr>
        <w:t xml:space="preserve">) between the deceleration parameter </w:t>
      </w:r>
      <w:r>
        <w:rPr>
          <w:color w:val="000000"/>
          <w:u w:color="000000"/>
        </w:rPr>
        <w:t>p</w:t>
      </w:r>
      <w:r>
        <w:rPr>
          <w:i w:val="0"/>
          <w:iCs w:val="0"/>
          <w:color w:val="000000"/>
          <w:u w:color="000000"/>
        </w:rPr>
        <w:t xml:space="preserve"> and the observed epidemic size (</w:t>
      </w:r>
      <w:r>
        <w:rPr>
          <w:color w:val="000000"/>
          <w:u w:color="000000"/>
        </w:rPr>
        <w:t>z</w:t>
      </w:r>
      <w:r>
        <w:rPr>
          <w:i w:val="0"/>
          <w:iCs w:val="0"/>
          <w:color w:val="000000"/>
          <w:u w:color="000000"/>
        </w:rPr>
        <w:t xml:space="preserve">) calculated using </w:t>
      </w:r>
      <w:r>
        <w:rPr>
          <w:color w:val="000000"/>
          <w:u w:color="000000"/>
        </w:rPr>
        <w:t>p</w:t>
      </w:r>
      <w:r>
        <w:rPr>
          <w:i w:val="0"/>
          <w:iCs w:val="0"/>
          <w:color w:val="000000"/>
          <w:u w:color="000000"/>
        </w:rPr>
        <w:t xml:space="preserve"> estimates from varying ascending phase lengths excluding outlying cases.</w:t>
      </w:r>
    </w:p>
    <w:tbl>
      <w:tblPr>
        <w:tblW w:w="48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0"/>
        <w:gridCol w:w="1615"/>
        <w:gridCol w:w="1710"/>
      </w:tblGrid>
      <w:tr w:rsidR="00102C00" w14:paraId="462088C5" w14:textId="77777777" w:rsidTr="009A0F88">
        <w:trPr>
          <w:trHeight w:val="509"/>
          <w:jc w:val="center"/>
        </w:trPr>
        <w:tc>
          <w:tcPr>
            <w:tcW w:w="1530"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2EAF503" w14:textId="77777777" w:rsidR="00102C00" w:rsidRDefault="00102C00" w:rsidP="009A0F88">
            <w:pPr>
              <w:pStyle w:val="Body"/>
              <w:spacing w:line="240" w:lineRule="auto"/>
              <w:jc w:val="center"/>
            </w:pPr>
            <w:r>
              <w:rPr>
                <w:b/>
                <w:bCs/>
              </w:rPr>
              <w:t>weeks before peak</w:t>
            </w:r>
          </w:p>
        </w:tc>
        <w:tc>
          <w:tcPr>
            <w:tcW w:w="161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AC66695" w14:textId="77777777" w:rsidR="00102C00" w:rsidRPr="0096408B" w:rsidRDefault="00102C00" w:rsidP="009A0F88">
            <w:pPr>
              <w:pStyle w:val="Body"/>
              <w:spacing w:after="0" w:line="240" w:lineRule="auto"/>
              <w:jc w:val="center"/>
            </w:pPr>
            <w:r w:rsidRPr="0048402A">
              <w:rPr>
                <w:rFonts w:ascii="Cambria Math" w:hAnsi="Cambria Math" w:cs="Cambria Math"/>
                <w:b/>
                <w:bCs/>
                <w:iCs/>
              </w:rPr>
              <w:t>𝛒</w:t>
            </w:r>
          </w:p>
        </w:tc>
        <w:tc>
          <w:tcPr>
            <w:tcW w:w="1710"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85A2A96" w14:textId="77777777" w:rsidR="00102C00" w:rsidRPr="00003429" w:rsidRDefault="00102C00" w:rsidP="009A0F88">
            <w:pPr>
              <w:pStyle w:val="Body"/>
              <w:spacing w:after="0" w:line="240" w:lineRule="auto"/>
              <w:jc w:val="center"/>
            </w:pPr>
            <w:r>
              <w:rPr>
                <w:b/>
                <w:bCs/>
                <w:iCs/>
              </w:rPr>
              <w:t xml:space="preserve">95% </w:t>
            </w:r>
            <w:r w:rsidRPr="0048402A">
              <w:rPr>
                <w:b/>
                <w:bCs/>
                <w:iCs/>
              </w:rPr>
              <w:t>confidence interval</w:t>
            </w:r>
          </w:p>
        </w:tc>
      </w:tr>
      <w:tr w:rsidR="00102C00" w14:paraId="3AD2F74E" w14:textId="77777777" w:rsidTr="009A0F88">
        <w:trPr>
          <w:trHeight w:val="255"/>
          <w:jc w:val="center"/>
        </w:trPr>
        <w:tc>
          <w:tcPr>
            <w:tcW w:w="1530" w:type="dxa"/>
            <w:tcBorders>
              <w:top w:val="single" w:sz="4" w:space="0" w:color="7F7F7F"/>
              <w:left w:val="nil"/>
              <w:bottom w:val="nil"/>
              <w:right w:val="nil"/>
            </w:tcBorders>
            <w:shd w:val="clear" w:color="auto" w:fill="auto"/>
            <w:tcMar>
              <w:top w:w="80" w:type="dxa"/>
              <w:left w:w="80" w:type="dxa"/>
              <w:bottom w:w="80" w:type="dxa"/>
              <w:right w:w="80" w:type="dxa"/>
            </w:tcMar>
          </w:tcPr>
          <w:p w14:paraId="692BC3F5" w14:textId="77777777" w:rsidR="00102C00" w:rsidRDefault="00102C00" w:rsidP="009A0F88">
            <w:pPr>
              <w:pStyle w:val="Body"/>
              <w:spacing w:after="0" w:line="240" w:lineRule="auto"/>
              <w:jc w:val="center"/>
            </w:pPr>
            <w:r>
              <w:t>0</w:t>
            </w:r>
          </w:p>
        </w:tc>
        <w:tc>
          <w:tcPr>
            <w:tcW w:w="1615" w:type="dxa"/>
            <w:tcBorders>
              <w:top w:val="single" w:sz="4" w:space="0" w:color="7F7F7F"/>
              <w:left w:val="nil"/>
              <w:bottom w:val="nil"/>
              <w:right w:val="nil"/>
            </w:tcBorders>
            <w:shd w:val="clear" w:color="auto" w:fill="auto"/>
            <w:tcMar>
              <w:top w:w="80" w:type="dxa"/>
              <w:left w:w="80" w:type="dxa"/>
              <w:bottom w:w="80" w:type="dxa"/>
              <w:right w:w="80" w:type="dxa"/>
            </w:tcMar>
          </w:tcPr>
          <w:p w14:paraId="4F097867" w14:textId="77777777" w:rsidR="00102C00" w:rsidRDefault="00102C00" w:rsidP="009A0F88">
            <w:pPr>
              <w:pStyle w:val="Body"/>
              <w:spacing w:after="0" w:line="240" w:lineRule="auto"/>
              <w:jc w:val="center"/>
            </w:pPr>
            <w:r>
              <w:t>0.762</w:t>
            </w:r>
          </w:p>
        </w:tc>
        <w:tc>
          <w:tcPr>
            <w:tcW w:w="1710" w:type="dxa"/>
            <w:tcBorders>
              <w:top w:val="single" w:sz="4" w:space="0" w:color="7F7F7F"/>
              <w:left w:val="nil"/>
              <w:bottom w:val="nil"/>
              <w:right w:val="nil"/>
            </w:tcBorders>
            <w:shd w:val="clear" w:color="auto" w:fill="auto"/>
            <w:tcMar>
              <w:top w:w="80" w:type="dxa"/>
              <w:left w:w="80" w:type="dxa"/>
              <w:bottom w:w="80" w:type="dxa"/>
              <w:right w:w="80" w:type="dxa"/>
            </w:tcMar>
          </w:tcPr>
          <w:p w14:paraId="395CDE8F" w14:textId="77777777" w:rsidR="00102C00" w:rsidRDefault="00102C00" w:rsidP="009A0F88">
            <w:pPr>
              <w:pStyle w:val="Body"/>
              <w:spacing w:after="0" w:line="240" w:lineRule="auto"/>
              <w:jc w:val="center"/>
            </w:pPr>
            <w:r>
              <w:t>(0.526, 0.886)</w:t>
            </w:r>
          </w:p>
        </w:tc>
      </w:tr>
      <w:tr w:rsidR="00102C00" w14:paraId="5C3F8E79" w14:textId="77777777" w:rsidTr="009A0F88">
        <w:trPr>
          <w:trHeight w:val="260"/>
          <w:jc w:val="center"/>
        </w:trPr>
        <w:tc>
          <w:tcPr>
            <w:tcW w:w="1530" w:type="dxa"/>
            <w:tcBorders>
              <w:top w:val="nil"/>
              <w:left w:val="nil"/>
              <w:bottom w:val="nil"/>
              <w:right w:val="nil"/>
            </w:tcBorders>
            <w:shd w:val="clear" w:color="auto" w:fill="auto"/>
            <w:tcMar>
              <w:top w:w="80" w:type="dxa"/>
              <w:left w:w="80" w:type="dxa"/>
              <w:bottom w:w="80" w:type="dxa"/>
              <w:right w:w="80" w:type="dxa"/>
            </w:tcMar>
          </w:tcPr>
          <w:p w14:paraId="4A663FA1" w14:textId="77777777" w:rsidR="00102C00" w:rsidRDefault="00102C00" w:rsidP="009A0F88">
            <w:pPr>
              <w:pStyle w:val="Body"/>
              <w:spacing w:after="0" w:line="240" w:lineRule="auto"/>
              <w:jc w:val="center"/>
            </w:pPr>
            <w:r>
              <w:t>1</w:t>
            </w:r>
          </w:p>
        </w:tc>
        <w:tc>
          <w:tcPr>
            <w:tcW w:w="1615" w:type="dxa"/>
            <w:tcBorders>
              <w:top w:val="nil"/>
              <w:left w:val="nil"/>
              <w:bottom w:val="nil"/>
              <w:right w:val="nil"/>
            </w:tcBorders>
            <w:shd w:val="clear" w:color="auto" w:fill="auto"/>
            <w:tcMar>
              <w:top w:w="80" w:type="dxa"/>
              <w:left w:w="80" w:type="dxa"/>
              <w:bottom w:w="80" w:type="dxa"/>
              <w:right w:w="80" w:type="dxa"/>
            </w:tcMar>
          </w:tcPr>
          <w:p w14:paraId="4FA3EA97" w14:textId="77777777" w:rsidR="00102C00" w:rsidRDefault="00102C00" w:rsidP="009A0F88">
            <w:pPr>
              <w:pStyle w:val="Body"/>
              <w:spacing w:after="0" w:line="240" w:lineRule="auto"/>
              <w:jc w:val="center"/>
            </w:pPr>
            <w:r>
              <w:t>0.854</w:t>
            </w:r>
          </w:p>
        </w:tc>
        <w:tc>
          <w:tcPr>
            <w:tcW w:w="1710" w:type="dxa"/>
            <w:tcBorders>
              <w:top w:val="nil"/>
              <w:left w:val="nil"/>
              <w:bottom w:val="nil"/>
              <w:right w:val="nil"/>
            </w:tcBorders>
            <w:shd w:val="clear" w:color="auto" w:fill="auto"/>
            <w:tcMar>
              <w:top w:w="80" w:type="dxa"/>
              <w:left w:w="80" w:type="dxa"/>
              <w:bottom w:w="80" w:type="dxa"/>
              <w:right w:w="80" w:type="dxa"/>
            </w:tcMar>
          </w:tcPr>
          <w:p w14:paraId="5E6B7A4C" w14:textId="77777777" w:rsidR="00102C00" w:rsidRDefault="00102C00" w:rsidP="009A0F88">
            <w:pPr>
              <w:pStyle w:val="Body"/>
              <w:spacing w:after="0" w:line="240" w:lineRule="auto"/>
              <w:jc w:val="center"/>
            </w:pPr>
            <w:r>
              <w:t>(0.588, 0.941)</w:t>
            </w:r>
          </w:p>
        </w:tc>
      </w:tr>
      <w:tr w:rsidR="00102C00" w14:paraId="1CA4C0CA" w14:textId="77777777" w:rsidTr="009A0F88">
        <w:trPr>
          <w:trHeight w:val="260"/>
          <w:jc w:val="center"/>
        </w:trPr>
        <w:tc>
          <w:tcPr>
            <w:tcW w:w="1530" w:type="dxa"/>
            <w:tcBorders>
              <w:top w:val="nil"/>
              <w:left w:val="nil"/>
              <w:bottom w:val="nil"/>
              <w:right w:val="nil"/>
            </w:tcBorders>
            <w:shd w:val="clear" w:color="auto" w:fill="auto"/>
            <w:tcMar>
              <w:top w:w="80" w:type="dxa"/>
              <w:left w:w="80" w:type="dxa"/>
              <w:bottom w:w="80" w:type="dxa"/>
              <w:right w:w="80" w:type="dxa"/>
            </w:tcMar>
          </w:tcPr>
          <w:p w14:paraId="0D49A222" w14:textId="77777777" w:rsidR="00102C00" w:rsidRDefault="00102C00" w:rsidP="009A0F88">
            <w:pPr>
              <w:pStyle w:val="Body"/>
              <w:spacing w:after="0" w:line="240" w:lineRule="auto"/>
              <w:jc w:val="center"/>
            </w:pPr>
            <w:r>
              <w:t>2</w:t>
            </w:r>
          </w:p>
        </w:tc>
        <w:tc>
          <w:tcPr>
            <w:tcW w:w="1615" w:type="dxa"/>
            <w:tcBorders>
              <w:top w:val="nil"/>
              <w:left w:val="nil"/>
              <w:bottom w:val="nil"/>
              <w:right w:val="nil"/>
            </w:tcBorders>
            <w:shd w:val="clear" w:color="auto" w:fill="auto"/>
            <w:tcMar>
              <w:top w:w="80" w:type="dxa"/>
              <w:left w:w="80" w:type="dxa"/>
              <w:bottom w:w="80" w:type="dxa"/>
              <w:right w:w="80" w:type="dxa"/>
            </w:tcMar>
          </w:tcPr>
          <w:p w14:paraId="5CDDB496" w14:textId="77777777" w:rsidR="00102C00" w:rsidRDefault="00102C00" w:rsidP="009A0F88">
            <w:pPr>
              <w:pStyle w:val="Body"/>
              <w:spacing w:after="0" w:line="240" w:lineRule="auto"/>
              <w:jc w:val="center"/>
            </w:pPr>
            <w:r>
              <w:t>0.773</w:t>
            </w:r>
          </w:p>
        </w:tc>
        <w:tc>
          <w:tcPr>
            <w:tcW w:w="1710" w:type="dxa"/>
            <w:tcBorders>
              <w:top w:val="nil"/>
              <w:left w:val="nil"/>
              <w:bottom w:val="nil"/>
              <w:right w:val="nil"/>
            </w:tcBorders>
            <w:shd w:val="clear" w:color="auto" w:fill="auto"/>
            <w:tcMar>
              <w:top w:w="80" w:type="dxa"/>
              <w:left w:w="80" w:type="dxa"/>
              <w:bottom w:w="80" w:type="dxa"/>
              <w:right w:w="80" w:type="dxa"/>
            </w:tcMar>
          </w:tcPr>
          <w:p w14:paraId="4065CE36" w14:textId="77777777" w:rsidR="00102C00" w:rsidRDefault="00102C00" w:rsidP="009A0F88">
            <w:pPr>
              <w:pStyle w:val="Body"/>
              <w:spacing w:after="0" w:line="240" w:lineRule="auto"/>
              <w:jc w:val="center"/>
            </w:pPr>
            <w:r>
              <w:t>(0.421, 0.929)</w:t>
            </w:r>
          </w:p>
        </w:tc>
      </w:tr>
      <w:tr w:rsidR="00102C00" w14:paraId="22505861" w14:textId="77777777" w:rsidTr="009A0F88">
        <w:trPr>
          <w:trHeight w:val="255"/>
          <w:jc w:val="center"/>
        </w:trPr>
        <w:tc>
          <w:tcPr>
            <w:tcW w:w="1530" w:type="dxa"/>
            <w:tcBorders>
              <w:top w:val="nil"/>
              <w:left w:val="nil"/>
              <w:bottom w:val="single" w:sz="4" w:space="0" w:color="7F7F7F"/>
              <w:right w:val="nil"/>
            </w:tcBorders>
            <w:shd w:val="clear" w:color="auto" w:fill="auto"/>
            <w:tcMar>
              <w:top w:w="80" w:type="dxa"/>
              <w:left w:w="80" w:type="dxa"/>
              <w:bottom w:w="80" w:type="dxa"/>
              <w:right w:w="80" w:type="dxa"/>
            </w:tcMar>
          </w:tcPr>
          <w:p w14:paraId="7784D0AF" w14:textId="77777777" w:rsidR="00102C00" w:rsidRDefault="00102C00" w:rsidP="009A0F88">
            <w:pPr>
              <w:pStyle w:val="Body"/>
              <w:spacing w:after="0" w:line="240" w:lineRule="auto"/>
              <w:jc w:val="center"/>
            </w:pPr>
            <w:r>
              <w:t>3</w:t>
            </w:r>
          </w:p>
        </w:tc>
        <w:tc>
          <w:tcPr>
            <w:tcW w:w="1615" w:type="dxa"/>
            <w:tcBorders>
              <w:top w:val="nil"/>
              <w:left w:val="nil"/>
              <w:bottom w:val="single" w:sz="4" w:space="0" w:color="7F7F7F"/>
              <w:right w:val="nil"/>
            </w:tcBorders>
            <w:shd w:val="clear" w:color="auto" w:fill="auto"/>
            <w:tcMar>
              <w:top w:w="80" w:type="dxa"/>
              <w:left w:w="80" w:type="dxa"/>
              <w:bottom w:w="80" w:type="dxa"/>
              <w:right w:w="80" w:type="dxa"/>
            </w:tcMar>
          </w:tcPr>
          <w:p w14:paraId="3D46B878" w14:textId="77777777" w:rsidR="00102C00" w:rsidRDefault="00102C00" w:rsidP="009A0F88">
            <w:pPr>
              <w:pStyle w:val="Body"/>
              <w:spacing w:after="0" w:line="240" w:lineRule="auto"/>
              <w:jc w:val="center"/>
            </w:pPr>
            <w:r>
              <w:t>0.624</w:t>
            </w:r>
          </w:p>
        </w:tc>
        <w:tc>
          <w:tcPr>
            <w:tcW w:w="1710" w:type="dxa"/>
            <w:tcBorders>
              <w:top w:val="nil"/>
              <w:left w:val="nil"/>
              <w:bottom w:val="single" w:sz="4" w:space="0" w:color="7F7F7F"/>
              <w:right w:val="nil"/>
            </w:tcBorders>
            <w:shd w:val="clear" w:color="auto" w:fill="auto"/>
            <w:tcMar>
              <w:top w:w="80" w:type="dxa"/>
              <w:left w:w="80" w:type="dxa"/>
              <w:bottom w:w="80" w:type="dxa"/>
              <w:right w:w="80" w:type="dxa"/>
            </w:tcMar>
          </w:tcPr>
          <w:p w14:paraId="5D1FA6D6" w14:textId="77777777" w:rsidR="00102C00" w:rsidRDefault="00102C00" w:rsidP="009A0F88">
            <w:pPr>
              <w:pStyle w:val="Body"/>
              <w:spacing w:after="0" w:line="240" w:lineRule="auto"/>
              <w:jc w:val="center"/>
            </w:pPr>
            <w:r>
              <w:t>(0.179, 0.876)</w:t>
            </w:r>
          </w:p>
        </w:tc>
      </w:tr>
    </w:tbl>
    <w:p w14:paraId="7F5B45A5" w14:textId="77777777" w:rsidR="00102C00" w:rsidRDefault="00102C00" w:rsidP="00102C00">
      <w:pPr>
        <w:pStyle w:val="Body"/>
        <w:spacing w:after="0" w:line="480" w:lineRule="auto"/>
        <w:jc w:val="both"/>
      </w:pPr>
    </w:p>
    <w:p w14:paraId="6B8BC4EC" w14:textId="77777777" w:rsidR="00102C00" w:rsidRDefault="00102C00" w:rsidP="00102C00">
      <w:pPr>
        <w:pStyle w:val="Body"/>
        <w:spacing w:after="0" w:line="480" w:lineRule="auto"/>
        <w:jc w:val="both"/>
      </w:pPr>
    </w:p>
    <w:p w14:paraId="6C0E86D8" w14:textId="77777777" w:rsidR="00102C00" w:rsidRDefault="00102C00" w:rsidP="00102C00">
      <w:pPr>
        <w:pStyle w:val="Caption"/>
        <w:keepNext/>
        <w:spacing w:after="0" w:line="480" w:lineRule="auto"/>
        <w:ind w:left="1620" w:right="1620"/>
        <w:jc w:val="both"/>
        <w:rPr>
          <w:i w:val="0"/>
          <w:iCs w:val="0"/>
          <w:color w:val="000000"/>
          <w:u w:color="000000"/>
        </w:rPr>
      </w:pPr>
      <w:r>
        <w:rPr>
          <w:i w:val="0"/>
          <w:iCs w:val="0"/>
          <w:color w:val="000000"/>
          <w:u w:color="000000"/>
        </w:rPr>
        <w:t xml:space="preserve">Table 3a Parameter estimates of the NB regression model: observed epidemic size is regressed on the deceleration parameter </w:t>
      </w:r>
      <w:r>
        <w:rPr>
          <w:color w:val="000000"/>
          <w:u w:color="000000"/>
        </w:rPr>
        <w:t>p</w:t>
      </w:r>
      <w:r>
        <w:rPr>
          <w:i w:val="0"/>
          <w:iCs w:val="0"/>
          <w:color w:val="000000"/>
          <w:u w:color="000000"/>
        </w:rPr>
        <w:t xml:space="preserve"> using data from varying ascending phase lengths excluding outlying cases.</w:t>
      </w:r>
    </w:p>
    <w:tbl>
      <w:tblPr>
        <w:tblW w:w="61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0"/>
        <w:gridCol w:w="1615"/>
        <w:gridCol w:w="2975"/>
      </w:tblGrid>
      <w:tr w:rsidR="00102C00" w14:paraId="07873B1F" w14:textId="77777777" w:rsidTr="009A0F88">
        <w:trPr>
          <w:trHeight w:val="509"/>
          <w:jc w:val="center"/>
        </w:trPr>
        <w:tc>
          <w:tcPr>
            <w:tcW w:w="1530"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04580914" w14:textId="77777777" w:rsidR="00102C00" w:rsidRDefault="00102C00" w:rsidP="009A0F88">
            <w:pPr>
              <w:pStyle w:val="Body"/>
              <w:spacing w:line="240" w:lineRule="auto"/>
              <w:jc w:val="center"/>
            </w:pPr>
            <w:r>
              <w:rPr>
                <w:b/>
                <w:bCs/>
              </w:rPr>
              <w:t>weeks before peak</w:t>
            </w:r>
          </w:p>
        </w:tc>
        <w:tc>
          <w:tcPr>
            <w:tcW w:w="161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4060FA70" w14:textId="77777777" w:rsidR="00102C00" w:rsidRDefault="00102C00" w:rsidP="009A0F88">
            <w:pPr>
              <w:pStyle w:val="Body"/>
              <w:spacing w:after="0" w:line="240" w:lineRule="auto"/>
              <w:jc w:val="center"/>
            </w:pPr>
            <w:r>
              <w:rPr>
                <w:b/>
                <w:bCs/>
              </w:rPr>
              <w:t>Effect</w:t>
            </w:r>
          </w:p>
        </w:tc>
        <w:tc>
          <w:tcPr>
            <w:tcW w:w="29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6374810A" w14:textId="77777777" w:rsidR="00102C00" w:rsidRDefault="00102C00" w:rsidP="009A0F88">
            <w:pPr>
              <w:pStyle w:val="Body"/>
              <w:spacing w:after="0" w:line="240" w:lineRule="auto"/>
              <w:jc w:val="center"/>
            </w:pPr>
            <w:r>
              <w:rPr>
                <w:b/>
                <w:bCs/>
              </w:rPr>
              <w:t>estimate (95% credible interval)</w:t>
            </w:r>
          </w:p>
        </w:tc>
      </w:tr>
      <w:tr w:rsidR="00102C00" w14:paraId="2B369F5D" w14:textId="77777777" w:rsidTr="009A0F88">
        <w:trPr>
          <w:trHeight w:val="245"/>
          <w:jc w:val="center"/>
        </w:trPr>
        <w:tc>
          <w:tcPr>
            <w:tcW w:w="1530" w:type="dxa"/>
            <w:vMerge w:val="restart"/>
            <w:tcBorders>
              <w:top w:val="single" w:sz="4" w:space="0" w:color="7F7F7F"/>
              <w:left w:val="nil"/>
              <w:bottom w:val="single" w:sz="4" w:space="0" w:color="000000"/>
              <w:right w:val="nil"/>
            </w:tcBorders>
            <w:shd w:val="clear" w:color="auto" w:fill="auto"/>
            <w:tcMar>
              <w:top w:w="80" w:type="dxa"/>
              <w:left w:w="80" w:type="dxa"/>
              <w:bottom w:w="80" w:type="dxa"/>
              <w:right w:w="80" w:type="dxa"/>
            </w:tcMar>
            <w:vAlign w:val="center"/>
          </w:tcPr>
          <w:p w14:paraId="69F3C99C" w14:textId="77777777" w:rsidR="00102C00" w:rsidRDefault="00102C00" w:rsidP="009A0F88">
            <w:pPr>
              <w:pStyle w:val="Body"/>
              <w:spacing w:after="0" w:line="240" w:lineRule="auto"/>
              <w:jc w:val="center"/>
            </w:pPr>
            <w:r>
              <w:t>0</w:t>
            </w:r>
          </w:p>
        </w:tc>
        <w:tc>
          <w:tcPr>
            <w:tcW w:w="1615" w:type="dxa"/>
            <w:tcBorders>
              <w:top w:val="single" w:sz="4" w:space="0" w:color="7F7F7F"/>
              <w:left w:val="nil"/>
              <w:bottom w:val="nil"/>
              <w:right w:val="nil"/>
            </w:tcBorders>
            <w:shd w:val="clear" w:color="auto" w:fill="auto"/>
            <w:tcMar>
              <w:top w:w="80" w:type="dxa"/>
              <w:left w:w="80" w:type="dxa"/>
              <w:bottom w:w="80" w:type="dxa"/>
              <w:right w:w="80" w:type="dxa"/>
            </w:tcMar>
            <w:vAlign w:val="center"/>
          </w:tcPr>
          <w:p w14:paraId="488A4C19" w14:textId="77777777" w:rsidR="00102C00" w:rsidRDefault="00102C00" w:rsidP="009A0F88">
            <w:pPr>
              <w:pStyle w:val="Body"/>
              <w:spacing w:after="0" w:line="240" w:lineRule="auto"/>
              <w:jc w:val="center"/>
            </w:pPr>
            <w:r w:rsidRPr="0048402A">
              <w:rPr>
                <w:iCs/>
              </w:rPr>
              <w:t>β</w:t>
            </w:r>
            <w:r>
              <w:rPr>
                <w:i/>
                <w:iCs/>
                <w:vertAlign w:val="subscript"/>
              </w:rPr>
              <w:t>1</w:t>
            </w:r>
          </w:p>
        </w:tc>
        <w:tc>
          <w:tcPr>
            <w:tcW w:w="2975" w:type="dxa"/>
            <w:tcBorders>
              <w:top w:val="single" w:sz="4" w:space="0" w:color="7F7F7F"/>
              <w:left w:val="nil"/>
              <w:bottom w:val="nil"/>
              <w:right w:val="nil"/>
            </w:tcBorders>
            <w:shd w:val="clear" w:color="auto" w:fill="auto"/>
            <w:tcMar>
              <w:top w:w="80" w:type="dxa"/>
              <w:left w:w="80" w:type="dxa"/>
              <w:bottom w:w="80" w:type="dxa"/>
              <w:right w:w="80" w:type="dxa"/>
            </w:tcMar>
            <w:vAlign w:val="center"/>
          </w:tcPr>
          <w:p w14:paraId="7C964088" w14:textId="77777777" w:rsidR="00102C00" w:rsidRDefault="00102C00" w:rsidP="009A0F88">
            <w:pPr>
              <w:pStyle w:val="Body"/>
              <w:spacing w:after="0" w:line="240" w:lineRule="auto"/>
              <w:jc w:val="center"/>
            </w:pPr>
            <w:r>
              <w:t>2.476 (1.284, 3.611)</w:t>
            </w:r>
          </w:p>
        </w:tc>
      </w:tr>
      <w:tr w:rsidR="00102C00" w14:paraId="40E71631" w14:textId="77777777" w:rsidTr="009A0F88">
        <w:trPr>
          <w:trHeight w:val="245"/>
          <w:jc w:val="center"/>
        </w:trPr>
        <w:tc>
          <w:tcPr>
            <w:tcW w:w="1530" w:type="dxa"/>
            <w:vMerge/>
            <w:tcBorders>
              <w:top w:val="single" w:sz="4" w:space="0" w:color="7F7F7F"/>
              <w:left w:val="nil"/>
              <w:bottom w:val="single" w:sz="4" w:space="0" w:color="000000"/>
              <w:right w:val="nil"/>
            </w:tcBorders>
            <w:shd w:val="clear" w:color="auto" w:fill="auto"/>
          </w:tcPr>
          <w:p w14:paraId="698C734C" w14:textId="77777777" w:rsidR="00102C00" w:rsidRDefault="00102C00" w:rsidP="009A0F88"/>
        </w:tc>
        <w:tc>
          <w:tcPr>
            <w:tcW w:w="161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C301382" w14:textId="77777777" w:rsidR="00102C00" w:rsidRDefault="00102C00" w:rsidP="009A0F88">
            <w:pPr>
              <w:pStyle w:val="Body"/>
              <w:spacing w:after="0" w:line="240" w:lineRule="auto"/>
              <w:jc w:val="center"/>
            </w:pPr>
            <w:r>
              <w:rPr>
                <w:i/>
                <w:iCs/>
              </w:rPr>
              <w:t>φ</w:t>
            </w:r>
          </w:p>
        </w:tc>
        <w:tc>
          <w:tcPr>
            <w:tcW w:w="297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B694774" w14:textId="77777777" w:rsidR="00102C00" w:rsidRDefault="00102C00" w:rsidP="009A0F88">
            <w:pPr>
              <w:pStyle w:val="Body"/>
              <w:spacing w:after="0" w:line="240" w:lineRule="auto"/>
              <w:jc w:val="center"/>
            </w:pPr>
            <w:r>
              <w:t>2.108 (1.872, 7.065)</w:t>
            </w:r>
          </w:p>
        </w:tc>
      </w:tr>
      <w:tr w:rsidR="00102C00" w14:paraId="3DC926AB" w14:textId="77777777" w:rsidTr="009A0F88">
        <w:trPr>
          <w:trHeight w:val="245"/>
          <w:jc w:val="center"/>
        </w:trPr>
        <w:tc>
          <w:tcPr>
            <w:tcW w:w="1530"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C4B22C0" w14:textId="77777777" w:rsidR="00102C00" w:rsidRDefault="00102C00" w:rsidP="009A0F88">
            <w:pPr>
              <w:pStyle w:val="Body"/>
              <w:spacing w:after="0" w:line="240" w:lineRule="auto"/>
              <w:jc w:val="center"/>
            </w:pPr>
            <w:r>
              <w:t>1</w:t>
            </w:r>
          </w:p>
        </w:tc>
        <w:tc>
          <w:tcPr>
            <w:tcW w:w="161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9810E7E" w14:textId="77777777" w:rsidR="00102C00" w:rsidRDefault="00102C00" w:rsidP="009A0F88">
            <w:pPr>
              <w:pStyle w:val="Body"/>
              <w:spacing w:after="0" w:line="240" w:lineRule="auto"/>
              <w:jc w:val="center"/>
            </w:pPr>
            <w:r w:rsidRPr="0048402A">
              <w:rPr>
                <w:iCs/>
              </w:rPr>
              <w:t>β</w:t>
            </w:r>
            <w:r>
              <w:rPr>
                <w:i/>
                <w:iCs/>
                <w:vertAlign w:val="subscript"/>
              </w:rPr>
              <w:t>1</w:t>
            </w:r>
          </w:p>
        </w:tc>
        <w:tc>
          <w:tcPr>
            <w:tcW w:w="297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715E399" w14:textId="77777777" w:rsidR="00102C00" w:rsidRDefault="00102C00" w:rsidP="009A0F88">
            <w:pPr>
              <w:pStyle w:val="Body"/>
              <w:spacing w:after="0" w:line="240" w:lineRule="auto"/>
              <w:jc w:val="center"/>
            </w:pPr>
            <w:r>
              <w:t>1.578 (1.552, 3.297)</w:t>
            </w:r>
          </w:p>
        </w:tc>
      </w:tr>
      <w:tr w:rsidR="00102C00" w14:paraId="781308E5" w14:textId="77777777" w:rsidTr="009A0F88">
        <w:trPr>
          <w:trHeight w:val="245"/>
          <w:jc w:val="center"/>
        </w:trPr>
        <w:tc>
          <w:tcPr>
            <w:tcW w:w="1530" w:type="dxa"/>
            <w:vMerge/>
            <w:tcBorders>
              <w:top w:val="single" w:sz="4" w:space="0" w:color="000000"/>
              <w:left w:val="nil"/>
              <w:bottom w:val="single" w:sz="4" w:space="0" w:color="000000"/>
              <w:right w:val="nil"/>
            </w:tcBorders>
            <w:shd w:val="clear" w:color="auto" w:fill="auto"/>
          </w:tcPr>
          <w:p w14:paraId="68DD4FE6" w14:textId="77777777" w:rsidR="00102C00" w:rsidRDefault="00102C00" w:rsidP="009A0F88"/>
        </w:tc>
        <w:tc>
          <w:tcPr>
            <w:tcW w:w="161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D4F2C55" w14:textId="77777777" w:rsidR="00102C00" w:rsidRDefault="00102C00" w:rsidP="009A0F88">
            <w:pPr>
              <w:pStyle w:val="Body"/>
              <w:spacing w:after="0" w:line="240" w:lineRule="auto"/>
              <w:jc w:val="center"/>
            </w:pPr>
            <w:r>
              <w:rPr>
                <w:i/>
                <w:iCs/>
              </w:rPr>
              <w:t xml:space="preserve">φ </w:t>
            </w:r>
          </w:p>
        </w:tc>
        <w:tc>
          <w:tcPr>
            <w:tcW w:w="297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164836F" w14:textId="77777777" w:rsidR="00102C00" w:rsidRDefault="00102C00" w:rsidP="009A0F88">
            <w:pPr>
              <w:pStyle w:val="Body"/>
              <w:spacing w:after="0" w:line="240" w:lineRule="auto"/>
              <w:jc w:val="center"/>
            </w:pPr>
            <w:r>
              <w:t>2.763 (2.418, 9.654)</w:t>
            </w:r>
          </w:p>
        </w:tc>
      </w:tr>
      <w:tr w:rsidR="00102C00" w14:paraId="21100254" w14:textId="77777777" w:rsidTr="009A0F88">
        <w:trPr>
          <w:trHeight w:val="245"/>
          <w:jc w:val="center"/>
        </w:trPr>
        <w:tc>
          <w:tcPr>
            <w:tcW w:w="1530"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D4935A7" w14:textId="77777777" w:rsidR="00102C00" w:rsidRDefault="00102C00" w:rsidP="009A0F88">
            <w:pPr>
              <w:pStyle w:val="Body"/>
              <w:spacing w:after="0" w:line="240" w:lineRule="auto"/>
              <w:jc w:val="center"/>
            </w:pPr>
            <w:r>
              <w:t>2</w:t>
            </w:r>
          </w:p>
        </w:tc>
        <w:tc>
          <w:tcPr>
            <w:tcW w:w="161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C9BEFE7" w14:textId="77777777" w:rsidR="00102C00" w:rsidRDefault="00102C00" w:rsidP="009A0F88">
            <w:pPr>
              <w:pStyle w:val="Body"/>
              <w:spacing w:after="0" w:line="240" w:lineRule="auto"/>
              <w:jc w:val="center"/>
            </w:pPr>
            <w:r w:rsidRPr="0048402A">
              <w:rPr>
                <w:iCs/>
              </w:rPr>
              <w:t>β</w:t>
            </w:r>
            <w:r>
              <w:rPr>
                <w:i/>
                <w:iCs/>
                <w:vertAlign w:val="subscript"/>
              </w:rPr>
              <w:t>1</w:t>
            </w:r>
          </w:p>
        </w:tc>
        <w:tc>
          <w:tcPr>
            <w:tcW w:w="297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4F5F84" w14:textId="77777777" w:rsidR="00102C00" w:rsidRDefault="00102C00" w:rsidP="009A0F88">
            <w:pPr>
              <w:pStyle w:val="Body"/>
              <w:spacing w:after="0" w:line="240" w:lineRule="auto"/>
              <w:jc w:val="center"/>
            </w:pPr>
            <w:r>
              <w:t>2.925 (1.227, 3.122)</w:t>
            </w:r>
          </w:p>
        </w:tc>
      </w:tr>
      <w:tr w:rsidR="00102C00" w14:paraId="3B2FE7A3" w14:textId="77777777" w:rsidTr="009A0F88">
        <w:trPr>
          <w:trHeight w:val="245"/>
          <w:jc w:val="center"/>
        </w:trPr>
        <w:tc>
          <w:tcPr>
            <w:tcW w:w="1530" w:type="dxa"/>
            <w:vMerge/>
            <w:tcBorders>
              <w:top w:val="single" w:sz="4" w:space="0" w:color="000000"/>
              <w:left w:val="nil"/>
              <w:bottom w:val="single" w:sz="4" w:space="0" w:color="000000"/>
              <w:right w:val="nil"/>
            </w:tcBorders>
            <w:shd w:val="clear" w:color="auto" w:fill="auto"/>
          </w:tcPr>
          <w:p w14:paraId="7E360CE8" w14:textId="77777777" w:rsidR="00102C00" w:rsidRDefault="00102C00" w:rsidP="009A0F88"/>
        </w:tc>
        <w:tc>
          <w:tcPr>
            <w:tcW w:w="161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A9A098D" w14:textId="77777777" w:rsidR="00102C00" w:rsidRDefault="00102C00" w:rsidP="009A0F88">
            <w:pPr>
              <w:pStyle w:val="Body"/>
              <w:spacing w:after="0" w:line="240" w:lineRule="auto"/>
              <w:jc w:val="center"/>
            </w:pPr>
            <w:r>
              <w:rPr>
                <w:i/>
                <w:iCs/>
              </w:rPr>
              <w:t xml:space="preserve">φ </w:t>
            </w:r>
          </w:p>
        </w:tc>
        <w:tc>
          <w:tcPr>
            <w:tcW w:w="297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26D6E5F" w14:textId="77777777" w:rsidR="00102C00" w:rsidRDefault="00102C00" w:rsidP="009A0F88">
            <w:pPr>
              <w:pStyle w:val="Body"/>
              <w:spacing w:after="0" w:line="240" w:lineRule="auto"/>
              <w:jc w:val="center"/>
            </w:pPr>
            <w:r>
              <w:t>2.144 (1.913, 7.359)</w:t>
            </w:r>
          </w:p>
        </w:tc>
      </w:tr>
      <w:tr w:rsidR="00102C00" w14:paraId="7E5B5BCC" w14:textId="77777777" w:rsidTr="009A0F88">
        <w:trPr>
          <w:trHeight w:val="245"/>
          <w:jc w:val="center"/>
        </w:trPr>
        <w:tc>
          <w:tcPr>
            <w:tcW w:w="1530"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7D629BD" w14:textId="77777777" w:rsidR="00102C00" w:rsidRDefault="00102C00" w:rsidP="009A0F88">
            <w:pPr>
              <w:pStyle w:val="Body"/>
              <w:spacing w:after="0" w:line="240" w:lineRule="auto"/>
              <w:jc w:val="center"/>
            </w:pPr>
            <w:r>
              <w:t>3</w:t>
            </w:r>
          </w:p>
        </w:tc>
        <w:tc>
          <w:tcPr>
            <w:tcW w:w="161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E0C1A1E" w14:textId="77777777" w:rsidR="00102C00" w:rsidRDefault="00102C00" w:rsidP="009A0F88">
            <w:pPr>
              <w:pStyle w:val="Body"/>
              <w:spacing w:after="0" w:line="240" w:lineRule="auto"/>
              <w:jc w:val="center"/>
            </w:pPr>
            <w:r w:rsidRPr="0048402A">
              <w:rPr>
                <w:iCs/>
              </w:rPr>
              <w:t>β</w:t>
            </w:r>
            <w:r>
              <w:rPr>
                <w:i/>
                <w:iCs/>
                <w:vertAlign w:val="subscript"/>
              </w:rPr>
              <w:t>1</w:t>
            </w:r>
          </w:p>
        </w:tc>
        <w:tc>
          <w:tcPr>
            <w:tcW w:w="297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152BE4D" w14:textId="77777777" w:rsidR="00102C00" w:rsidRDefault="00102C00" w:rsidP="009A0F88">
            <w:pPr>
              <w:pStyle w:val="Body"/>
              <w:spacing w:after="0" w:line="240" w:lineRule="auto"/>
              <w:jc w:val="center"/>
            </w:pPr>
            <w:r>
              <w:t>1.990 (0.848, 3.030)</w:t>
            </w:r>
          </w:p>
        </w:tc>
      </w:tr>
      <w:tr w:rsidR="00102C00" w14:paraId="4951798C" w14:textId="77777777" w:rsidTr="009A0F88">
        <w:trPr>
          <w:trHeight w:val="245"/>
          <w:jc w:val="center"/>
        </w:trPr>
        <w:tc>
          <w:tcPr>
            <w:tcW w:w="1530" w:type="dxa"/>
            <w:vMerge/>
            <w:tcBorders>
              <w:top w:val="single" w:sz="4" w:space="0" w:color="000000"/>
              <w:left w:val="nil"/>
              <w:bottom w:val="single" w:sz="4" w:space="0" w:color="000000"/>
              <w:right w:val="nil"/>
            </w:tcBorders>
            <w:shd w:val="clear" w:color="auto" w:fill="auto"/>
          </w:tcPr>
          <w:p w14:paraId="11DD9A6C" w14:textId="77777777" w:rsidR="00102C00" w:rsidRDefault="00102C00" w:rsidP="009A0F88"/>
        </w:tc>
        <w:tc>
          <w:tcPr>
            <w:tcW w:w="161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D79D7B4" w14:textId="77777777" w:rsidR="00102C00" w:rsidRDefault="00102C00" w:rsidP="009A0F88">
            <w:pPr>
              <w:pStyle w:val="Body"/>
              <w:spacing w:after="0" w:line="240" w:lineRule="auto"/>
              <w:jc w:val="center"/>
            </w:pPr>
            <w:r>
              <w:rPr>
                <w:i/>
                <w:iCs/>
              </w:rPr>
              <w:t xml:space="preserve">φ </w:t>
            </w:r>
          </w:p>
        </w:tc>
        <w:tc>
          <w:tcPr>
            <w:tcW w:w="297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655169E" w14:textId="77777777" w:rsidR="00102C00" w:rsidRDefault="00102C00" w:rsidP="009A0F88">
            <w:pPr>
              <w:pStyle w:val="Body"/>
              <w:spacing w:after="0" w:line="240" w:lineRule="auto"/>
              <w:jc w:val="center"/>
            </w:pPr>
            <w:r>
              <w:t>3.681 (1.637, 6.211)</w:t>
            </w:r>
          </w:p>
        </w:tc>
      </w:tr>
    </w:tbl>
    <w:p w14:paraId="55B0DB01" w14:textId="77777777" w:rsidR="00102C00" w:rsidRDefault="00102C00" w:rsidP="00102C00">
      <w:pPr>
        <w:pStyle w:val="Body"/>
        <w:spacing w:after="0" w:line="480" w:lineRule="auto"/>
        <w:jc w:val="both"/>
      </w:pPr>
    </w:p>
    <w:p w14:paraId="7CCEABD2" w14:textId="77777777" w:rsidR="00102C00" w:rsidRDefault="00102C00" w:rsidP="00102C00">
      <w:pPr>
        <w:pStyle w:val="Body"/>
        <w:spacing w:after="0" w:line="480" w:lineRule="auto"/>
        <w:jc w:val="both"/>
      </w:pPr>
    </w:p>
    <w:p w14:paraId="1FA29E2A" w14:textId="77777777" w:rsidR="00102C00" w:rsidRDefault="00102C00" w:rsidP="00102C00">
      <w:pPr>
        <w:pStyle w:val="Body"/>
        <w:keepNext/>
        <w:spacing w:after="0" w:line="480" w:lineRule="auto"/>
        <w:jc w:val="center"/>
      </w:pPr>
      <w:r>
        <w:rPr>
          <w:noProof/>
        </w:rPr>
        <w:drawing>
          <wp:inline distT="0" distB="0" distL="0" distR="0" wp14:anchorId="4477014C" wp14:editId="24799AE6">
            <wp:extent cx="3854992" cy="3562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8-08-28 at 14.54.5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81648" cy="3587622"/>
                    </a:xfrm>
                    <a:prstGeom prst="rect">
                      <a:avLst/>
                    </a:prstGeom>
                  </pic:spPr>
                </pic:pic>
              </a:graphicData>
            </a:graphic>
          </wp:inline>
        </w:drawing>
      </w:r>
    </w:p>
    <w:p w14:paraId="3C9A62F0" w14:textId="77777777" w:rsidR="00102C00" w:rsidRDefault="00102C00" w:rsidP="00102C00">
      <w:pPr>
        <w:pStyle w:val="Body"/>
        <w:keepNext/>
        <w:spacing w:after="0" w:line="480" w:lineRule="auto"/>
        <w:jc w:val="center"/>
      </w:pPr>
    </w:p>
    <w:p w14:paraId="09D25513" w14:textId="77777777" w:rsidR="00102C00" w:rsidRDefault="00102C00" w:rsidP="00102C00">
      <w:pPr>
        <w:pStyle w:val="Body"/>
        <w:keepNext/>
        <w:spacing w:after="0" w:line="480" w:lineRule="auto"/>
        <w:jc w:val="center"/>
      </w:pPr>
    </w:p>
    <w:p w14:paraId="6516831B" w14:textId="77777777" w:rsidR="00102C00" w:rsidRDefault="00102C00" w:rsidP="00102C00">
      <w:pPr>
        <w:pStyle w:val="Caption"/>
        <w:spacing w:line="480" w:lineRule="auto"/>
        <w:ind w:left="1800" w:right="1710"/>
        <w:jc w:val="both"/>
        <w:rPr>
          <w:i w:val="0"/>
          <w:iCs w:val="0"/>
          <w:color w:val="000000"/>
          <w:u w:color="000000"/>
        </w:rPr>
      </w:pPr>
      <w:r>
        <w:rPr>
          <w:i w:val="0"/>
          <w:iCs w:val="0"/>
          <w:color w:val="000000"/>
          <w:u w:color="000000"/>
        </w:rPr>
        <w:t xml:space="preserve">Figure 1a </w:t>
      </w:r>
      <w:proofErr w:type="gramStart"/>
      <w:r>
        <w:rPr>
          <w:i w:val="0"/>
          <w:iCs w:val="0"/>
          <w:color w:val="000000"/>
          <w:u w:color="000000"/>
        </w:rPr>
        <w:t>The</w:t>
      </w:r>
      <w:proofErr w:type="gramEnd"/>
      <w:r>
        <w:rPr>
          <w:i w:val="0"/>
          <w:iCs w:val="0"/>
          <w:color w:val="000000"/>
          <w:u w:color="000000"/>
        </w:rPr>
        <w:t xml:space="preserve"> relationship between epidemic size and the scaling of epidemic growth parameter </w:t>
      </w:r>
      <w:r>
        <w:rPr>
          <w:color w:val="000000"/>
          <w:u w:color="000000"/>
        </w:rPr>
        <w:t xml:space="preserve">p </w:t>
      </w:r>
      <w:r>
        <w:rPr>
          <w:i w:val="0"/>
          <w:iCs w:val="0"/>
          <w:color w:val="000000"/>
          <w:u w:color="000000"/>
        </w:rPr>
        <w:t>across 24 administrative-level Ebola outbreaks comprising at least 7 weeks of epidemic growth (excluding outliers)</w:t>
      </w:r>
      <w:r>
        <w:rPr>
          <w:color w:val="000000"/>
          <w:u w:color="000000"/>
        </w:rPr>
        <w:t>.</w:t>
      </w:r>
      <w:r>
        <w:rPr>
          <w:i w:val="0"/>
          <w:iCs w:val="0"/>
          <w:color w:val="000000"/>
          <w:u w:color="000000"/>
        </w:rPr>
        <w:t xml:space="preserve"> Here we display estimates of p derived using data of the ascending growth phase (from epidemic onset to peak). The relationship between epidemic size and scaling of epidemic growth parameter is consistent for two past Ebola outbreaks that occurred in Congo in 1976), which affected the village of Yambuku and in Uganda (2000), which mostly affected the district of </w:t>
      </w:r>
      <w:proofErr w:type="spellStart"/>
      <w:r>
        <w:rPr>
          <w:i w:val="0"/>
          <w:iCs w:val="0"/>
          <w:color w:val="000000"/>
          <w:u w:color="000000"/>
        </w:rPr>
        <w:t>Gulu</w:t>
      </w:r>
      <w:proofErr w:type="spellEnd"/>
      <w:r>
        <w:rPr>
          <w:i w:val="0"/>
          <w:iCs w:val="0"/>
          <w:color w:val="000000"/>
          <w:u w:color="000000"/>
        </w:rPr>
        <w:t>.</w:t>
      </w:r>
    </w:p>
    <w:p w14:paraId="2BB08E68" w14:textId="77777777" w:rsidR="00102C00" w:rsidRDefault="00102C00" w:rsidP="00102C00">
      <w:pPr>
        <w:pStyle w:val="Body"/>
        <w:spacing w:line="480" w:lineRule="auto"/>
      </w:pPr>
    </w:p>
    <w:p w14:paraId="2F53FF54" w14:textId="77777777" w:rsidR="00102C00" w:rsidRPr="0046654E" w:rsidRDefault="00102C00" w:rsidP="00102C00">
      <w:pPr>
        <w:pStyle w:val="Body"/>
        <w:spacing w:line="480" w:lineRule="auto"/>
      </w:pPr>
      <w:r>
        <w:lastRenderedPageBreak/>
        <w:t>For the two past Ebola outbreaks in Congo (1976) and Uganda (2000), our model predicts the expected epidemic sizes to be approximately equal to 356 and 497, against observed values equal to 256 and 418, respectively.</w:t>
      </w:r>
    </w:p>
    <w:p w14:paraId="31C2999D" w14:textId="77777777" w:rsidR="00F266A1" w:rsidRDefault="00102C00">
      <w:bookmarkStart w:id="0" w:name="_GoBack"/>
      <w:bookmarkEnd w:id="0"/>
    </w:p>
    <w:sectPr w:rsidR="00F266A1" w:rsidSect="00666438">
      <w:pgSz w:w="12240" w:h="15840"/>
      <w:pgMar w:top="1440" w:right="1440" w:bottom="1440" w:left="1440" w:header="720" w:footer="720" w:gutter="0"/>
      <w:lnNumType w:countBy="1" w:restart="continuou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00"/>
    <w:rsid w:val="00102C00"/>
    <w:rsid w:val="00274CD3"/>
    <w:rsid w:val="00D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09DE"/>
  <w15:chartTrackingRefBased/>
  <w15:docId w15:val="{C854EC2E-CD1B-C34D-8F67-7CAD4E72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C00"/>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02C0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Caption">
    <w:name w:val="caption"/>
    <w:next w:val="Body"/>
    <w:qFormat/>
    <w:rsid w:val="00102C00"/>
    <w:pPr>
      <w:pBdr>
        <w:top w:val="nil"/>
        <w:left w:val="nil"/>
        <w:bottom w:val="nil"/>
        <w:right w:val="nil"/>
        <w:between w:val="nil"/>
        <w:bar w:val="nil"/>
      </w:pBdr>
      <w:spacing w:after="200"/>
    </w:pPr>
    <w:rPr>
      <w:rFonts w:ascii="Calibri" w:eastAsia="Calibri" w:hAnsi="Calibri" w:cs="Calibri"/>
      <w:i/>
      <w:iCs/>
      <w:color w:val="44546A"/>
      <w:sz w:val="18"/>
      <w:szCs w:val="18"/>
      <w:u w:color="44546A"/>
      <w:bdr w:val="nil"/>
    </w:rPr>
  </w:style>
  <w:style w:type="character" w:styleId="LineNumber">
    <w:name w:val="line number"/>
    <w:basedOn w:val="DefaultParagraphFont"/>
    <w:uiPriority w:val="99"/>
    <w:semiHidden/>
    <w:unhideWhenUsed/>
    <w:rsid w:val="0010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Tapiwa Ganyani</dc:creator>
  <cp:keywords/>
  <dc:description/>
  <cp:lastModifiedBy>Tapiwa Ganyani</cp:lastModifiedBy>
  <cp:revision>1</cp:revision>
  <dcterms:created xsi:type="dcterms:W3CDTF">2018-09-19T08:45:00Z</dcterms:created>
  <dcterms:modified xsi:type="dcterms:W3CDTF">2018-09-19T08:46:00Z</dcterms:modified>
</cp:coreProperties>
</file>