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AF" w:rsidRPr="006D35AF" w:rsidRDefault="006D35AF" w:rsidP="006D35AF">
      <w:pPr>
        <w:spacing w:after="0" w:line="48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</w:pPr>
      <w:r w:rsidRPr="006D35AF">
        <w:rPr>
          <w:rFonts w:ascii="Arial" w:eastAsia="Times New Roman" w:hAnsi="Arial" w:cs="Arial"/>
          <w:b/>
          <w:i/>
          <w:iCs/>
          <w:color w:val="000000" w:themeColor="text1"/>
          <w:sz w:val="32"/>
          <w:szCs w:val="24"/>
          <w:bdr w:val="none" w:sz="0" w:space="0" w:color="auto" w:frame="1"/>
          <w:lang w:val="en-US"/>
        </w:rPr>
        <w:t>Epidemiology and Infection</w:t>
      </w:r>
    </w:p>
    <w:p w:rsidR="006D35AF" w:rsidRPr="006D35AF" w:rsidRDefault="006D35AF" w:rsidP="006D35AF">
      <w:pPr>
        <w:pStyle w:val="NoSpacing"/>
        <w:spacing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6D35A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Trends in proportion of older HIV-infected people in care in Latin America and the Caribbean:  A growing challenge</w:t>
      </w:r>
    </w:p>
    <w:p w:rsidR="006D35AF" w:rsidRPr="006D35AF" w:rsidRDefault="006D35AF" w:rsidP="006D35AF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Y Caro-Vega, PF </w:t>
      </w:r>
      <w:proofErr w:type="spellStart"/>
      <w:r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>Belaunzarán</w:t>
      </w:r>
      <w:proofErr w:type="spellEnd"/>
      <w:r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-Zamudio, B Crabtree-Ramírez, BE Shepherd, F Mejia, MJ </w:t>
      </w:r>
      <w:proofErr w:type="spellStart"/>
      <w:r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>Giganti</w:t>
      </w:r>
      <w:proofErr w:type="spellEnd"/>
      <w:r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EB5EBF"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JL </w:t>
      </w:r>
      <w:proofErr w:type="spellStart"/>
      <w:r w:rsidR="00EB5EBF"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>Castilho</w:t>
      </w:r>
      <w:r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proofErr w:type="spellEnd"/>
      <w:r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Patterson, B </w:t>
      </w:r>
      <w:proofErr w:type="spellStart"/>
      <w:r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>Grinsztejn</w:t>
      </w:r>
      <w:proofErr w:type="spellEnd"/>
      <w:r w:rsidRPr="006D35AF">
        <w:rPr>
          <w:rFonts w:ascii="Arial" w:hAnsi="Arial" w:cs="Arial"/>
          <w:color w:val="000000" w:themeColor="text1"/>
          <w:sz w:val="24"/>
          <w:szCs w:val="24"/>
          <w:lang w:val="en-US"/>
        </w:rPr>
        <w:t>, M Wolff, JW Pape, D Padgett, C McGowan, JG Sierra-Madero</w:t>
      </w:r>
    </w:p>
    <w:p w:rsidR="006D35AF" w:rsidRPr="006D35AF" w:rsidRDefault="006D35AF" w:rsidP="006D35AF">
      <w:pPr>
        <w:spacing w:line="36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  <w:lang w:val="en-US"/>
        </w:rPr>
      </w:pPr>
    </w:p>
    <w:p w:rsidR="006D35AF" w:rsidRPr="002A5F56" w:rsidRDefault="006D35AF" w:rsidP="002A5F56">
      <w:pPr>
        <w:spacing w:after="0" w:line="48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2A5F56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Supplementary Material</w:t>
      </w:r>
    </w:p>
    <w:p w:rsidR="006D35AF" w:rsidRPr="002A5F56" w:rsidRDefault="002A5F56" w:rsidP="002A5F56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2A5F56">
        <w:rPr>
          <w:rFonts w:ascii="Arial" w:hAnsi="Arial" w:cs="Arial"/>
          <w:sz w:val="24"/>
          <w:szCs w:val="24"/>
          <w:lang w:val="en-US"/>
        </w:rPr>
        <w:t xml:space="preserve">In this section we present the results of the logistic regression models used to estimate the annual proportion of patients that were 50 years or older in 7 </w:t>
      </w:r>
      <w:proofErr w:type="spellStart"/>
      <w:r w:rsidRPr="002A5F56">
        <w:rPr>
          <w:rFonts w:ascii="Arial" w:hAnsi="Arial" w:cs="Arial"/>
          <w:sz w:val="24"/>
          <w:szCs w:val="24"/>
          <w:lang w:val="en-US"/>
        </w:rPr>
        <w:t>CCASAnet</w:t>
      </w:r>
      <w:proofErr w:type="spellEnd"/>
      <w:r w:rsidRPr="002A5F56">
        <w:rPr>
          <w:rFonts w:ascii="Arial" w:hAnsi="Arial" w:cs="Arial"/>
          <w:sz w:val="24"/>
          <w:szCs w:val="24"/>
          <w:lang w:val="en-US"/>
        </w:rPr>
        <w:t xml:space="preserve"> centers and for the</w:t>
      </w:r>
      <w:r w:rsidR="0074643A">
        <w:rPr>
          <w:rFonts w:ascii="Arial" w:hAnsi="Arial" w:cs="Arial"/>
          <w:sz w:val="24"/>
          <w:szCs w:val="24"/>
          <w:lang w:val="en-US"/>
        </w:rPr>
        <w:t xml:space="preserve"> whole cohort. This information</w:t>
      </w:r>
      <w:r w:rsidRPr="002A5F56">
        <w:rPr>
          <w:rFonts w:ascii="Arial" w:hAnsi="Arial" w:cs="Arial"/>
          <w:sz w:val="24"/>
          <w:szCs w:val="24"/>
          <w:lang w:val="en-US"/>
        </w:rPr>
        <w:t xml:space="preserve"> is supplementary to Figure 1B.  </w:t>
      </w:r>
    </w:p>
    <w:p w:rsidR="002A5F56" w:rsidRPr="002A5F56" w:rsidRDefault="002A5F56" w:rsidP="002A5F56">
      <w:pPr>
        <w:spacing w:after="0" w:line="480" w:lineRule="auto"/>
        <w:rPr>
          <w:b/>
          <w:sz w:val="24"/>
          <w:szCs w:val="24"/>
          <w:lang w:val="en-US"/>
        </w:rPr>
      </w:pPr>
    </w:p>
    <w:p w:rsidR="002A5F56" w:rsidRPr="002A5F56" w:rsidRDefault="002A5F56" w:rsidP="002A5F56">
      <w:pPr>
        <w:spacing w:after="0" w:line="480" w:lineRule="auto"/>
        <w:rPr>
          <w:b/>
          <w:sz w:val="24"/>
          <w:szCs w:val="24"/>
          <w:lang w:val="en-US"/>
        </w:rPr>
      </w:pPr>
      <w:r w:rsidRPr="002A5F56">
        <w:rPr>
          <w:rFonts w:ascii="Arial" w:hAnsi="Arial" w:cs="Arial"/>
          <w:sz w:val="24"/>
          <w:szCs w:val="24"/>
          <w:lang w:val="en-US"/>
        </w:rPr>
        <w:t xml:space="preserve">Briefly, we fit separate logistic regression models to assess trends in the proportion of older HIV patients over time for each center and overall; calendar year was included in the model using </w:t>
      </w:r>
      <w:r w:rsidR="00EB5EBF">
        <w:rPr>
          <w:rFonts w:ascii="Arial" w:hAnsi="Arial" w:cs="Arial"/>
          <w:sz w:val="24"/>
          <w:szCs w:val="24"/>
          <w:lang w:val="en-US"/>
        </w:rPr>
        <w:t>linear</w:t>
      </w:r>
      <w:r w:rsidRPr="002A5F56">
        <w:rPr>
          <w:rFonts w:ascii="Arial" w:hAnsi="Arial" w:cs="Arial"/>
          <w:sz w:val="24"/>
          <w:szCs w:val="24"/>
          <w:lang w:val="en-US"/>
        </w:rPr>
        <w:t xml:space="preserve"> splines with three knots</w:t>
      </w:r>
      <w:r w:rsidR="00B71172">
        <w:rPr>
          <w:rFonts w:ascii="Arial" w:hAnsi="Arial" w:cs="Arial"/>
          <w:sz w:val="24"/>
          <w:szCs w:val="24"/>
          <w:lang w:val="en-US"/>
        </w:rPr>
        <w:t xml:space="preserve"> (2004, 2008 and 2011)</w:t>
      </w:r>
      <w:r w:rsidRPr="002A5F56">
        <w:rPr>
          <w:rFonts w:ascii="Arial" w:hAnsi="Arial" w:cs="Arial"/>
          <w:sz w:val="24"/>
          <w:szCs w:val="24"/>
          <w:lang w:val="en-US"/>
        </w:rPr>
        <w:t>.</w:t>
      </w:r>
      <w:r w:rsidR="0074643A">
        <w:rPr>
          <w:rFonts w:ascii="Arial" w:hAnsi="Arial" w:cs="Arial"/>
          <w:sz w:val="24"/>
          <w:szCs w:val="24"/>
          <w:lang w:val="en-US"/>
        </w:rPr>
        <w:t xml:space="preserve"> We estimated the annual proportion of older </w:t>
      </w:r>
      <w:r w:rsidR="00EB5EBF">
        <w:rPr>
          <w:rFonts w:ascii="Arial" w:hAnsi="Arial" w:cs="Arial"/>
          <w:sz w:val="24"/>
          <w:szCs w:val="24"/>
          <w:lang w:val="en-US"/>
        </w:rPr>
        <w:t xml:space="preserve">patients </w:t>
      </w:r>
      <w:r w:rsidR="0074643A">
        <w:rPr>
          <w:rFonts w:ascii="Arial" w:hAnsi="Arial" w:cs="Arial"/>
          <w:sz w:val="24"/>
          <w:szCs w:val="24"/>
          <w:lang w:val="en-US"/>
        </w:rPr>
        <w:t xml:space="preserve">using the predicted probabilities of each model. The probability of being older than 50 years increased </w:t>
      </w:r>
      <w:r w:rsidR="00EB5EBF">
        <w:rPr>
          <w:rFonts w:ascii="Arial" w:hAnsi="Arial" w:cs="Arial"/>
          <w:sz w:val="24"/>
          <w:szCs w:val="24"/>
          <w:lang w:val="en-US"/>
        </w:rPr>
        <w:t xml:space="preserve">significantly in all centers, though </w:t>
      </w:r>
      <w:r w:rsidR="0074643A">
        <w:rPr>
          <w:rFonts w:ascii="Arial" w:hAnsi="Arial" w:cs="Arial"/>
          <w:sz w:val="24"/>
          <w:szCs w:val="24"/>
          <w:lang w:val="en-US"/>
        </w:rPr>
        <w:t xml:space="preserve">at different rates in each.  </w:t>
      </w:r>
    </w:p>
    <w:p w:rsidR="006D35AF" w:rsidRDefault="006D35AF" w:rsidP="00350FC8">
      <w:pPr>
        <w:spacing w:after="0" w:line="240" w:lineRule="auto"/>
        <w:rPr>
          <w:b/>
          <w:lang w:val="en-US"/>
        </w:rPr>
      </w:pPr>
    </w:p>
    <w:p w:rsidR="006D35AF" w:rsidRDefault="006D35AF" w:rsidP="00350FC8">
      <w:pPr>
        <w:spacing w:after="0" w:line="240" w:lineRule="auto"/>
        <w:rPr>
          <w:b/>
          <w:lang w:val="en-US"/>
        </w:rPr>
      </w:pPr>
    </w:p>
    <w:p w:rsidR="00C632F8" w:rsidRDefault="00C632F8" w:rsidP="00350FC8">
      <w:pPr>
        <w:spacing w:after="0" w:line="240" w:lineRule="auto"/>
        <w:rPr>
          <w:b/>
          <w:lang w:val="en-US"/>
        </w:rPr>
      </w:pPr>
    </w:p>
    <w:p w:rsidR="00C632F8" w:rsidRDefault="00C632F8" w:rsidP="00350FC8">
      <w:pPr>
        <w:spacing w:after="0" w:line="240" w:lineRule="auto"/>
        <w:rPr>
          <w:b/>
          <w:lang w:val="en-US"/>
        </w:rPr>
      </w:pPr>
    </w:p>
    <w:p w:rsidR="00C632F8" w:rsidRDefault="00C632F8" w:rsidP="00350FC8">
      <w:pPr>
        <w:spacing w:after="0" w:line="240" w:lineRule="auto"/>
        <w:rPr>
          <w:b/>
          <w:lang w:val="en-US"/>
        </w:rPr>
      </w:pPr>
    </w:p>
    <w:p w:rsidR="00C632F8" w:rsidRDefault="00C632F8" w:rsidP="00350FC8">
      <w:pPr>
        <w:spacing w:after="0" w:line="240" w:lineRule="auto"/>
        <w:rPr>
          <w:b/>
          <w:lang w:val="en-US"/>
        </w:rPr>
      </w:pPr>
    </w:p>
    <w:p w:rsidR="00C632F8" w:rsidRDefault="00C632F8" w:rsidP="00350FC8">
      <w:pPr>
        <w:spacing w:after="0" w:line="240" w:lineRule="auto"/>
        <w:rPr>
          <w:b/>
          <w:lang w:val="en-US"/>
        </w:rPr>
      </w:pPr>
    </w:p>
    <w:p w:rsidR="00C632F8" w:rsidRDefault="00C632F8" w:rsidP="00350FC8">
      <w:pPr>
        <w:spacing w:after="0" w:line="240" w:lineRule="auto"/>
        <w:rPr>
          <w:b/>
          <w:lang w:val="en-US"/>
        </w:rPr>
      </w:pPr>
    </w:p>
    <w:p w:rsidR="00C632F8" w:rsidRDefault="00C632F8" w:rsidP="00350FC8">
      <w:pPr>
        <w:spacing w:after="0" w:line="240" w:lineRule="auto"/>
        <w:rPr>
          <w:b/>
          <w:lang w:val="en-US"/>
        </w:rPr>
      </w:pPr>
    </w:p>
    <w:p w:rsidR="00C632F8" w:rsidRDefault="00C632F8" w:rsidP="00350FC8">
      <w:pPr>
        <w:spacing w:after="0" w:line="240" w:lineRule="auto"/>
        <w:rPr>
          <w:b/>
          <w:lang w:val="en-US"/>
        </w:rPr>
      </w:pPr>
    </w:p>
    <w:p w:rsidR="00350FC8" w:rsidRPr="006D35AF" w:rsidRDefault="006D35AF" w:rsidP="00B7117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D35AF">
        <w:rPr>
          <w:rFonts w:ascii="Arial" w:hAnsi="Arial" w:cs="Arial"/>
          <w:b/>
          <w:sz w:val="24"/>
          <w:szCs w:val="24"/>
          <w:lang w:val="en-US"/>
        </w:rPr>
        <w:lastRenderedPageBreak/>
        <w:t>Table S1</w:t>
      </w:r>
      <w:r w:rsidR="00350FC8" w:rsidRPr="006D35AF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350FC8" w:rsidRPr="006D35AF">
        <w:rPr>
          <w:rFonts w:ascii="Arial" w:hAnsi="Arial" w:cs="Arial"/>
          <w:sz w:val="24"/>
          <w:szCs w:val="24"/>
          <w:lang w:val="en-US"/>
        </w:rPr>
        <w:t xml:space="preserve">Odds ratios for being older than 50 by calendar year in each </w:t>
      </w:r>
      <w:proofErr w:type="spellStart"/>
      <w:r w:rsidR="00350FC8" w:rsidRPr="006D35AF">
        <w:rPr>
          <w:rFonts w:ascii="Arial" w:hAnsi="Arial" w:cs="Arial"/>
          <w:sz w:val="24"/>
          <w:szCs w:val="24"/>
          <w:lang w:val="en-US"/>
        </w:rPr>
        <w:t>CCASAnet</w:t>
      </w:r>
      <w:proofErr w:type="spellEnd"/>
      <w:r w:rsidR="00350FC8" w:rsidRPr="006D35AF">
        <w:rPr>
          <w:rFonts w:ascii="Arial" w:hAnsi="Arial" w:cs="Arial"/>
          <w:sz w:val="24"/>
          <w:szCs w:val="24"/>
          <w:lang w:val="en-US"/>
        </w:rPr>
        <w:t xml:space="preserve"> site</w:t>
      </w:r>
      <w:r w:rsidR="00B71172">
        <w:rPr>
          <w:rFonts w:ascii="Arial" w:hAnsi="Arial" w:cs="Arial"/>
          <w:sz w:val="24"/>
          <w:szCs w:val="24"/>
          <w:lang w:val="en-US"/>
        </w:rPr>
        <w:t xml:space="preserve"> and the whole cohort.</w:t>
      </w:r>
      <w:r w:rsidR="00350FC8" w:rsidRPr="006D35AF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41" w:rightFromText="141" w:vertAnchor="text" w:horzAnchor="page" w:tblpX="1413" w:tblpY="351"/>
        <w:tblW w:w="4842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1697"/>
        <w:gridCol w:w="1235"/>
        <w:gridCol w:w="2160"/>
        <w:gridCol w:w="1233"/>
      </w:tblGrid>
      <w:tr w:rsidR="00EA399E" w:rsidRPr="00C632F8" w:rsidTr="006D694A">
        <w:tc>
          <w:tcPr>
            <w:tcW w:w="1794" w:type="pct"/>
            <w:tcBorders>
              <w:bottom w:val="single" w:sz="4" w:space="0" w:color="auto"/>
            </w:tcBorders>
            <w:vAlign w:val="bottom"/>
          </w:tcPr>
          <w:p w:rsidR="00B71172" w:rsidRPr="00C632F8" w:rsidRDefault="00B71172" w:rsidP="006D694A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b/>
                <w:sz w:val="24"/>
                <w:szCs w:val="24"/>
                <w:lang w:val="en-US"/>
              </w:rPr>
              <w:t>Center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bottom"/>
          </w:tcPr>
          <w:p w:rsidR="00B71172" w:rsidRPr="00C632F8" w:rsidRDefault="006D694A" w:rsidP="006D694A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B71172" w:rsidRPr="00C632F8" w:rsidRDefault="00B71172" w:rsidP="006D694A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b/>
                <w:sz w:val="24"/>
                <w:szCs w:val="24"/>
                <w:lang w:val="en-US"/>
              </w:rPr>
              <w:t>OR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vAlign w:val="bottom"/>
          </w:tcPr>
          <w:p w:rsidR="00B71172" w:rsidRPr="00C632F8" w:rsidRDefault="00B71172" w:rsidP="006D694A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b/>
                <w:sz w:val="24"/>
                <w:szCs w:val="24"/>
                <w:lang w:val="en-US"/>
              </w:rPr>
              <w:t>95%CI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B71172" w:rsidRPr="00C632F8" w:rsidRDefault="00B71172" w:rsidP="006D694A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</w:t>
            </w:r>
            <w:r w:rsidRPr="00C632F8">
              <w:rPr>
                <w:rFonts w:ascii="Arial" w:hAnsi="Arial" w:cs="Arial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EA399E" w:rsidRPr="00C632F8" w:rsidTr="006D694A">
        <w:tc>
          <w:tcPr>
            <w:tcW w:w="1794" w:type="pct"/>
            <w:tcBorders>
              <w:bottom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b/>
                <w:sz w:val="24"/>
                <w:szCs w:val="24"/>
              </w:rPr>
              <w:t xml:space="preserve">CCASAnet          </w:t>
            </w:r>
          </w:p>
        </w:tc>
        <w:tc>
          <w:tcPr>
            <w:tcW w:w="860" w:type="pct"/>
            <w:tcBorders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2004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26" w:type="pct"/>
            <w:tcBorders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1.47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2.13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2.75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3.72</w:t>
            </w:r>
          </w:p>
        </w:tc>
        <w:tc>
          <w:tcPr>
            <w:tcW w:w="1095" w:type="pct"/>
            <w:tcBorders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1.41 - 1.52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1.98 - 2.29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2.54 - 2.97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3.48 - 3.99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B554D2" w:rsidRPr="00C632F8" w:rsidTr="006D694A"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:rsidR="000870CD" w:rsidRPr="00561850" w:rsidRDefault="00561850" w:rsidP="006D694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A399E"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  <w:t>CMH/FH</w:t>
            </w:r>
            <w:r w:rsidRPr="00EA399E">
              <w:rPr>
                <w:rFonts w:ascii="Arial" w:hAnsi="Arial" w:cs="Arial"/>
                <w:color w:val="000000" w:themeColor="text1"/>
                <w:sz w:val="24"/>
                <w:lang w:val="en-US"/>
              </w:rPr>
              <w:t>-Argentina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>2000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>2004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>2008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>2011</w:t>
            </w:r>
          </w:p>
          <w:p w:rsidR="000870CD" w:rsidRPr="00C632F8" w:rsidRDefault="000870CD" w:rsidP="008A0B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8A0B5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26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>1.83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>3.11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>3.93</w:t>
            </w:r>
          </w:p>
          <w:p w:rsidR="000870CD" w:rsidRPr="00C632F8" w:rsidRDefault="008A0B5D" w:rsidP="008A0B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4.41</w:t>
            </w:r>
          </w:p>
        </w:tc>
        <w:tc>
          <w:tcPr>
            <w:tcW w:w="1095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870CD" w:rsidRPr="00C632F8" w:rsidRDefault="00C632F8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1.68</w:t>
            </w:r>
            <w:r w:rsidR="000870CD" w:rsidRPr="00C632F8">
              <w:rPr>
                <w:rFonts w:ascii="Arial" w:hAnsi="Arial" w:cs="Arial"/>
                <w:sz w:val="24"/>
                <w:szCs w:val="24"/>
                <w:lang w:val="en-US"/>
              </w:rPr>
              <w:t xml:space="preserve"> - 1.99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  <w:lang w:val="en-US"/>
              </w:rPr>
              <w:t xml:space="preserve">2.69 - </w:t>
            </w:r>
            <w:r w:rsidRPr="00C632F8">
              <w:rPr>
                <w:rFonts w:ascii="Arial" w:hAnsi="Arial" w:cs="Arial"/>
                <w:sz w:val="24"/>
                <w:szCs w:val="24"/>
              </w:rPr>
              <w:t>3.61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3.38  - 4.56</w:t>
            </w:r>
          </w:p>
          <w:p w:rsidR="000870CD" w:rsidRPr="00C632F8" w:rsidRDefault="000870CD" w:rsidP="008A0B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3.</w:t>
            </w:r>
            <w:r w:rsidR="008A0B5D">
              <w:rPr>
                <w:rFonts w:ascii="Arial" w:hAnsi="Arial" w:cs="Arial"/>
                <w:sz w:val="24"/>
                <w:szCs w:val="24"/>
              </w:rPr>
              <w:t>86</w:t>
            </w:r>
            <w:r w:rsidRPr="00C632F8">
              <w:rPr>
                <w:rFonts w:ascii="Arial" w:hAnsi="Arial" w:cs="Arial"/>
                <w:sz w:val="24"/>
                <w:szCs w:val="24"/>
              </w:rPr>
              <w:t xml:space="preserve"> – 5.</w:t>
            </w:r>
            <w:r w:rsidR="008A0B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B554D2" w:rsidRPr="00C632F8" w:rsidTr="006D694A"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:rsidR="000870CD" w:rsidRPr="00B554D2" w:rsidRDefault="00561850" w:rsidP="006D694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A399E"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  <w:t>FC</w:t>
            </w:r>
            <w:r w:rsidRPr="00EA399E">
              <w:rPr>
                <w:rFonts w:ascii="Arial" w:hAnsi="Arial" w:cs="Arial"/>
                <w:color w:val="000000" w:themeColor="text1"/>
                <w:sz w:val="24"/>
                <w:lang w:val="en-US"/>
              </w:rPr>
              <w:t>-Brazil</w:t>
            </w:r>
            <w:r w:rsidR="000870CD" w:rsidRPr="00EA399E"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  <w:t xml:space="preserve">              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2004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2011         2015</w:t>
            </w:r>
          </w:p>
        </w:tc>
        <w:tc>
          <w:tcPr>
            <w:tcW w:w="626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1.32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1.76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2.21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1095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1.23 - 1.42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1.54 - 2.00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1.91 - 2.56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2.74 - 3.54</w:t>
            </w:r>
          </w:p>
        </w:tc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B554D2" w:rsidRPr="00C632F8" w:rsidTr="006D694A"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:rsidR="000870CD" w:rsidRPr="00EA399E" w:rsidRDefault="00561850" w:rsidP="006D694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A399E"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  <w:t>FA-</w:t>
            </w:r>
            <w:r w:rsidRPr="00EA399E">
              <w:rPr>
                <w:rFonts w:ascii="Arial" w:hAnsi="Arial" w:cs="Arial"/>
                <w:color w:val="000000" w:themeColor="text1"/>
                <w:sz w:val="24"/>
                <w:lang w:val="en-US"/>
              </w:rPr>
              <w:t>Chile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2004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626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1.22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1.52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1.90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1095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1.10 - 1.35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1.28 -1.82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1.58 - 2.29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1.93 - 2.69</w:t>
            </w:r>
          </w:p>
        </w:tc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B554D2" w:rsidRPr="00C632F8" w:rsidTr="006D694A"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:rsidR="000870CD" w:rsidRPr="00EA399E" w:rsidRDefault="00561850" w:rsidP="006D0D94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</w:pPr>
            <w:r w:rsidRPr="00EA399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lastRenderedPageBreak/>
              <w:t>GHESKIO-</w:t>
            </w:r>
            <w:proofErr w:type="spellStart"/>
            <w:r w:rsidRPr="00EA399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Haiti</w:t>
            </w:r>
            <w:proofErr w:type="spellEnd"/>
            <w:r w:rsidR="000870CD" w:rsidRPr="00EA399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870CD" w:rsidRPr="00EA399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 xml:space="preserve">         </w:t>
            </w:r>
          </w:p>
        </w:tc>
        <w:tc>
          <w:tcPr>
            <w:tcW w:w="860" w:type="pct"/>
            <w:tcBorders>
              <w:top w:val="nil"/>
              <w:bottom w:val="nil"/>
            </w:tcBorders>
            <w:shd w:val="clear" w:color="auto" w:fill="auto"/>
          </w:tcPr>
          <w:p w:rsidR="004252BE" w:rsidRPr="004252BE" w:rsidRDefault="004252BE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4252BE">
              <w:rPr>
                <w:rFonts w:ascii="Arial" w:hAnsi="Arial" w:cs="Arial"/>
                <w:sz w:val="24"/>
              </w:rPr>
              <w:t>200</w:t>
            </w:r>
            <w:r w:rsidR="006D0D94">
              <w:rPr>
                <w:rFonts w:ascii="Arial" w:hAnsi="Arial" w:cs="Arial"/>
                <w:sz w:val="24"/>
              </w:rPr>
              <w:t>3</w:t>
            </w:r>
          </w:p>
          <w:p w:rsidR="004252BE" w:rsidRPr="004252BE" w:rsidRDefault="006D0D94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2006</w:t>
            </w:r>
          </w:p>
          <w:p w:rsidR="004252BE" w:rsidRPr="004252BE" w:rsidRDefault="006D0D94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2009</w:t>
            </w:r>
          </w:p>
          <w:p w:rsidR="006D0D94" w:rsidRPr="00C632F8" w:rsidRDefault="006D0D94" w:rsidP="006D0D9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2011</w:t>
            </w:r>
          </w:p>
        </w:tc>
        <w:tc>
          <w:tcPr>
            <w:tcW w:w="626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</w:t>
            </w:r>
            <w:r w:rsidR="006D0D94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</w:t>
            </w:r>
            <w:r w:rsidR="006D0D94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0870CD" w:rsidRPr="00C632F8" w:rsidRDefault="006D0D94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1.95</w:t>
            </w:r>
          </w:p>
        </w:tc>
        <w:tc>
          <w:tcPr>
            <w:tcW w:w="1095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1.17 - 1.</w:t>
            </w:r>
            <w:r w:rsidR="006D0D94">
              <w:rPr>
                <w:rFonts w:ascii="Arial" w:hAnsi="Arial" w:cs="Arial"/>
                <w:sz w:val="24"/>
                <w:szCs w:val="24"/>
              </w:rPr>
              <w:t>41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1.4</w:t>
            </w:r>
            <w:r w:rsidR="006D0D94">
              <w:rPr>
                <w:rFonts w:ascii="Arial" w:hAnsi="Arial" w:cs="Arial"/>
                <w:sz w:val="24"/>
                <w:szCs w:val="24"/>
              </w:rPr>
              <w:t>1</w:t>
            </w:r>
            <w:r w:rsidRPr="00C632F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D0D94">
              <w:rPr>
                <w:rFonts w:ascii="Arial" w:hAnsi="Arial" w:cs="Arial"/>
                <w:sz w:val="24"/>
                <w:szCs w:val="24"/>
              </w:rPr>
              <w:t>1.92</w:t>
            </w:r>
          </w:p>
          <w:p w:rsidR="000870CD" w:rsidRPr="00C632F8" w:rsidRDefault="000870CD" w:rsidP="006D0D9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</w:t>
            </w:r>
            <w:r w:rsidR="006D0D94">
              <w:rPr>
                <w:rFonts w:ascii="Arial" w:hAnsi="Arial" w:cs="Arial"/>
                <w:sz w:val="24"/>
                <w:szCs w:val="24"/>
              </w:rPr>
              <w:t>70</w:t>
            </w:r>
            <w:r w:rsidRPr="00C632F8">
              <w:rPr>
                <w:rFonts w:ascii="Arial" w:hAnsi="Arial" w:cs="Arial"/>
                <w:sz w:val="24"/>
                <w:szCs w:val="24"/>
              </w:rPr>
              <w:t xml:space="preserve"> - 2.</w:t>
            </w:r>
            <w:r w:rsidR="006D0D94">
              <w:rPr>
                <w:rFonts w:ascii="Arial" w:hAnsi="Arial" w:cs="Arial"/>
                <w:sz w:val="24"/>
                <w:szCs w:val="24"/>
              </w:rPr>
              <w:t>2</w:t>
            </w:r>
            <w:r w:rsidRPr="00C632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B554D2" w:rsidRPr="00C632F8" w:rsidTr="006D694A"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:rsidR="000870CD" w:rsidRPr="00B554D2" w:rsidRDefault="00561850" w:rsidP="006D694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</w:pPr>
            <w:r w:rsidRPr="00B554D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IHSS/HE</w:t>
            </w:r>
            <w:r w:rsidR="00B554D2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-</w:t>
            </w:r>
            <w:r w:rsidRPr="00B554D2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Honduras</w:t>
            </w:r>
            <w:r w:rsidR="000870CD" w:rsidRPr="00B554D2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2004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26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2.08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4.29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6.97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12.21</w:t>
            </w:r>
          </w:p>
        </w:tc>
        <w:tc>
          <w:tcPr>
            <w:tcW w:w="1095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1.65 - 2.62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2.75 - 6.69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4.27 - 11.39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8.03 - 18.58</w:t>
            </w:r>
          </w:p>
        </w:tc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B554D2" w:rsidRPr="00C632F8" w:rsidTr="006D694A"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:rsidR="000870CD" w:rsidRPr="00B554D2" w:rsidRDefault="00561850" w:rsidP="006D694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</w:pPr>
            <w:r w:rsidRPr="00B554D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INCMNSZ</w:t>
            </w:r>
            <w:r w:rsidR="00B554D2" w:rsidRPr="00B554D2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-</w:t>
            </w:r>
            <w:r w:rsidRPr="00EA399E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México</w:t>
            </w:r>
            <w:r w:rsidR="000870CD" w:rsidRPr="00B554D2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2004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26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1.32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1.74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2.15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2.90</w:t>
            </w:r>
          </w:p>
        </w:tc>
        <w:tc>
          <w:tcPr>
            <w:tcW w:w="1095" w:type="pct"/>
            <w:tcBorders>
              <w:top w:val="nil"/>
              <w:bottom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1.10 - 1.59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1.21 - 2.50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1.40 - 3.31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2.00 - 4.20</w:t>
            </w:r>
          </w:p>
        </w:tc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B554D2" w:rsidRPr="00C632F8" w:rsidTr="006D694A">
        <w:tc>
          <w:tcPr>
            <w:tcW w:w="1794" w:type="pct"/>
            <w:tcBorders>
              <w:top w:val="nil"/>
            </w:tcBorders>
            <w:vAlign w:val="center"/>
          </w:tcPr>
          <w:p w:rsidR="000870CD" w:rsidRPr="00B554D2" w:rsidRDefault="00561850" w:rsidP="006D69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54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IMTAvH</w:t>
            </w:r>
            <w:r w:rsidR="00B554D2" w:rsidRPr="00B554D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B554D2">
              <w:rPr>
                <w:rFonts w:ascii="Arial" w:hAnsi="Arial" w:cs="Arial"/>
                <w:color w:val="000000" w:themeColor="text1"/>
                <w:sz w:val="24"/>
                <w:szCs w:val="24"/>
              </w:rPr>
              <w:t>Perú</w:t>
            </w:r>
            <w:r w:rsidRPr="00B554D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</w:t>
            </w:r>
            <w:r w:rsidR="000870CD" w:rsidRPr="00B554D2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860" w:type="pct"/>
            <w:tcBorders>
              <w:top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2004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26" w:type="pct"/>
            <w:tcBorders>
              <w:top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1.55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2.40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3.22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4.38</w:t>
            </w:r>
          </w:p>
        </w:tc>
        <w:tc>
          <w:tcPr>
            <w:tcW w:w="1095" w:type="pct"/>
            <w:tcBorders>
              <w:top w:val="nil"/>
            </w:tcBorders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1.36 - 1.77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1.84 - 3.12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2.36 - 4.39</w:t>
            </w:r>
          </w:p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3.35 - 5.73</w:t>
            </w:r>
          </w:p>
        </w:tc>
        <w:tc>
          <w:tcPr>
            <w:tcW w:w="626" w:type="pct"/>
            <w:tcBorders>
              <w:top w:val="nil"/>
            </w:tcBorders>
            <w:vAlign w:val="center"/>
          </w:tcPr>
          <w:p w:rsidR="000870CD" w:rsidRPr="00C632F8" w:rsidRDefault="000870CD" w:rsidP="006D69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2F8">
              <w:rPr>
                <w:rFonts w:ascii="Arial" w:hAnsi="Arial" w:cs="Arial"/>
                <w:sz w:val="24"/>
                <w:szCs w:val="24"/>
              </w:rPr>
              <w:t>&lt;0.00</w:t>
            </w:r>
            <w:r w:rsidR="00C63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50FC8" w:rsidRDefault="00350FC8" w:rsidP="00350FC8">
      <w:pPr>
        <w:spacing w:after="0" w:line="240" w:lineRule="auto"/>
        <w:rPr>
          <w:lang w:val="en-US"/>
        </w:rPr>
      </w:pPr>
    </w:p>
    <w:p w:rsidR="00350FC8" w:rsidRDefault="00350FC8" w:rsidP="00350FC8">
      <w:pPr>
        <w:spacing w:after="0" w:line="240" w:lineRule="auto"/>
        <w:rPr>
          <w:lang w:val="en-US"/>
        </w:rPr>
      </w:pPr>
    </w:p>
    <w:p w:rsidR="00350FC8" w:rsidRDefault="00EA399E" w:rsidP="006D0D94">
      <w:pPr>
        <w:spacing w:after="0" w:line="480" w:lineRule="auto"/>
        <w:rPr>
          <w:lang w:val="en-US"/>
        </w:rPr>
      </w:pPr>
      <w:r w:rsidRPr="00EA399E">
        <w:rPr>
          <w:rFonts w:ascii="Arial" w:hAnsi="Arial" w:cs="Arial"/>
          <w:sz w:val="24"/>
          <w:lang w:val="en-US"/>
        </w:rPr>
        <w:t>1</w:t>
      </w:r>
      <w:r w:rsidRPr="00EA399E">
        <w:rPr>
          <w:rFonts w:ascii="Arial" w:hAnsi="Arial" w:cs="Arial"/>
          <w:i/>
          <w:sz w:val="24"/>
          <w:lang w:val="en-US"/>
        </w:rPr>
        <w:t xml:space="preserve"> Odds ratios for a logistic model by site using splines with 3 nodes for </w:t>
      </w:r>
      <w:r w:rsidR="006D0D94">
        <w:rPr>
          <w:rFonts w:ascii="Arial" w:hAnsi="Arial" w:cs="Arial"/>
          <w:i/>
          <w:sz w:val="24"/>
          <w:lang w:val="en-US"/>
        </w:rPr>
        <w:t xml:space="preserve">the same </w:t>
      </w:r>
      <w:r w:rsidRPr="00EA399E">
        <w:rPr>
          <w:rFonts w:ascii="Arial" w:hAnsi="Arial" w:cs="Arial"/>
          <w:i/>
          <w:sz w:val="24"/>
          <w:lang w:val="en-US"/>
        </w:rPr>
        <w:t>year</w:t>
      </w:r>
      <w:r w:rsidR="006D0D94">
        <w:rPr>
          <w:rFonts w:ascii="Arial" w:hAnsi="Arial" w:cs="Arial"/>
          <w:i/>
          <w:sz w:val="24"/>
          <w:lang w:val="en-US"/>
        </w:rPr>
        <w:t>s</w:t>
      </w:r>
      <w:r w:rsidRPr="00EA399E">
        <w:rPr>
          <w:rFonts w:ascii="Arial" w:hAnsi="Arial" w:cs="Arial"/>
          <w:i/>
          <w:sz w:val="24"/>
          <w:lang w:val="en-US"/>
        </w:rPr>
        <w:t xml:space="preserve">, except in Haiti which we adjust </w:t>
      </w:r>
      <w:r w:rsidR="006D0D94">
        <w:rPr>
          <w:rFonts w:ascii="Arial" w:hAnsi="Arial" w:cs="Arial"/>
          <w:i/>
          <w:sz w:val="24"/>
          <w:lang w:val="en-US"/>
        </w:rPr>
        <w:t>knots in 2006, 2009 and 2011 because their data are available between 2003 to 2012</w:t>
      </w:r>
      <w:r w:rsidRPr="00EA399E">
        <w:rPr>
          <w:rFonts w:ascii="Arial" w:hAnsi="Arial" w:cs="Arial"/>
          <w:i/>
          <w:sz w:val="24"/>
          <w:lang w:val="en-US"/>
        </w:rPr>
        <w:t>.</w:t>
      </w:r>
    </w:p>
    <w:p w:rsidR="00EA3C40" w:rsidRPr="00350FC8" w:rsidRDefault="003B416B" w:rsidP="006D35AF">
      <w:pPr>
        <w:tabs>
          <w:tab w:val="left" w:pos="1170"/>
        </w:tabs>
        <w:jc w:val="both"/>
        <w:rPr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</w:t>
      </w:r>
      <w:bookmarkStart w:id="0" w:name="_GoBack"/>
      <w:bookmarkEnd w:id="0"/>
    </w:p>
    <w:sectPr w:rsidR="00EA3C40" w:rsidRPr="00350FC8" w:rsidSect="006D694A">
      <w:pgSz w:w="12240" w:h="15840"/>
      <w:pgMar w:top="1417" w:right="99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9C"/>
    <w:rsid w:val="000870CD"/>
    <w:rsid w:val="001114D9"/>
    <w:rsid w:val="001F6764"/>
    <w:rsid w:val="002A339B"/>
    <w:rsid w:val="002A5F56"/>
    <w:rsid w:val="00345000"/>
    <w:rsid w:val="00350FC8"/>
    <w:rsid w:val="00381E88"/>
    <w:rsid w:val="00394826"/>
    <w:rsid w:val="003B416B"/>
    <w:rsid w:val="004252BE"/>
    <w:rsid w:val="00473399"/>
    <w:rsid w:val="00561850"/>
    <w:rsid w:val="005C2A3F"/>
    <w:rsid w:val="005E1E54"/>
    <w:rsid w:val="006D0D94"/>
    <w:rsid w:val="006D35AF"/>
    <w:rsid w:val="006D694A"/>
    <w:rsid w:val="0074643A"/>
    <w:rsid w:val="00795E27"/>
    <w:rsid w:val="008A0B5D"/>
    <w:rsid w:val="00A803FF"/>
    <w:rsid w:val="00B554D2"/>
    <w:rsid w:val="00B71172"/>
    <w:rsid w:val="00B74443"/>
    <w:rsid w:val="00C632F8"/>
    <w:rsid w:val="00C84D9D"/>
    <w:rsid w:val="00D3379C"/>
    <w:rsid w:val="00D915E1"/>
    <w:rsid w:val="00DF47C3"/>
    <w:rsid w:val="00E80F45"/>
    <w:rsid w:val="00E86196"/>
    <w:rsid w:val="00EA399E"/>
    <w:rsid w:val="00EA3C40"/>
    <w:rsid w:val="00EB5EBF"/>
    <w:rsid w:val="00F525E2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0BF4"/>
  <w15:docId w15:val="{B2A0AEE3-B086-2649-986D-8F0D4B8E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1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5E1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eGrid">
    <w:name w:val="Table Grid"/>
    <w:basedOn w:val="TableNormal"/>
    <w:uiPriority w:val="59"/>
    <w:rsid w:val="002A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g2ujhdabb">
    <w:name w:val="gcg2ujhdabb"/>
    <w:basedOn w:val="DefaultParagraphFont"/>
    <w:rsid w:val="00A803FF"/>
  </w:style>
  <w:style w:type="character" w:customStyle="1" w:styleId="gcg2ujhdeab">
    <w:name w:val="gcg2ujhdeab"/>
    <w:basedOn w:val="DefaultParagraphFont"/>
    <w:rsid w:val="00A803FF"/>
  </w:style>
  <w:style w:type="character" w:customStyle="1" w:styleId="gcg2ujhdiab">
    <w:name w:val="gcg2ujhdiab"/>
    <w:basedOn w:val="DefaultParagraphFont"/>
    <w:rsid w:val="00A803FF"/>
  </w:style>
  <w:style w:type="paragraph" w:styleId="BalloonText">
    <w:name w:val="Balloon Text"/>
    <w:basedOn w:val="Normal"/>
    <w:link w:val="BalloonTextChar"/>
    <w:uiPriority w:val="99"/>
    <w:semiHidden/>
    <w:unhideWhenUsed/>
    <w:rsid w:val="00FD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E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35AF"/>
    <w:rPr>
      <w:i/>
      <w:iCs/>
    </w:rPr>
  </w:style>
  <w:style w:type="paragraph" w:styleId="NoSpacing">
    <w:name w:val="No Spacing"/>
    <w:uiPriority w:val="1"/>
    <w:qFormat/>
    <w:rsid w:val="006D35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895E-8169-394C-B812-4377F45E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vegay</dc:creator>
  <cp:lastModifiedBy>Pablo Belaunzaran</cp:lastModifiedBy>
  <cp:revision>2</cp:revision>
  <dcterms:created xsi:type="dcterms:W3CDTF">2018-04-18T22:26:00Z</dcterms:created>
  <dcterms:modified xsi:type="dcterms:W3CDTF">2018-04-18T22:26:00Z</dcterms:modified>
</cp:coreProperties>
</file>