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E2" w:rsidRPr="007D5955" w:rsidRDefault="00BA04E2" w:rsidP="00566151">
      <w:pPr>
        <w:jc w:val="center"/>
        <w:rPr>
          <w:rFonts w:cs="Times New Roman"/>
          <w:lang w:val="en-GB"/>
        </w:rPr>
      </w:pPr>
      <w:r w:rsidRPr="007D5955">
        <w:rPr>
          <w:rFonts w:cs="Times New Roman"/>
          <w:b/>
          <w:i/>
          <w:lang w:val="en-GB"/>
        </w:rPr>
        <w:t>Epidemiology and Infection</w:t>
      </w:r>
    </w:p>
    <w:p w:rsidR="00BA04E2" w:rsidRPr="007D5955" w:rsidRDefault="00566151" w:rsidP="00BA04E2">
      <w:pPr>
        <w:rPr>
          <w:rFonts w:cs="Times New Roman"/>
          <w:sz w:val="22"/>
          <w:lang w:val="en-GB"/>
        </w:rPr>
      </w:pPr>
      <w:r w:rsidRPr="007D5955">
        <w:rPr>
          <w:rFonts w:cs="Times New Roman"/>
          <w:b/>
          <w:sz w:val="22"/>
          <w:lang w:val="en-GB"/>
        </w:rPr>
        <w:t>Manuscript Title:</w:t>
      </w:r>
      <w:r w:rsidRPr="007D5955">
        <w:rPr>
          <w:rFonts w:cs="Times New Roman"/>
          <w:sz w:val="22"/>
          <w:lang w:val="en-GB"/>
        </w:rPr>
        <w:t xml:space="preserve"> </w:t>
      </w:r>
      <w:r w:rsidR="00BA04E2" w:rsidRPr="007D5955">
        <w:rPr>
          <w:rFonts w:cs="Times New Roman"/>
          <w:sz w:val="22"/>
          <w:lang w:val="en-GB"/>
        </w:rPr>
        <w:t>Transmission of respiratory and gastrointestinal infections in German households with children attending child care</w:t>
      </w:r>
    </w:p>
    <w:p w:rsidR="00BA04E2" w:rsidRPr="007D5955" w:rsidRDefault="00BA04E2" w:rsidP="00BA04E2">
      <w:pPr>
        <w:pStyle w:val="KeinLeerraum"/>
        <w:spacing w:line="480" w:lineRule="auto"/>
        <w:rPr>
          <w:rFonts w:cs="Times New Roman"/>
          <w:b/>
          <w:sz w:val="22"/>
          <w:lang w:val="en-GB"/>
        </w:rPr>
      </w:pPr>
      <w:r w:rsidRPr="007D5955">
        <w:rPr>
          <w:rFonts w:cs="Times New Roman"/>
          <w:b/>
          <w:sz w:val="22"/>
          <w:lang w:val="en-GB"/>
        </w:rPr>
        <w:t>Authors</w:t>
      </w:r>
    </w:p>
    <w:p w:rsidR="00BA04E2" w:rsidRPr="007D5955" w:rsidRDefault="00BA04E2" w:rsidP="00BA04E2">
      <w:pPr>
        <w:pStyle w:val="KeinLeerraum"/>
        <w:spacing w:line="480" w:lineRule="auto"/>
        <w:rPr>
          <w:rFonts w:cs="Times New Roman"/>
          <w:i/>
          <w:sz w:val="22"/>
          <w:lang w:val="en-GB"/>
        </w:rPr>
      </w:pPr>
      <w:r w:rsidRPr="007D5955">
        <w:rPr>
          <w:rFonts w:cs="Times New Roman"/>
          <w:i/>
          <w:sz w:val="22"/>
          <w:lang w:val="en-GB"/>
        </w:rPr>
        <w:t>K.M. Schlinkmann</w:t>
      </w:r>
      <w:r w:rsidRPr="007D5955">
        <w:rPr>
          <w:rFonts w:cs="Times New Roman"/>
          <w:i/>
          <w:sz w:val="22"/>
          <w:vertAlign w:val="superscript"/>
          <w:lang w:val="en-GB"/>
        </w:rPr>
        <w:t>1</w:t>
      </w:r>
      <w:proofErr w:type="gramStart"/>
      <w:r w:rsidRPr="007D5955">
        <w:rPr>
          <w:rFonts w:cs="Times New Roman"/>
          <w:i/>
          <w:sz w:val="22"/>
          <w:vertAlign w:val="superscript"/>
          <w:lang w:val="en-GB"/>
        </w:rPr>
        <w:t>,2</w:t>
      </w:r>
      <w:proofErr w:type="gramEnd"/>
      <w:r w:rsidRPr="007D5955">
        <w:rPr>
          <w:rFonts w:cs="Times New Roman"/>
          <w:i/>
          <w:sz w:val="22"/>
          <w:lang w:val="en-GB"/>
        </w:rPr>
        <w:t>, A. Bakuli</w:t>
      </w:r>
      <w:r w:rsidRPr="007D5955">
        <w:rPr>
          <w:rFonts w:cs="Times New Roman"/>
          <w:i/>
          <w:sz w:val="22"/>
          <w:vertAlign w:val="superscript"/>
          <w:lang w:val="en-GB"/>
        </w:rPr>
        <w:t>1,2</w:t>
      </w:r>
      <w:r w:rsidRPr="007D5955">
        <w:rPr>
          <w:rFonts w:cs="Times New Roman"/>
          <w:i/>
          <w:sz w:val="22"/>
          <w:lang w:val="en-GB"/>
        </w:rPr>
        <w:t>, A. Karch</w:t>
      </w:r>
      <w:r w:rsidRPr="007D5955">
        <w:rPr>
          <w:rFonts w:cs="Times New Roman"/>
          <w:i/>
          <w:sz w:val="22"/>
          <w:vertAlign w:val="superscript"/>
          <w:lang w:val="en-GB"/>
        </w:rPr>
        <w:t>1</w:t>
      </w:r>
      <w:r w:rsidRPr="007D5955">
        <w:rPr>
          <w:rFonts w:cs="Times New Roman"/>
          <w:i/>
          <w:sz w:val="22"/>
          <w:lang w:val="en-GB"/>
        </w:rPr>
        <w:t>, F. Meyer</w:t>
      </w:r>
      <w:r w:rsidRPr="007D5955">
        <w:rPr>
          <w:rFonts w:cs="Times New Roman"/>
          <w:i/>
          <w:sz w:val="22"/>
          <w:vertAlign w:val="superscript"/>
          <w:lang w:val="en-GB"/>
        </w:rPr>
        <w:t>3</w:t>
      </w:r>
      <w:r w:rsidRPr="007D5955">
        <w:rPr>
          <w:rFonts w:cs="Times New Roman"/>
          <w:i/>
          <w:sz w:val="22"/>
          <w:lang w:val="en-GB"/>
        </w:rPr>
        <w:t>, J. Dreesman</w:t>
      </w:r>
      <w:r w:rsidRPr="007D5955">
        <w:rPr>
          <w:rFonts w:cs="Times New Roman"/>
          <w:i/>
          <w:sz w:val="22"/>
          <w:vertAlign w:val="superscript"/>
          <w:lang w:val="en-GB"/>
        </w:rPr>
        <w:t>4</w:t>
      </w:r>
      <w:r w:rsidRPr="007D5955">
        <w:rPr>
          <w:rFonts w:cs="Times New Roman"/>
          <w:i/>
          <w:sz w:val="22"/>
          <w:lang w:val="en-GB"/>
        </w:rPr>
        <w:t>, M. Monazahian</w:t>
      </w:r>
      <w:r w:rsidRPr="007D5955">
        <w:rPr>
          <w:rFonts w:cs="Times New Roman"/>
          <w:i/>
          <w:sz w:val="22"/>
          <w:vertAlign w:val="superscript"/>
          <w:lang w:val="en-GB"/>
        </w:rPr>
        <w:t>4</w:t>
      </w:r>
      <w:r w:rsidRPr="007D5955">
        <w:rPr>
          <w:rFonts w:cs="Times New Roman"/>
          <w:i/>
          <w:sz w:val="22"/>
          <w:lang w:val="en-GB"/>
        </w:rPr>
        <w:t>, R. Mikolajczyk</w:t>
      </w:r>
      <w:r w:rsidRPr="007D5955">
        <w:rPr>
          <w:rFonts w:cs="Times New Roman"/>
          <w:i/>
          <w:sz w:val="22"/>
          <w:vertAlign w:val="superscript"/>
          <w:lang w:val="en-GB"/>
        </w:rPr>
        <w:t>1,5,6,7</w:t>
      </w:r>
      <w:r w:rsidRPr="007D5955">
        <w:rPr>
          <w:rFonts w:cs="Times New Roman"/>
          <w:i/>
          <w:sz w:val="22"/>
          <w:lang w:val="en-GB"/>
        </w:rPr>
        <w:t xml:space="preserve"> </w:t>
      </w:r>
    </w:p>
    <w:p w:rsidR="00BA04E2" w:rsidRPr="007D5955" w:rsidRDefault="00BA04E2" w:rsidP="00BA04E2">
      <w:pPr>
        <w:pStyle w:val="KeinLeerraum"/>
        <w:spacing w:line="480" w:lineRule="auto"/>
        <w:rPr>
          <w:rFonts w:cs="Times New Roman"/>
          <w:sz w:val="22"/>
          <w:lang w:val="en-GB"/>
        </w:rPr>
      </w:pP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 xml:space="preserve">1 </w:t>
      </w:r>
      <w:r w:rsidRPr="007D5955">
        <w:rPr>
          <w:rFonts w:cs="Times New Roman"/>
          <w:sz w:val="22"/>
          <w:lang w:val="en-GB"/>
        </w:rPr>
        <w:t>Helmholtz Centre for Infection Research, Department for Epidemiology</w:t>
      </w:r>
      <w:r w:rsidR="007D5955" w:rsidRPr="007D5955">
        <w:rPr>
          <w:rFonts w:cs="Times New Roman"/>
          <w:sz w:val="22"/>
          <w:lang w:val="en-GB"/>
        </w:rPr>
        <w:t xml:space="preserve">, </w:t>
      </w:r>
      <w:proofErr w:type="spellStart"/>
      <w:r w:rsidRPr="007D5955">
        <w:rPr>
          <w:rFonts w:cs="Times New Roman"/>
          <w:sz w:val="22"/>
          <w:lang w:val="en-GB"/>
        </w:rPr>
        <w:t>Braunschweig</w:t>
      </w:r>
      <w:proofErr w:type="spellEnd"/>
      <w:r w:rsidRPr="007D5955">
        <w:rPr>
          <w:rFonts w:cs="Times New Roman"/>
          <w:sz w:val="22"/>
          <w:lang w:val="en-GB"/>
        </w:rPr>
        <w:t>, Germany</w:t>
      </w:r>
    </w:p>
    <w:p w:rsidR="00BA04E2" w:rsidRPr="007D5955" w:rsidRDefault="00BA04E2" w:rsidP="00BA04E2">
      <w:pPr>
        <w:pStyle w:val="KeinLeerraum"/>
        <w:spacing w:line="480" w:lineRule="auto"/>
        <w:rPr>
          <w:rFonts w:cs="Times New Roman"/>
          <w:sz w:val="22"/>
          <w:lang w:val="en-GB"/>
        </w:rPr>
      </w:pPr>
      <w:r w:rsidRPr="007D5955">
        <w:rPr>
          <w:rFonts w:cs="Times New Roman"/>
          <w:sz w:val="22"/>
          <w:lang w:val="en-GB"/>
        </w:rPr>
        <w:t xml:space="preserve">² PhD Programme „Epidemiology“, </w:t>
      </w:r>
      <w:r w:rsidR="007D5955" w:rsidRPr="007D5955">
        <w:rPr>
          <w:rFonts w:cs="Times New Roman"/>
          <w:sz w:val="22"/>
          <w:lang w:val="en-GB"/>
        </w:rPr>
        <w:t xml:space="preserve">Hannover Medical School, </w:t>
      </w:r>
      <w:proofErr w:type="spellStart"/>
      <w:r w:rsidRPr="007D5955">
        <w:rPr>
          <w:rFonts w:cs="Times New Roman"/>
          <w:sz w:val="22"/>
          <w:lang w:val="en-GB"/>
        </w:rPr>
        <w:t>Braunschweig</w:t>
      </w:r>
      <w:proofErr w:type="spellEnd"/>
      <w:r w:rsidRPr="007D5955">
        <w:rPr>
          <w:rFonts w:cs="Times New Roman"/>
          <w:sz w:val="22"/>
          <w:lang w:val="en-GB"/>
        </w:rPr>
        <w:t>-Hannover</w:t>
      </w: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3</w:t>
      </w:r>
      <w:r w:rsidRPr="007D5955">
        <w:rPr>
          <w:rFonts w:cs="Times New Roman"/>
          <w:sz w:val="22"/>
          <w:lang w:val="en-GB"/>
        </w:rPr>
        <w:t xml:space="preserve"> Helmholtz Centre for Infection Research, KOM – Microbial Communication, </w:t>
      </w:r>
      <w:proofErr w:type="spellStart"/>
      <w:r w:rsidRPr="007D5955">
        <w:rPr>
          <w:rFonts w:cs="Times New Roman"/>
          <w:sz w:val="22"/>
          <w:lang w:val="en-GB"/>
        </w:rPr>
        <w:t>Braunschweig</w:t>
      </w:r>
      <w:proofErr w:type="spellEnd"/>
      <w:r w:rsidRPr="007D5955">
        <w:rPr>
          <w:rFonts w:cs="Times New Roman"/>
          <w:sz w:val="22"/>
          <w:lang w:val="en-GB"/>
        </w:rPr>
        <w:t>, Germany</w:t>
      </w: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4</w:t>
      </w:r>
      <w:r w:rsidRPr="007D5955">
        <w:rPr>
          <w:rFonts w:cs="Times New Roman"/>
          <w:sz w:val="22"/>
          <w:lang w:val="en-GB"/>
        </w:rPr>
        <w:t xml:space="preserve"> Governmental Institute of Public Health of Lower Saxony, Hannover, Germany</w:t>
      </w: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5</w:t>
      </w:r>
      <w:r w:rsidRPr="007D5955">
        <w:rPr>
          <w:rFonts w:cs="Times New Roman"/>
          <w:sz w:val="22"/>
          <w:lang w:val="en-GB"/>
        </w:rPr>
        <w:t xml:space="preserve"> Hannover Medical </w:t>
      </w:r>
      <w:proofErr w:type="gramStart"/>
      <w:r w:rsidRPr="007D5955">
        <w:rPr>
          <w:rFonts w:cs="Times New Roman"/>
          <w:sz w:val="22"/>
          <w:lang w:val="en-GB"/>
        </w:rPr>
        <w:t>School</w:t>
      </w:r>
      <w:proofErr w:type="gramEnd"/>
      <w:r w:rsidRPr="007D5955">
        <w:rPr>
          <w:rFonts w:cs="Times New Roman"/>
          <w:sz w:val="22"/>
          <w:lang w:val="en-GB"/>
        </w:rPr>
        <w:t>, Hannover, Germany</w:t>
      </w: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 xml:space="preserve">6 </w:t>
      </w:r>
      <w:r w:rsidRPr="007D5955">
        <w:rPr>
          <w:rFonts w:cs="Times New Roman"/>
          <w:sz w:val="22"/>
          <w:lang w:val="en-GB"/>
        </w:rPr>
        <w:t>Germ</w:t>
      </w:r>
      <w:r w:rsidR="007D5955" w:rsidRPr="007D5955">
        <w:rPr>
          <w:rFonts w:cs="Times New Roman"/>
          <w:sz w:val="22"/>
          <w:lang w:val="en-GB"/>
        </w:rPr>
        <w:t xml:space="preserve">an </w:t>
      </w:r>
      <w:proofErr w:type="gramStart"/>
      <w:r w:rsidR="007D5955" w:rsidRPr="007D5955">
        <w:rPr>
          <w:rFonts w:cs="Times New Roman"/>
          <w:sz w:val="22"/>
          <w:lang w:val="en-GB"/>
        </w:rPr>
        <w:t>Ce</w:t>
      </w:r>
      <w:bookmarkStart w:id="0" w:name="_GoBack"/>
      <w:bookmarkEnd w:id="0"/>
      <w:r w:rsidR="007D5955" w:rsidRPr="007D5955">
        <w:rPr>
          <w:rFonts w:cs="Times New Roman"/>
          <w:sz w:val="22"/>
          <w:lang w:val="en-GB"/>
        </w:rPr>
        <w:t>ntr</w:t>
      </w:r>
      <w:r w:rsidR="007D5955">
        <w:rPr>
          <w:rFonts w:cs="Times New Roman"/>
          <w:sz w:val="22"/>
          <w:lang w:val="en-GB"/>
        </w:rPr>
        <w:t>e</w:t>
      </w:r>
      <w:proofErr w:type="gramEnd"/>
      <w:r w:rsidR="007D5955" w:rsidRPr="007D5955">
        <w:rPr>
          <w:rFonts w:cs="Times New Roman"/>
          <w:sz w:val="22"/>
          <w:lang w:val="en-GB"/>
        </w:rPr>
        <w:t xml:space="preserve"> for Infection Research </w:t>
      </w:r>
      <w:r w:rsidR="007D5955" w:rsidRPr="007D5955">
        <w:rPr>
          <w:rFonts w:cs="Times New Roman"/>
          <w:sz w:val="22"/>
          <w:lang w:val="en-GB"/>
        </w:rPr>
        <w:t>(DZIF)</w:t>
      </w:r>
      <w:r w:rsidR="007D5955" w:rsidRPr="007D5955">
        <w:rPr>
          <w:rFonts w:cs="Times New Roman"/>
          <w:sz w:val="22"/>
          <w:lang w:val="en-GB"/>
        </w:rPr>
        <w:t xml:space="preserve">, </w:t>
      </w:r>
      <w:proofErr w:type="spellStart"/>
      <w:r w:rsidRPr="007D5955">
        <w:rPr>
          <w:rFonts w:cs="Times New Roman"/>
          <w:sz w:val="22"/>
          <w:lang w:val="en-GB"/>
        </w:rPr>
        <w:t>Braunschweig</w:t>
      </w:r>
      <w:proofErr w:type="spellEnd"/>
      <w:r w:rsidRPr="007D5955">
        <w:rPr>
          <w:rFonts w:cs="Times New Roman"/>
          <w:sz w:val="22"/>
          <w:lang w:val="en-GB"/>
        </w:rPr>
        <w:t>-Hannover</w:t>
      </w:r>
      <w:r w:rsidR="007D5955" w:rsidRPr="007D5955">
        <w:rPr>
          <w:rFonts w:cs="Times New Roman"/>
          <w:sz w:val="22"/>
          <w:lang w:val="en-GB"/>
        </w:rPr>
        <w:t>, Germany</w:t>
      </w:r>
      <w:r w:rsidRPr="007D5955">
        <w:rPr>
          <w:rFonts w:cs="Times New Roman"/>
          <w:sz w:val="22"/>
          <w:lang w:val="en-GB"/>
        </w:rPr>
        <w:t xml:space="preserve"> </w:t>
      </w:r>
    </w:p>
    <w:p w:rsidR="00BA04E2" w:rsidRPr="007D5955" w:rsidRDefault="00BA04E2" w:rsidP="00BA04E2">
      <w:pPr>
        <w:pStyle w:val="KeinLeerraum"/>
        <w:spacing w:line="480" w:lineRule="auto"/>
        <w:rPr>
          <w:rFonts w:cs="Times New Roman"/>
          <w:sz w:val="22"/>
          <w:lang w:val="en-GB"/>
        </w:rPr>
      </w:pPr>
      <w:r w:rsidRPr="007D5955">
        <w:rPr>
          <w:rFonts w:cs="Times New Roman"/>
          <w:sz w:val="22"/>
          <w:vertAlign w:val="superscript"/>
          <w:lang w:val="en-GB"/>
        </w:rPr>
        <w:t>7</w:t>
      </w:r>
      <w:r w:rsidRPr="007D5955">
        <w:rPr>
          <w:rFonts w:cs="Times New Roman"/>
          <w:sz w:val="22"/>
          <w:lang w:val="en-GB"/>
        </w:rPr>
        <w:t xml:space="preserve"> Medical </w:t>
      </w:r>
      <w:proofErr w:type="gramStart"/>
      <w:r w:rsidRPr="007D5955">
        <w:rPr>
          <w:rFonts w:cs="Times New Roman"/>
          <w:sz w:val="22"/>
          <w:lang w:val="en-GB"/>
        </w:rPr>
        <w:t>Faculty</w:t>
      </w:r>
      <w:proofErr w:type="gramEnd"/>
      <w:r w:rsidRPr="007D5955">
        <w:rPr>
          <w:rFonts w:cs="Times New Roman"/>
          <w:sz w:val="22"/>
          <w:lang w:val="en-GB"/>
        </w:rPr>
        <w:t xml:space="preserve"> of the Martin Luther University Halle-Wittenberg, Institute for Medical Epidemiology, Biometry, and Informatics (IMEBI)</w:t>
      </w:r>
      <w:r w:rsidR="007D5955" w:rsidRPr="007D5955">
        <w:rPr>
          <w:rFonts w:cs="Times New Roman"/>
          <w:sz w:val="22"/>
          <w:lang w:val="en-GB"/>
        </w:rPr>
        <w:t>, Halle (Saale), Germany</w:t>
      </w:r>
    </w:p>
    <w:p w:rsidR="00BA04E2" w:rsidRPr="007D5955" w:rsidRDefault="00BA04E2" w:rsidP="00BA04E2">
      <w:pPr>
        <w:pStyle w:val="Beschriftung"/>
        <w:keepNext/>
        <w:spacing w:line="480" w:lineRule="auto"/>
        <w:rPr>
          <w:color w:val="auto"/>
          <w:sz w:val="24"/>
          <w:lang w:val="en-GB"/>
        </w:rPr>
      </w:pPr>
    </w:p>
    <w:p w:rsidR="00BA04E2" w:rsidRPr="007D5955" w:rsidRDefault="00BA04E2" w:rsidP="00566151">
      <w:pPr>
        <w:pStyle w:val="Beschriftung"/>
        <w:keepNext/>
        <w:spacing w:line="480" w:lineRule="auto"/>
        <w:jc w:val="center"/>
        <w:rPr>
          <w:color w:val="auto"/>
          <w:sz w:val="32"/>
          <w:lang w:val="en-GB"/>
        </w:rPr>
      </w:pPr>
      <w:r w:rsidRPr="007D5955">
        <w:rPr>
          <w:color w:val="auto"/>
          <w:sz w:val="32"/>
          <w:lang w:val="en-GB"/>
        </w:rPr>
        <w:t>Supplementary Material</w:t>
      </w:r>
    </w:p>
    <w:p w:rsidR="00BA04E2" w:rsidRPr="007D5955" w:rsidRDefault="00BA04E2" w:rsidP="00BA04E2">
      <w:pPr>
        <w:rPr>
          <w:lang w:val="en-GB"/>
        </w:rPr>
      </w:pPr>
    </w:p>
    <w:p w:rsidR="00BA04E2" w:rsidRPr="007D5955" w:rsidRDefault="00BA04E2">
      <w:pPr>
        <w:spacing w:before="0" w:after="200" w:line="276" w:lineRule="auto"/>
        <w:jc w:val="left"/>
        <w:rPr>
          <w:b/>
          <w:bCs/>
          <w:sz w:val="22"/>
          <w:szCs w:val="18"/>
          <w:lang w:val="en-GB"/>
        </w:rPr>
      </w:pPr>
      <w:r w:rsidRPr="007D5955">
        <w:rPr>
          <w:sz w:val="22"/>
          <w:lang w:val="en-GB"/>
        </w:rPr>
        <w:br w:type="page"/>
      </w:r>
    </w:p>
    <w:p w:rsidR="00C07E2D" w:rsidRPr="007D5955" w:rsidRDefault="00E9486C" w:rsidP="00C07E2D">
      <w:pPr>
        <w:pStyle w:val="Beschriftung"/>
        <w:keepNext/>
        <w:spacing w:line="480" w:lineRule="auto"/>
        <w:rPr>
          <w:b w:val="0"/>
          <w:color w:val="auto"/>
          <w:sz w:val="22"/>
          <w:lang w:val="en-GB"/>
        </w:rPr>
      </w:pPr>
      <w:r w:rsidRPr="007D5955">
        <w:rPr>
          <w:color w:val="auto"/>
          <w:sz w:val="22"/>
          <w:lang w:val="en-GB"/>
        </w:rPr>
        <w:lastRenderedPageBreak/>
        <w:t>Supplementary Material</w:t>
      </w:r>
      <w:r w:rsidR="00C07E2D" w:rsidRPr="007D5955">
        <w:rPr>
          <w:color w:val="auto"/>
          <w:sz w:val="22"/>
          <w:lang w:val="en-GB"/>
        </w:rPr>
        <w:t xml:space="preserve"> 1: </w:t>
      </w:r>
      <w:r w:rsidR="00C07E2D" w:rsidRPr="007D5955">
        <w:rPr>
          <w:b w:val="0"/>
          <w:color w:val="auto"/>
          <w:sz w:val="22"/>
          <w:lang w:val="en-GB"/>
        </w:rPr>
        <w:t xml:space="preserve">Definition of acute respiratory infection (ARI) and </w:t>
      </w:r>
      <w:r w:rsidR="00A27617" w:rsidRPr="007D5955">
        <w:rPr>
          <w:b w:val="0"/>
          <w:color w:val="auto"/>
          <w:sz w:val="22"/>
          <w:lang w:val="en-GB"/>
        </w:rPr>
        <w:t xml:space="preserve">acute gastroenteritis (AGE) </w:t>
      </w:r>
      <w:r w:rsidR="00C07E2D" w:rsidRPr="007D5955">
        <w:rPr>
          <w:b w:val="0"/>
          <w:color w:val="auto"/>
          <w:sz w:val="22"/>
          <w:lang w:val="en-GB"/>
        </w:rPr>
        <w:t>episodes</w:t>
      </w:r>
    </w:p>
    <w:tbl>
      <w:tblPr>
        <w:tblStyle w:val="Tabellenraster"/>
        <w:tblW w:w="0" w:type="auto"/>
        <w:tblLook w:val="04A0" w:firstRow="1" w:lastRow="0" w:firstColumn="1" w:lastColumn="0" w:noHBand="0" w:noVBand="1"/>
      </w:tblPr>
      <w:tblGrid>
        <w:gridCol w:w="1526"/>
        <w:gridCol w:w="7686"/>
      </w:tblGrid>
      <w:tr w:rsidR="00C07E2D" w:rsidRPr="007D5955" w:rsidTr="002F365C">
        <w:tc>
          <w:tcPr>
            <w:tcW w:w="1526" w:type="dxa"/>
          </w:tcPr>
          <w:p w:rsidR="00C07E2D" w:rsidRPr="007D5955" w:rsidRDefault="00C07E2D" w:rsidP="002F365C">
            <w:pPr>
              <w:spacing w:line="276" w:lineRule="auto"/>
              <w:jc w:val="left"/>
              <w:rPr>
                <w:b/>
                <w:sz w:val="22"/>
                <w:lang w:val="en-GB"/>
              </w:rPr>
            </w:pPr>
            <w:r w:rsidRPr="007D5955">
              <w:rPr>
                <w:b/>
                <w:sz w:val="22"/>
                <w:lang w:val="en-GB"/>
              </w:rPr>
              <w:t>Disease</w:t>
            </w:r>
          </w:p>
        </w:tc>
        <w:tc>
          <w:tcPr>
            <w:tcW w:w="7686" w:type="dxa"/>
          </w:tcPr>
          <w:p w:rsidR="00C07E2D" w:rsidRPr="007D5955" w:rsidRDefault="00C07E2D" w:rsidP="002F365C">
            <w:pPr>
              <w:spacing w:line="276" w:lineRule="auto"/>
              <w:rPr>
                <w:b/>
                <w:sz w:val="22"/>
                <w:lang w:val="en-GB"/>
              </w:rPr>
            </w:pPr>
            <w:r w:rsidRPr="007D5955">
              <w:rPr>
                <w:b/>
                <w:sz w:val="22"/>
                <w:lang w:val="en-GB"/>
              </w:rPr>
              <w:t>Definition</w:t>
            </w:r>
          </w:p>
        </w:tc>
      </w:tr>
      <w:tr w:rsidR="00C07E2D" w:rsidRPr="007D5955" w:rsidTr="002F365C">
        <w:tc>
          <w:tcPr>
            <w:tcW w:w="1526" w:type="dxa"/>
          </w:tcPr>
          <w:p w:rsidR="00C07E2D" w:rsidRPr="007D5955" w:rsidRDefault="00C07E2D" w:rsidP="008F660D">
            <w:pPr>
              <w:spacing w:line="276" w:lineRule="auto"/>
              <w:jc w:val="left"/>
              <w:rPr>
                <w:b/>
                <w:sz w:val="22"/>
                <w:lang w:val="en-GB"/>
              </w:rPr>
            </w:pPr>
            <w:r w:rsidRPr="007D5955">
              <w:rPr>
                <w:b/>
                <w:sz w:val="22"/>
                <w:lang w:val="en-GB"/>
              </w:rPr>
              <w:t xml:space="preserve">ARI </w:t>
            </w:r>
            <w:r w:rsidRPr="007D5955">
              <w:rPr>
                <w:sz w:val="22"/>
                <w:lang w:val="en-GB"/>
              </w:rPr>
              <w:t>(based on</w:t>
            </w:r>
            <w:r w:rsidRPr="007D5955">
              <w:rPr>
                <w:b/>
                <w:sz w:val="22"/>
                <w:lang w:val="en-GB"/>
              </w:rPr>
              <w:t xml:space="preserve"> </w:t>
            </w:r>
            <w:r w:rsidRPr="007D5955">
              <w:rPr>
                <w:sz w:val="22"/>
                <w:lang w:val="en-GB"/>
              </w:rPr>
              <w:t xml:space="preserve">Lambert et al. </w:t>
            </w:r>
            <w:r w:rsidR="008F660D" w:rsidRPr="007D5955">
              <w:rPr>
                <w:sz w:val="22"/>
                <w:lang w:val="en-GB"/>
              </w:rPr>
              <w:t>2005, Lambert et al. 2007)</w:t>
            </w:r>
          </w:p>
        </w:tc>
        <w:tc>
          <w:tcPr>
            <w:tcW w:w="7686" w:type="dxa"/>
          </w:tcPr>
          <w:p w:rsidR="00C07E2D" w:rsidRPr="007D5955" w:rsidRDefault="00C07E2D" w:rsidP="002F365C">
            <w:pPr>
              <w:spacing w:line="276" w:lineRule="auto"/>
              <w:rPr>
                <w:sz w:val="22"/>
                <w:lang w:val="en-GB"/>
              </w:rPr>
            </w:pPr>
            <w:r w:rsidRPr="007D5955">
              <w:rPr>
                <w:sz w:val="22"/>
                <w:lang w:val="en-GB"/>
              </w:rPr>
              <w:t xml:space="preserve">Either </w:t>
            </w:r>
            <w:r w:rsidRPr="007D5955">
              <w:rPr>
                <w:b/>
                <w:sz w:val="22"/>
                <w:lang w:val="en-GB"/>
              </w:rPr>
              <w:t>one</w:t>
            </w:r>
            <w:r w:rsidRPr="007D5955">
              <w:rPr>
                <w:sz w:val="22"/>
                <w:lang w:val="en-GB"/>
              </w:rPr>
              <w:t xml:space="preserve"> of the below stated symptoms of </w:t>
            </w:r>
            <w:r w:rsidRPr="007D5955">
              <w:rPr>
                <w:b/>
                <w:sz w:val="22"/>
                <w:lang w:val="en-GB"/>
              </w:rPr>
              <w:t xml:space="preserve">category A </w:t>
            </w:r>
          </w:p>
          <w:p w:rsidR="00C07E2D" w:rsidRPr="007D5955" w:rsidRDefault="00C07E2D" w:rsidP="002F365C">
            <w:pPr>
              <w:spacing w:line="276" w:lineRule="auto"/>
              <w:rPr>
                <w:b/>
                <w:sz w:val="22"/>
                <w:lang w:val="en-GB"/>
              </w:rPr>
            </w:pPr>
            <w:r w:rsidRPr="007D5955">
              <w:rPr>
                <w:b/>
                <w:sz w:val="22"/>
                <w:lang w:val="en-GB"/>
              </w:rPr>
              <w:t>and/or</w:t>
            </w:r>
          </w:p>
          <w:p w:rsidR="00C07E2D" w:rsidRPr="007D5955" w:rsidRDefault="00C07E2D" w:rsidP="002F365C">
            <w:pPr>
              <w:spacing w:line="276" w:lineRule="auto"/>
              <w:rPr>
                <w:sz w:val="22"/>
                <w:lang w:val="en-GB"/>
              </w:rPr>
            </w:pPr>
            <w:proofErr w:type="gramStart"/>
            <w:r w:rsidRPr="007D5955">
              <w:rPr>
                <w:b/>
                <w:sz w:val="22"/>
                <w:lang w:val="en-GB"/>
              </w:rPr>
              <w:t>at</w:t>
            </w:r>
            <w:proofErr w:type="gramEnd"/>
            <w:r w:rsidRPr="007D5955">
              <w:rPr>
                <w:b/>
                <w:sz w:val="22"/>
                <w:lang w:val="en-GB"/>
              </w:rPr>
              <w:t xml:space="preserve"> least two</w:t>
            </w:r>
            <w:r w:rsidRPr="007D5955">
              <w:rPr>
                <w:sz w:val="22"/>
                <w:lang w:val="en-GB"/>
              </w:rPr>
              <w:t xml:space="preserve"> (or more) symptoms of </w:t>
            </w:r>
            <w:r w:rsidRPr="007D5955">
              <w:rPr>
                <w:b/>
                <w:sz w:val="22"/>
                <w:lang w:val="en-GB"/>
              </w:rPr>
              <w:t>category B</w:t>
            </w:r>
            <w:r w:rsidRPr="007D5955">
              <w:rPr>
                <w:sz w:val="22"/>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3788"/>
            </w:tblGrid>
            <w:tr w:rsidR="00C07E2D" w:rsidRPr="007D5955" w:rsidTr="002F365C">
              <w:tc>
                <w:tcPr>
                  <w:tcW w:w="3727" w:type="dxa"/>
                </w:tcPr>
                <w:p w:rsidR="00C07E2D" w:rsidRPr="007D5955" w:rsidRDefault="00C07E2D" w:rsidP="002F365C">
                  <w:pPr>
                    <w:spacing w:line="276" w:lineRule="auto"/>
                    <w:rPr>
                      <w:sz w:val="22"/>
                      <w:u w:val="single"/>
                      <w:lang w:val="en-GB"/>
                    </w:rPr>
                  </w:pPr>
                  <w:r w:rsidRPr="007D5955">
                    <w:rPr>
                      <w:sz w:val="22"/>
                      <w:u w:val="single"/>
                      <w:lang w:val="en-GB"/>
                    </w:rPr>
                    <w:t>Category A:</w:t>
                  </w:r>
                </w:p>
                <w:p w:rsidR="00C07E2D" w:rsidRPr="007D5955" w:rsidRDefault="00C07E2D" w:rsidP="00C07E2D">
                  <w:pPr>
                    <w:pStyle w:val="Listenabsatz"/>
                    <w:numPr>
                      <w:ilvl w:val="0"/>
                      <w:numId w:val="1"/>
                    </w:numPr>
                    <w:spacing w:line="276" w:lineRule="auto"/>
                    <w:rPr>
                      <w:sz w:val="22"/>
                      <w:lang w:val="en-GB"/>
                    </w:rPr>
                  </w:pPr>
                  <w:r w:rsidRPr="007D5955">
                    <w:rPr>
                      <w:sz w:val="22"/>
                      <w:lang w:val="en-GB"/>
                    </w:rPr>
                    <w:t>Fever</w:t>
                  </w:r>
                </w:p>
                <w:p w:rsidR="00C07E2D" w:rsidRPr="007D5955" w:rsidRDefault="00C07E2D" w:rsidP="00C07E2D">
                  <w:pPr>
                    <w:pStyle w:val="Listenabsatz"/>
                    <w:numPr>
                      <w:ilvl w:val="0"/>
                      <w:numId w:val="1"/>
                    </w:numPr>
                    <w:spacing w:line="276" w:lineRule="auto"/>
                    <w:rPr>
                      <w:sz w:val="22"/>
                      <w:lang w:val="en-GB"/>
                    </w:rPr>
                  </w:pPr>
                  <w:r w:rsidRPr="007D5955">
                    <w:rPr>
                      <w:sz w:val="22"/>
                      <w:lang w:val="en-GB"/>
                    </w:rPr>
                    <w:t>W</w:t>
                  </w:r>
                  <w:r w:rsidRPr="007D5955">
                    <w:rPr>
                      <w:rFonts w:eastAsiaTheme="majorEastAsia" w:cstheme="majorBidi"/>
                      <w:color w:val="000000" w:themeColor="text1"/>
                      <w:sz w:val="22"/>
                      <w:lang w:val="en-GB"/>
                    </w:rPr>
                    <w:t>heezing</w:t>
                  </w:r>
                </w:p>
                <w:p w:rsidR="00C07E2D" w:rsidRPr="007D5955" w:rsidRDefault="00C07E2D" w:rsidP="00C07E2D">
                  <w:pPr>
                    <w:pStyle w:val="Listenabsatz"/>
                    <w:numPr>
                      <w:ilvl w:val="0"/>
                      <w:numId w:val="1"/>
                    </w:numPr>
                    <w:spacing w:line="276" w:lineRule="auto"/>
                    <w:rPr>
                      <w:sz w:val="22"/>
                      <w:lang w:val="en-GB"/>
                    </w:rPr>
                  </w:pPr>
                  <w:r w:rsidRPr="007D5955">
                    <w:rPr>
                      <w:sz w:val="22"/>
                      <w:lang w:val="en-GB"/>
                    </w:rPr>
                    <w:t>Cough with sputum</w:t>
                  </w:r>
                </w:p>
                <w:p w:rsidR="00C07E2D" w:rsidRPr="007D5955" w:rsidRDefault="00C07E2D" w:rsidP="00C07E2D">
                  <w:pPr>
                    <w:pStyle w:val="Listenabsatz"/>
                    <w:numPr>
                      <w:ilvl w:val="0"/>
                      <w:numId w:val="1"/>
                    </w:numPr>
                    <w:spacing w:line="276" w:lineRule="auto"/>
                    <w:jc w:val="left"/>
                    <w:rPr>
                      <w:rFonts w:eastAsiaTheme="majorEastAsia" w:cstheme="majorBidi"/>
                      <w:color w:val="000000" w:themeColor="text1"/>
                      <w:sz w:val="22"/>
                      <w:lang w:val="en-GB"/>
                    </w:rPr>
                  </w:pPr>
                  <w:r w:rsidRPr="007D5955">
                    <w:rPr>
                      <w:sz w:val="22"/>
                      <w:lang w:val="en-GB"/>
                    </w:rPr>
                    <w:t>Medically diagnosed otitis media or pneumonia</w:t>
                  </w:r>
                </w:p>
                <w:p w:rsidR="00C07E2D" w:rsidRPr="007D5955" w:rsidRDefault="00C07E2D" w:rsidP="002F365C">
                  <w:pPr>
                    <w:spacing w:line="276" w:lineRule="auto"/>
                    <w:rPr>
                      <w:sz w:val="22"/>
                      <w:lang w:val="en-GB"/>
                    </w:rPr>
                  </w:pPr>
                </w:p>
              </w:tc>
              <w:tc>
                <w:tcPr>
                  <w:tcW w:w="3728" w:type="dxa"/>
                </w:tcPr>
                <w:p w:rsidR="00C07E2D" w:rsidRPr="007D5955" w:rsidRDefault="00C07E2D" w:rsidP="002F365C">
                  <w:pPr>
                    <w:spacing w:line="276" w:lineRule="auto"/>
                    <w:rPr>
                      <w:sz w:val="22"/>
                      <w:u w:val="single"/>
                      <w:lang w:val="en-GB"/>
                    </w:rPr>
                  </w:pPr>
                  <w:r w:rsidRPr="007D5955">
                    <w:rPr>
                      <w:sz w:val="22"/>
                      <w:u w:val="single"/>
                      <w:lang w:val="en-GB"/>
                    </w:rPr>
                    <w:t>Category B:</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Cold (runny or blocked nose)</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Cough</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Sore throat</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Pain in the limbs</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Headache</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Shivering</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 xml:space="preserve">Weakness/fatigue/decreased </w:t>
                  </w:r>
                </w:p>
                <w:p w:rsidR="00C07E2D" w:rsidRPr="007D5955" w:rsidRDefault="00C07E2D" w:rsidP="002F365C">
                  <w:pPr>
                    <w:pStyle w:val="Listenabsatz"/>
                    <w:spacing w:line="276" w:lineRule="auto"/>
                    <w:rPr>
                      <w:sz w:val="22"/>
                      <w:lang w:val="en-GB"/>
                    </w:rPr>
                  </w:pPr>
                  <w:r w:rsidRPr="007D5955">
                    <w:rPr>
                      <w:sz w:val="22"/>
                      <w:lang w:val="en-GB"/>
                    </w:rPr>
                    <w:t>activity</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Irritability</w:t>
                  </w:r>
                </w:p>
                <w:p w:rsidR="00C07E2D" w:rsidRPr="007D5955" w:rsidRDefault="00C07E2D" w:rsidP="00C07E2D">
                  <w:pPr>
                    <w:pStyle w:val="Listenabsatz"/>
                    <w:numPr>
                      <w:ilvl w:val="0"/>
                      <w:numId w:val="2"/>
                    </w:numPr>
                    <w:spacing w:line="276" w:lineRule="auto"/>
                    <w:rPr>
                      <w:sz w:val="22"/>
                      <w:lang w:val="en-GB"/>
                    </w:rPr>
                  </w:pPr>
                  <w:r w:rsidRPr="007D5955">
                    <w:rPr>
                      <w:sz w:val="22"/>
                      <w:lang w:val="en-GB"/>
                    </w:rPr>
                    <w:t>Vomiting</w:t>
                  </w:r>
                </w:p>
              </w:tc>
            </w:tr>
          </w:tbl>
          <w:p w:rsidR="00C07E2D" w:rsidRPr="007D5955" w:rsidRDefault="00C07E2D" w:rsidP="002F365C">
            <w:pPr>
              <w:spacing w:line="276" w:lineRule="auto"/>
              <w:rPr>
                <w:sz w:val="22"/>
                <w:lang w:val="en-GB"/>
              </w:rPr>
            </w:pPr>
          </w:p>
        </w:tc>
      </w:tr>
      <w:tr w:rsidR="00C07E2D" w:rsidRPr="007D5955" w:rsidTr="002F365C">
        <w:tc>
          <w:tcPr>
            <w:tcW w:w="1526" w:type="dxa"/>
          </w:tcPr>
          <w:p w:rsidR="00C07E2D" w:rsidRPr="007D5955" w:rsidRDefault="009D60D7" w:rsidP="008F660D">
            <w:pPr>
              <w:spacing w:line="276" w:lineRule="auto"/>
              <w:jc w:val="left"/>
              <w:rPr>
                <w:b/>
                <w:sz w:val="22"/>
                <w:lang w:val="en-GB"/>
              </w:rPr>
            </w:pPr>
            <w:r w:rsidRPr="007D5955">
              <w:rPr>
                <w:b/>
                <w:sz w:val="22"/>
                <w:lang w:val="en-GB"/>
              </w:rPr>
              <w:t>AGE</w:t>
            </w:r>
            <w:r w:rsidR="00C07E2D" w:rsidRPr="007D5955">
              <w:rPr>
                <w:b/>
                <w:sz w:val="22"/>
                <w:lang w:val="en-GB"/>
              </w:rPr>
              <w:t xml:space="preserve"> </w:t>
            </w:r>
            <w:r w:rsidR="00C07E2D" w:rsidRPr="007D5955">
              <w:rPr>
                <w:sz w:val="22"/>
                <w:lang w:val="en-GB"/>
              </w:rPr>
              <w:t>(based on definition of diarrhoea of WHO</w:t>
            </w:r>
            <w:r w:rsidR="008F660D" w:rsidRPr="007D5955">
              <w:rPr>
                <w:sz w:val="22"/>
                <w:lang w:val="en-GB"/>
              </w:rPr>
              <w:t xml:space="preserve"> 2005)</w:t>
            </w:r>
          </w:p>
        </w:tc>
        <w:tc>
          <w:tcPr>
            <w:tcW w:w="7686" w:type="dxa"/>
          </w:tcPr>
          <w:p w:rsidR="00C07E2D" w:rsidRPr="007D5955" w:rsidRDefault="00C07E2D" w:rsidP="002F365C">
            <w:pPr>
              <w:spacing w:line="276" w:lineRule="auto"/>
              <w:rPr>
                <w:sz w:val="22"/>
                <w:lang w:val="en-GB"/>
              </w:rPr>
            </w:pPr>
            <w:r w:rsidRPr="007D5955">
              <w:rPr>
                <w:sz w:val="22"/>
                <w:lang w:val="en-GB"/>
              </w:rPr>
              <w:t xml:space="preserve">At least </w:t>
            </w:r>
            <w:r w:rsidRPr="007D5955">
              <w:rPr>
                <w:b/>
                <w:sz w:val="22"/>
                <w:lang w:val="en-GB"/>
              </w:rPr>
              <w:t>3-times</w:t>
            </w:r>
            <w:r w:rsidRPr="007D5955">
              <w:rPr>
                <w:sz w:val="22"/>
                <w:lang w:val="en-GB"/>
              </w:rPr>
              <w:t xml:space="preserve"> liquid/pasty stool per day (24h)</w:t>
            </w:r>
          </w:p>
          <w:p w:rsidR="00C07E2D" w:rsidRPr="007D5955" w:rsidRDefault="00C07E2D" w:rsidP="002F365C">
            <w:pPr>
              <w:spacing w:line="276" w:lineRule="auto"/>
              <w:rPr>
                <w:b/>
                <w:sz w:val="22"/>
                <w:lang w:val="en-GB"/>
              </w:rPr>
            </w:pPr>
            <w:r w:rsidRPr="007D5955">
              <w:rPr>
                <w:b/>
                <w:sz w:val="22"/>
                <w:lang w:val="en-GB"/>
              </w:rPr>
              <w:t>and/or</w:t>
            </w:r>
          </w:p>
          <w:p w:rsidR="00C07E2D" w:rsidRPr="007D5955" w:rsidRDefault="00C07E2D" w:rsidP="002F365C">
            <w:pPr>
              <w:spacing w:line="276" w:lineRule="auto"/>
              <w:rPr>
                <w:sz w:val="22"/>
                <w:lang w:val="en-GB"/>
              </w:rPr>
            </w:pPr>
            <w:proofErr w:type="gramStart"/>
            <w:r w:rsidRPr="007D5955">
              <w:rPr>
                <w:sz w:val="22"/>
                <w:lang w:val="en-GB"/>
              </w:rPr>
              <w:t>at</w:t>
            </w:r>
            <w:proofErr w:type="gramEnd"/>
            <w:r w:rsidRPr="007D5955">
              <w:rPr>
                <w:sz w:val="22"/>
                <w:lang w:val="en-GB"/>
              </w:rPr>
              <w:t xml:space="preserve"> least </w:t>
            </w:r>
            <w:r w:rsidRPr="007D5955">
              <w:rPr>
                <w:b/>
                <w:sz w:val="22"/>
                <w:lang w:val="en-GB"/>
              </w:rPr>
              <w:t>one time</w:t>
            </w:r>
            <w:r w:rsidRPr="007D5955">
              <w:rPr>
                <w:sz w:val="22"/>
                <w:lang w:val="en-GB"/>
              </w:rPr>
              <w:t xml:space="preserve"> vomiting per day (24h).</w:t>
            </w:r>
          </w:p>
        </w:tc>
      </w:tr>
    </w:tbl>
    <w:p w:rsidR="008F660D" w:rsidRPr="007D5955" w:rsidRDefault="008F660D">
      <w:pPr>
        <w:rPr>
          <w:rFonts w:cs="Times New Roman"/>
          <w:lang w:val="en-GB"/>
        </w:rPr>
      </w:pPr>
    </w:p>
    <w:p w:rsidR="008F660D" w:rsidRPr="007D5955" w:rsidRDefault="008F660D" w:rsidP="008F660D">
      <w:pPr>
        <w:spacing w:after="0" w:line="276" w:lineRule="auto"/>
        <w:rPr>
          <w:rFonts w:cs="Times New Roman"/>
          <w:noProof/>
          <w:sz w:val="22"/>
          <w:lang w:val="en-GB"/>
        </w:rPr>
      </w:pPr>
      <w:r w:rsidRPr="007D5955">
        <w:rPr>
          <w:rFonts w:cs="Times New Roman"/>
          <w:b/>
          <w:noProof/>
          <w:sz w:val="22"/>
          <w:lang w:val="en-GB"/>
        </w:rPr>
        <w:t>Lambert SB, et al.</w:t>
      </w:r>
      <w:r w:rsidRPr="007D5955">
        <w:rPr>
          <w:rFonts w:cs="Times New Roman"/>
          <w:noProof/>
          <w:sz w:val="22"/>
          <w:lang w:val="en-GB"/>
        </w:rPr>
        <w:t xml:space="preserve"> Respiratory illness during winter: a cohort study of urban children from temperate Australia. </w:t>
      </w:r>
      <w:r w:rsidRPr="007D5955">
        <w:rPr>
          <w:rFonts w:cs="Times New Roman"/>
          <w:i/>
          <w:noProof/>
          <w:sz w:val="22"/>
          <w:lang w:val="en-GB"/>
        </w:rPr>
        <w:t>Journal of paediatrics and child health</w:t>
      </w:r>
      <w:r w:rsidRPr="007D5955">
        <w:rPr>
          <w:rFonts w:cs="Times New Roman"/>
          <w:noProof/>
          <w:sz w:val="22"/>
          <w:lang w:val="en-GB"/>
        </w:rPr>
        <w:t xml:space="preserve"> 2005;</w:t>
      </w:r>
      <w:r w:rsidRPr="007D5955">
        <w:rPr>
          <w:rFonts w:cs="Times New Roman"/>
          <w:b/>
          <w:noProof/>
          <w:sz w:val="22"/>
          <w:lang w:val="en-GB"/>
        </w:rPr>
        <w:t xml:space="preserve"> 41</w:t>
      </w:r>
      <w:r w:rsidRPr="007D5955">
        <w:rPr>
          <w:rFonts w:cs="Times New Roman"/>
          <w:noProof/>
          <w:sz w:val="22"/>
          <w:lang w:val="en-GB"/>
        </w:rPr>
        <w:t>(3): 125-129.</w:t>
      </w:r>
    </w:p>
    <w:p w:rsidR="008F660D" w:rsidRPr="007D5955" w:rsidRDefault="008F660D" w:rsidP="008F660D">
      <w:pPr>
        <w:spacing w:after="0" w:line="276" w:lineRule="auto"/>
        <w:rPr>
          <w:rFonts w:cs="Times New Roman"/>
          <w:noProof/>
          <w:sz w:val="22"/>
          <w:lang w:val="en-GB"/>
        </w:rPr>
      </w:pPr>
      <w:r w:rsidRPr="007D5955">
        <w:rPr>
          <w:rFonts w:cs="Times New Roman"/>
          <w:b/>
          <w:noProof/>
          <w:sz w:val="22"/>
          <w:lang w:val="en-GB"/>
        </w:rPr>
        <w:t>Lambert SB, et al.</w:t>
      </w:r>
      <w:r w:rsidRPr="007D5955">
        <w:rPr>
          <w:rFonts w:cs="Times New Roman"/>
          <w:noProof/>
          <w:sz w:val="22"/>
          <w:lang w:val="en-GB"/>
        </w:rPr>
        <w:t xml:space="preserve"> Community epidemiology of human metapneumovirus, human coronavirus NL63, and other respiratory viruses in healthy preschool-aged children using parent-collected specimens. </w:t>
      </w:r>
      <w:r w:rsidRPr="007D5955">
        <w:rPr>
          <w:rFonts w:cs="Times New Roman"/>
          <w:i/>
          <w:noProof/>
          <w:sz w:val="22"/>
          <w:lang w:val="en-GB"/>
        </w:rPr>
        <w:t>Pediatrics</w:t>
      </w:r>
      <w:r w:rsidRPr="007D5955">
        <w:rPr>
          <w:rFonts w:cs="Times New Roman"/>
          <w:noProof/>
          <w:sz w:val="22"/>
          <w:lang w:val="en-GB"/>
        </w:rPr>
        <w:t xml:space="preserve"> 2007;</w:t>
      </w:r>
      <w:r w:rsidRPr="007D5955">
        <w:rPr>
          <w:rFonts w:cs="Times New Roman"/>
          <w:b/>
          <w:noProof/>
          <w:sz w:val="22"/>
          <w:lang w:val="en-GB"/>
        </w:rPr>
        <w:t xml:space="preserve"> 120</w:t>
      </w:r>
      <w:r w:rsidRPr="007D5955">
        <w:rPr>
          <w:rFonts w:cs="Times New Roman"/>
          <w:noProof/>
          <w:sz w:val="22"/>
          <w:lang w:val="en-GB"/>
        </w:rPr>
        <w:t>(4): e929-937.</w:t>
      </w:r>
    </w:p>
    <w:p w:rsidR="008F660D" w:rsidRPr="007D5955" w:rsidRDefault="008F660D" w:rsidP="008F660D">
      <w:pPr>
        <w:spacing w:after="0" w:line="276" w:lineRule="auto"/>
        <w:rPr>
          <w:rFonts w:cs="Times New Roman"/>
          <w:noProof/>
          <w:sz w:val="22"/>
          <w:lang w:val="en-GB"/>
        </w:rPr>
      </w:pPr>
      <w:r w:rsidRPr="007D5955">
        <w:rPr>
          <w:rFonts w:cs="Times New Roman"/>
          <w:b/>
          <w:noProof/>
          <w:sz w:val="22"/>
          <w:lang w:val="en-GB"/>
        </w:rPr>
        <w:t>World Health Organization (WHO)</w:t>
      </w:r>
      <w:r w:rsidRPr="007D5955">
        <w:rPr>
          <w:rFonts w:cs="Times New Roman"/>
          <w:noProof/>
          <w:sz w:val="22"/>
          <w:lang w:val="en-GB"/>
        </w:rPr>
        <w:t>. The treatment of diarrhoea: a manual for physicians and other senior health workers. Geneva: World Health Organization; 2005.</w:t>
      </w:r>
    </w:p>
    <w:p w:rsidR="002F365C" w:rsidRPr="007D5955" w:rsidRDefault="002F365C">
      <w:pPr>
        <w:rPr>
          <w:lang w:val="en-GB"/>
        </w:rPr>
        <w:sectPr w:rsidR="002F365C" w:rsidRPr="007D5955" w:rsidSect="00C67311">
          <w:footerReference w:type="default" r:id="rId8"/>
          <w:pgSz w:w="11906" w:h="16838"/>
          <w:pgMar w:top="1417" w:right="1417" w:bottom="1134" w:left="1417" w:header="708" w:footer="708" w:gutter="0"/>
          <w:cols w:space="708"/>
          <w:docGrid w:linePitch="360"/>
        </w:sectPr>
      </w:pPr>
    </w:p>
    <w:p w:rsidR="00BA04E2" w:rsidRPr="007D5955" w:rsidRDefault="00BA04E2" w:rsidP="00E9486C">
      <w:pPr>
        <w:spacing w:line="360" w:lineRule="auto"/>
        <w:jc w:val="left"/>
        <w:rPr>
          <w:b/>
          <w:sz w:val="22"/>
          <w:lang w:val="en-GB"/>
        </w:rPr>
      </w:pPr>
    </w:p>
    <w:p w:rsidR="008D739B" w:rsidRPr="007D5955" w:rsidRDefault="008D739B" w:rsidP="008D739B">
      <w:pPr>
        <w:spacing w:line="360" w:lineRule="auto"/>
        <w:jc w:val="left"/>
        <w:rPr>
          <w:szCs w:val="24"/>
          <w:lang w:val="en-GB"/>
        </w:rPr>
      </w:pPr>
      <w:r w:rsidRPr="007D5955">
        <w:rPr>
          <w:b/>
          <w:szCs w:val="24"/>
          <w:lang w:val="en-GB"/>
        </w:rPr>
        <w:t>Supplementary Material 2:</w:t>
      </w:r>
      <w:r w:rsidRPr="007D5955">
        <w:rPr>
          <w:szCs w:val="24"/>
          <w:lang w:val="en-GB"/>
        </w:rPr>
        <w:t xml:space="preserve"> Different scenarios for assessment of transmission depending on infectious period of acute respiratory infections </w:t>
      </w:r>
    </w:p>
    <w:p w:rsidR="008D739B" w:rsidRPr="007D5955" w:rsidRDefault="008D739B" w:rsidP="008D739B">
      <w:pPr>
        <w:spacing w:line="360" w:lineRule="auto"/>
        <w:jc w:val="left"/>
        <w:rPr>
          <w:szCs w:val="24"/>
          <w:lang w:val="en-GB"/>
        </w:rPr>
      </w:pPr>
      <w:r w:rsidRPr="007D5955">
        <w:rPr>
          <w:szCs w:val="24"/>
          <w:lang w:val="en-GB"/>
        </w:rPr>
        <w:t>Scenario 1 is the base case scenario, including every observation. In scenario 2, all participants started the observation with a healthy day.  Scenarios 3 to 7 were based on scenario 2 and reflected the information on the infectiousness and the duration of diseases for common respiratory pathogens (</w:t>
      </w:r>
      <w:r w:rsidRPr="007D5955">
        <w:rPr>
          <w:i/>
          <w:szCs w:val="24"/>
          <w:lang w:val="en-GB"/>
        </w:rPr>
        <w:t>see detailed information below the table</w:t>
      </w:r>
      <w:r w:rsidRPr="007D5955">
        <w:rPr>
          <w:szCs w:val="24"/>
          <w:lang w:val="en-GB"/>
        </w:rPr>
        <w:t>).</w:t>
      </w:r>
    </w:p>
    <w:p w:rsidR="008D739B" w:rsidRPr="007D5955" w:rsidRDefault="008D739B" w:rsidP="008D739B">
      <w:pPr>
        <w:spacing w:line="360" w:lineRule="auto"/>
        <w:jc w:val="left"/>
        <w:rPr>
          <w:szCs w:val="24"/>
          <w:lang w:val="en-GB"/>
        </w:rPr>
      </w:pPr>
      <w:r w:rsidRPr="007D5955">
        <w:rPr>
          <w:szCs w:val="24"/>
          <w:lang w:val="en-GB"/>
        </w:rPr>
        <w:t>The number of observed potential transmission events varied by the factor 2.</w:t>
      </w:r>
      <w:r w:rsidR="00424A9F" w:rsidRPr="007D5955">
        <w:rPr>
          <w:szCs w:val="24"/>
          <w:lang w:val="en-GB"/>
        </w:rPr>
        <w:t>4</w:t>
      </w:r>
      <w:r w:rsidRPr="007D5955">
        <w:rPr>
          <w:szCs w:val="24"/>
          <w:lang w:val="en-GB"/>
        </w:rPr>
        <w:t xml:space="preserve"> between the different scenarios. The number of days attributable to transmission increased with an increased assumed duration of infectiousness. Increasing the assumed duration of infectiousness of the primary case resulted in an increased number of transmission episodes and hence there were more days associated with acquired infections. However, it also increases the risk of including transmission in both directions.</w:t>
      </w:r>
    </w:p>
    <w:tbl>
      <w:tblPr>
        <w:tblW w:w="5000" w:type="pct"/>
        <w:tblCellMar>
          <w:left w:w="70" w:type="dxa"/>
          <w:right w:w="70" w:type="dxa"/>
        </w:tblCellMar>
        <w:tblLook w:val="04A0" w:firstRow="1" w:lastRow="0" w:firstColumn="1" w:lastColumn="0" w:noHBand="0" w:noVBand="1"/>
      </w:tblPr>
      <w:tblGrid>
        <w:gridCol w:w="3933"/>
        <w:gridCol w:w="1544"/>
        <w:gridCol w:w="1728"/>
        <w:gridCol w:w="1728"/>
        <w:gridCol w:w="1728"/>
        <w:gridCol w:w="1728"/>
        <w:gridCol w:w="1728"/>
        <w:gridCol w:w="1727"/>
      </w:tblGrid>
      <w:tr w:rsidR="008D739B" w:rsidRPr="007D5955" w:rsidTr="002F365C">
        <w:trPr>
          <w:trHeight w:val="300"/>
        </w:trPr>
        <w:tc>
          <w:tcPr>
            <w:tcW w:w="1241" w:type="pct"/>
            <w:vMerge w:val="restart"/>
            <w:tcBorders>
              <w:top w:val="single" w:sz="8" w:space="0" w:color="auto"/>
              <w:left w:val="single" w:sz="8" w:space="0" w:color="auto"/>
              <w:bottom w:val="nil"/>
              <w:right w:val="nil"/>
            </w:tcBorders>
            <w:shd w:val="clear" w:color="auto" w:fill="auto"/>
            <w:vAlign w:val="center"/>
            <w:hideMark/>
          </w:tcPr>
          <w:p w:rsidR="008D739B" w:rsidRPr="007D5955" w:rsidRDefault="008D739B" w:rsidP="002F365C">
            <w:pPr>
              <w:spacing w:before="0" w:after="0" w:line="276"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 </w:t>
            </w:r>
          </w:p>
        </w:tc>
        <w:tc>
          <w:tcPr>
            <w:tcW w:w="487"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1</w:t>
            </w:r>
            <w:r w:rsidRPr="007D5955">
              <w:rPr>
                <w:rFonts w:eastAsia="Times New Roman" w:cs="Times New Roman"/>
                <w:b/>
                <w:bCs/>
                <w:color w:val="000000"/>
                <w:sz w:val="22"/>
                <w:vertAlign w:val="superscript"/>
                <w:lang w:val="en-GB" w:eastAsia="de-DE"/>
              </w:rPr>
              <w:t>1</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2</w:t>
            </w:r>
            <w:r w:rsidRPr="007D5955">
              <w:rPr>
                <w:rFonts w:eastAsia="Times New Roman" w:cs="Times New Roman"/>
                <w:b/>
                <w:bCs/>
                <w:color w:val="000000"/>
                <w:sz w:val="22"/>
                <w:vertAlign w:val="superscript"/>
                <w:lang w:val="en-GB" w:eastAsia="de-DE"/>
              </w:rPr>
              <w:t>2</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3</w:t>
            </w:r>
            <w:r w:rsidRPr="007D5955">
              <w:rPr>
                <w:rFonts w:eastAsia="Times New Roman" w:cs="Times New Roman"/>
                <w:b/>
                <w:bCs/>
                <w:color w:val="000000"/>
                <w:sz w:val="22"/>
                <w:vertAlign w:val="superscript"/>
                <w:lang w:val="en-GB" w:eastAsia="de-DE"/>
              </w:rPr>
              <w:t>3</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4</w:t>
            </w:r>
            <w:r w:rsidRPr="007D5955">
              <w:rPr>
                <w:rFonts w:eastAsia="Times New Roman" w:cs="Times New Roman"/>
                <w:b/>
                <w:bCs/>
                <w:color w:val="000000"/>
                <w:sz w:val="22"/>
                <w:vertAlign w:val="superscript"/>
                <w:lang w:val="en-GB" w:eastAsia="de-DE"/>
              </w:rPr>
              <w:t>4</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5</w:t>
            </w:r>
            <w:r w:rsidRPr="007D5955">
              <w:rPr>
                <w:rFonts w:eastAsia="Times New Roman" w:cs="Times New Roman"/>
                <w:b/>
                <w:bCs/>
                <w:color w:val="000000"/>
                <w:sz w:val="22"/>
                <w:vertAlign w:val="superscript"/>
                <w:lang w:val="en-GB" w:eastAsia="de-DE"/>
              </w:rPr>
              <w:t>6</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6</w:t>
            </w:r>
            <w:r w:rsidRPr="007D5955">
              <w:rPr>
                <w:rFonts w:eastAsia="Times New Roman" w:cs="Times New Roman"/>
                <w:b/>
                <w:bCs/>
                <w:color w:val="000000"/>
                <w:sz w:val="22"/>
                <w:vertAlign w:val="superscript"/>
                <w:lang w:val="en-GB" w:eastAsia="de-DE"/>
              </w:rPr>
              <w:t>6</w:t>
            </w:r>
          </w:p>
        </w:tc>
        <w:tc>
          <w:tcPr>
            <w:tcW w:w="54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color w:val="000000"/>
                <w:sz w:val="22"/>
                <w:vertAlign w:val="superscript"/>
                <w:lang w:val="en-GB" w:eastAsia="de-DE"/>
              </w:rPr>
            </w:pPr>
            <w:r w:rsidRPr="007D5955">
              <w:rPr>
                <w:rFonts w:eastAsia="Times New Roman" w:cs="Times New Roman"/>
                <w:b/>
                <w:bCs/>
                <w:color w:val="000000"/>
                <w:sz w:val="22"/>
                <w:lang w:val="en-GB" w:eastAsia="de-DE"/>
              </w:rPr>
              <w:t>Scenario 7</w:t>
            </w:r>
            <w:r w:rsidRPr="007D5955">
              <w:rPr>
                <w:rFonts w:eastAsia="Times New Roman" w:cs="Times New Roman"/>
                <w:b/>
                <w:bCs/>
                <w:color w:val="000000"/>
                <w:sz w:val="22"/>
                <w:vertAlign w:val="superscript"/>
                <w:lang w:val="en-GB" w:eastAsia="de-DE"/>
              </w:rPr>
              <w:t>7</w:t>
            </w:r>
          </w:p>
        </w:tc>
      </w:tr>
      <w:tr w:rsidR="008D739B" w:rsidRPr="007D5955" w:rsidTr="002F365C">
        <w:trPr>
          <w:trHeight w:val="228"/>
        </w:trPr>
        <w:tc>
          <w:tcPr>
            <w:tcW w:w="1241" w:type="pct"/>
            <w:vMerge/>
            <w:tcBorders>
              <w:top w:val="single" w:sz="8" w:space="0" w:color="auto"/>
              <w:left w:val="single" w:sz="8" w:space="0" w:color="auto"/>
              <w:bottom w:val="nil"/>
              <w:right w:val="nil"/>
            </w:tcBorders>
            <w:vAlign w:val="center"/>
            <w:hideMark/>
          </w:tcPr>
          <w:p w:rsidR="008D739B" w:rsidRPr="007D5955" w:rsidRDefault="008D739B" w:rsidP="002F365C">
            <w:pPr>
              <w:spacing w:before="0" w:after="0" w:line="276" w:lineRule="auto"/>
              <w:jc w:val="left"/>
              <w:rPr>
                <w:rFonts w:eastAsia="Times New Roman" w:cs="Times New Roman"/>
                <w:color w:val="000000"/>
                <w:sz w:val="22"/>
                <w:lang w:val="en-GB" w:eastAsia="de-DE"/>
              </w:rPr>
            </w:pPr>
          </w:p>
        </w:tc>
        <w:tc>
          <w:tcPr>
            <w:tcW w:w="487" w:type="pct"/>
            <w:tcBorders>
              <w:top w:val="nil"/>
              <w:left w:val="single" w:sz="8" w:space="0" w:color="auto"/>
              <w:bottom w:val="single" w:sz="8" w:space="0" w:color="auto"/>
              <w:right w:val="single" w:sz="4" w:space="0" w:color="auto"/>
            </w:tcBorders>
            <w:shd w:val="clear" w:color="auto" w:fill="auto"/>
            <w:vAlign w:val="center"/>
            <w:hideMark/>
          </w:tcPr>
          <w:p w:rsidR="008D739B" w:rsidRPr="007D5955" w:rsidRDefault="008D739B" w:rsidP="002F365C">
            <w:pPr>
              <w:spacing w:before="0" w:after="0" w:line="276" w:lineRule="auto"/>
              <w:jc w:val="center"/>
              <w:rPr>
                <w:rFonts w:eastAsia="Times New Roman" w:cs="Times New Roman"/>
                <w:b/>
                <w:bCs/>
                <w:i/>
                <w:iCs/>
                <w:color w:val="000000"/>
                <w:sz w:val="22"/>
                <w:lang w:val="en-GB" w:eastAsia="de-DE"/>
              </w:rPr>
            </w:pPr>
            <w:r w:rsidRPr="007D5955">
              <w:rPr>
                <w:rFonts w:eastAsia="Times New Roman" w:cs="Times New Roman"/>
                <w:b/>
                <w:bCs/>
                <w:i/>
                <w:iCs/>
                <w:color w:val="000000"/>
                <w:sz w:val="22"/>
                <w:lang w:val="en-GB" w:eastAsia="de-DE"/>
              </w:rPr>
              <w:t>Base case</w:t>
            </w: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c>
          <w:tcPr>
            <w:tcW w:w="545" w:type="pct"/>
            <w:vMerge/>
            <w:tcBorders>
              <w:top w:val="single" w:sz="8" w:space="0" w:color="auto"/>
              <w:left w:val="single" w:sz="4" w:space="0" w:color="auto"/>
              <w:bottom w:val="single" w:sz="8" w:space="0" w:color="000000"/>
              <w:right w:val="single" w:sz="4" w:space="0" w:color="auto"/>
            </w:tcBorders>
            <w:vAlign w:val="center"/>
            <w:hideMark/>
          </w:tcPr>
          <w:p w:rsidR="008D739B" w:rsidRPr="007D5955" w:rsidRDefault="008D739B" w:rsidP="002F365C">
            <w:pPr>
              <w:spacing w:before="0" w:after="0" w:line="276" w:lineRule="auto"/>
              <w:jc w:val="left"/>
              <w:rPr>
                <w:rFonts w:eastAsia="Times New Roman" w:cs="Times New Roman"/>
                <w:b/>
                <w:bCs/>
                <w:color w:val="000000"/>
                <w:sz w:val="22"/>
                <w:lang w:val="en-GB" w:eastAsia="de-DE"/>
              </w:rPr>
            </w:pPr>
          </w:p>
        </w:tc>
      </w:tr>
      <w:tr w:rsidR="008D739B" w:rsidRPr="007D5955" w:rsidTr="002F365C">
        <w:trPr>
          <w:trHeight w:val="300"/>
        </w:trPr>
        <w:tc>
          <w:tcPr>
            <w:tcW w:w="124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76"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observed infection episodes</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608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76"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546</w:t>
            </w:r>
          </w:p>
        </w:tc>
      </w:tr>
      <w:tr w:rsidR="008D739B" w:rsidRPr="007D5955" w:rsidTr="002F365C">
        <w:trPr>
          <w:trHeight w:val="51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households with at least one infection</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75</w:t>
            </w:r>
          </w:p>
        </w:tc>
      </w:tr>
      <w:tr w:rsidR="008D739B" w:rsidRPr="007D5955" w:rsidTr="002F365C">
        <w:trPr>
          <w:trHeight w:val="51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households with at least one potential transmission event</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60</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49</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49</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55</w:t>
            </w:r>
          </w:p>
        </w:tc>
      </w:tr>
      <w:tr w:rsidR="008D739B" w:rsidRPr="007D5955" w:rsidTr="002F365C">
        <w:trPr>
          <w:trHeight w:val="51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 xml:space="preserve">Number of infection episodes </w:t>
            </w:r>
            <w:r w:rsidRPr="007D5955">
              <w:rPr>
                <w:rFonts w:eastAsia="Times New Roman" w:cs="Times New Roman"/>
                <w:color w:val="000000"/>
                <w:sz w:val="22"/>
                <w:u w:val="single"/>
                <w:lang w:val="en-GB" w:eastAsia="de-DE"/>
              </w:rPr>
              <w:t xml:space="preserve">not resulting </w:t>
            </w:r>
            <w:r w:rsidRPr="007D5955">
              <w:rPr>
                <w:rFonts w:eastAsia="Times New Roman" w:cs="Times New Roman"/>
                <w:color w:val="000000"/>
                <w:sz w:val="22"/>
                <w:lang w:val="en-GB" w:eastAsia="de-DE"/>
              </w:rPr>
              <w:t>in transmission events</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254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219</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292</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292</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324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209</w:t>
            </w:r>
          </w:p>
        </w:tc>
      </w:tr>
      <w:tr w:rsidR="008D739B" w:rsidRPr="007D5955" w:rsidTr="002F365C">
        <w:trPr>
          <w:trHeight w:val="30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secondary cases potentially resulting from transmission events</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212</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196</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138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188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171</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243</w:t>
            </w:r>
          </w:p>
        </w:tc>
      </w:tr>
      <w:tr w:rsidR="008D739B" w:rsidRPr="007D5955" w:rsidTr="002F365C">
        <w:trPr>
          <w:trHeight w:val="30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days with symptoms</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4383</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3955</w:t>
            </w:r>
          </w:p>
        </w:tc>
      </w:tr>
      <w:tr w:rsidR="008D739B" w:rsidRPr="007D5955" w:rsidTr="002F365C">
        <w:trPr>
          <w:trHeight w:val="51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infectious days according to the respective definition</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3398</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3139</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644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1115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474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817</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3846</w:t>
            </w:r>
          </w:p>
        </w:tc>
      </w:tr>
      <w:tr w:rsidR="008D739B" w:rsidRPr="007D5955" w:rsidTr="002F365C">
        <w:trPr>
          <w:trHeight w:val="51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sz w:val="22"/>
                <w:lang w:val="en-GB" w:eastAsia="de-DE"/>
              </w:rPr>
            </w:pPr>
            <w:r w:rsidRPr="007D5955">
              <w:rPr>
                <w:rFonts w:eastAsia="Times New Roman" w:cs="Times New Roman"/>
                <w:sz w:val="22"/>
                <w:lang w:val="en-GB" w:eastAsia="de-DE"/>
              </w:rPr>
              <w:t>Number of days potentially resulting from transmission</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1589</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1464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970</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1303</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852</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1194</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1763</w:t>
            </w:r>
          </w:p>
        </w:tc>
      </w:tr>
      <w:tr w:rsidR="008D739B" w:rsidRPr="007D5955" w:rsidTr="002F365C">
        <w:trPr>
          <w:trHeight w:val="600"/>
        </w:trPr>
        <w:tc>
          <w:tcPr>
            <w:tcW w:w="1241" w:type="pct"/>
            <w:tcBorders>
              <w:top w:val="nil"/>
              <w:left w:val="single" w:sz="8" w:space="0" w:color="auto"/>
              <w:bottom w:val="single" w:sz="4"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sz w:val="22"/>
                <w:lang w:val="en-GB" w:eastAsia="de-DE"/>
              </w:rPr>
            </w:pPr>
            <w:r w:rsidRPr="007D5955">
              <w:rPr>
                <w:rFonts w:eastAsia="Times New Roman" w:cs="Times New Roman"/>
                <w:sz w:val="22"/>
                <w:lang w:val="en-GB" w:eastAsia="de-DE"/>
              </w:rPr>
              <w:t>% of all symptomatic days potentially attributable to within household transmission</w:t>
            </w:r>
          </w:p>
        </w:tc>
        <w:tc>
          <w:tcPr>
            <w:tcW w:w="487"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36.3</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37.0</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24.5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33.0</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21.5</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30.2</w:t>
            </w:r>
          </w:p>
        </w:tc>
        <w:tc>
          <w:tcPr>
            <w:tcW w:w="545"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44.6</w:t>
            </w:r>
          </w:p>
        </w:tc>
      </w:tr>
      <w:tr w:rsidR="008D739B" w:rsidRPr="007D5955" w:rsidTr="002F365C">
        <w:trPr>
          <w:trHeight w:val="525"/>
        </w:trPr>
        <w:tc>
          <w:tcPr>
            <w:tcW w:w="1241" w:type="pct"/>
            <w:tcBorders>
              <w:top w:val="nil"/>
              <w:left w:val="single" w:sz="8" w:space="0" w:color="auto"/>
              <w:bottom w:val="single" w:sz="8" w:space="0" w:color="auto"/>
              <w:right w:val="single" w:sz="8" w:space="0" w:color="auto"/>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potential transmission events</w:t>
            </w:r>
          </w:p>
        </w:tc>
        <w:tc>
          <w:tcPr>
            <w:tcW w:w="487"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277</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254</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161</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223</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134</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196</w:t>
            </w:r>
          </w:p>
        </w:tc>
        <w:tc>
          <w:tcPr>
            <w:tcW w:w="545"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316</w:t>
            </w:r>
          </w:p>
        </w:tc>
      </w:tr>
    </w:tbl>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1 </w:t>
      </w:r>
      <w:r w:rsidRPr="007D5955">
        <w:rPr>
          <w:szCs w:val="18"/>
          <w:lang w:val="en-GB"/>
        </w:rPr>
        <w:t xml:space="preserve">All cases; </w:t>
      </w:r>
      <w:r w:rsidRPr="007D5955">
        <w:rPr>
          <w:b/>
          <w:szCs w:val="18"/>
          <w:lang w:val="en-GB"/>
        </w:rPr>
        <w:t>case definition of secondary case:</w:t>
      </w:r>
      <w:r w:rsidRPr="007D5955">
        <w:rPr>
          <w:szCs w:val="18"/>
          <w:lang w:val="en-GB"/>
        </w:rPr>
        <w:t xml:space="preserve"> can acquire infection during all symptomatic days of the primary case.</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2 </w:t>
      </w:r>
      <w:r w:rsidRPr="007D5955">
        <w:rPr>
          <w:szCs w:val="18"/>
          <w:lang w:val="en-GB"/>
        </w:rPr>
        <w:t xml:space="preserve">Start of observation with a healthy day, because people might start documenting when they are affected by an infection </w:t>
      </w:r>
      <w:r w:rsidRPr="007D5955">
        <w:rPr>
          <w:szCs w:val="18"/>
          <w:lang w:val="en-GB"/>
        </w:rPr>
        <w:fldChar w:fldCharType="begin">
          <w:fldData xml:space="preserve">PEVuZE5vdGU+PENpdGU+PEF1dGhvcj5CYXllcjwvQXV0aG9yPjxZZWFyPjIwMTQ8L1llYXI+PFJl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</w:fldData>
        </w:fldChar>
      </w:r>
      <w:r w:rsidRPr="007D5955">
        <w:rPr>
          <w:szCs w:val="18"/>
          <w:lang w:val="en-GB"/>
        </w:rPr>
        <w:instrText xml:space="preserve"> ADDIN EN.CITE </w:instrText>
      </w:r>
      <w:r w:rsidRPr="007D5955">
        <w:rPr>
          <w:szCs w:val="18"/>
          <w:lang w:val="en-GB"/>
        </w:rPr>
        <w:fldChar w:fldCharType="begin">
          <w:fldData xml:space="preserve">PEVuZE5vdGU+PENpdGU+PEF1dGhvcj5CYXllcjwvQXV0aG9yPjxZZWFyPjIwMTQ8L1llYXI+PFJl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</w:fldData>
        </w:fldChar>
      </w:r>
      <w:r w:rsidRPr="007D5955">
        <w:rPr>
          <w:szCs w:val="18"/>
          <w:lang w:val="en-GB"/>
        </w:rPr>
        <w:instrText xml:space="preserve"> ADDIN EN.CITE.DATA </w:instrText>
      </w:r>
      <w:r w:rsidRPr="007D5955">
        <w:rPr>
          <w:szCs w:val="18"/>
          <w:lang w:val="en-GB"/>
        </w:rPr>
      </w:r>
      <w:r w:rsidRPr="007D5955">
        <w:rPr>
          <w:szCs w:val="18"/>
          <w:lang w:val="en-GB"/>
        </w:rPr>
        <w:fldChar w:fldCharType="end"/>
      </w:r>
      <w:r w:rsidRPr="007D5955">
        <w:rPr>
          <w:szCs w:val="18"/>
          <w:lang w:val="en-GB"/>
        </w:rPr>
      </w:r>
      <w:r w:rsidRPr="007D5955">
        <w:rPr>
          <w:szCs w:val="18"/>
          <w:lang w:val="en-GB"/>
        </w:rPr>
        <w:fldChar w:fldCharType="separate"/>
      </w:r>
      <w:r w:rsidRPr="007D5955">
        <w:rPr>
          <w:noProof/>
          <w:szCs w:val="18"/>
          <w:lang w:val="en-GB"/>
        </w:rPr>
        <w:t>(</w:t>
      </w:r>
      <w:r w:rsidRPr="007D5955">
        <w:rPr>
          <w:b/>
          <w:noProof/>
          <w:szCs w:val="18"/>
          <w:lang w:val="en-GB"/>
        </w:rPr>
        <w:t>Bayer et al.</w:t>
      </w:r>
      <w:r w:rsidRPr="007D5955">
        <w:rPr>
          <w:noProof/>
          <w:szCs w:val="18"/>
          <w:lang w:val="en-GB"/>
        </w:rPr>
        <w:t>, 2014)</w:t>
      </w:r>
      <w:r w:rsidRPr="007D5955">
        <w:rPr>
          <w:szCs w:val="18"/>
          <w:lang w:val="en-GB"/>
        </w:rPr>
        <w:fldChar w:fldCharType="end"/>
      </w:r>
      <w:r w:rsidRPr="007D5955">
        <w:rPr>
          <w:szCs w:val="18"/>
          <w:lang w:val="en-GB"/>
        </w:rPr>
        <w:t xml:space="preserve">; </w:t>
      </w:r>
      <w:r w:rsidRPr="007D5955">
        <w:rPr>
          <w:b/>
          <w:szCs w:val="18"/>
          <w:lang w:val="en-GB"/>
        </w:rPr>
        <w:t>case definition of secondary case:</w:t>
      </w:r>
      <w:r w:rsidRPr="007D5955">
        <w:rPr>
          <w:szCs w:val="18"/>
          <w:lang w:val="en-GB"/>
        </w:rPr>
        <w:t xml:space="preserve"> can acquire infection during all symptomatic days of the primary case.</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3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first five days after onset of symptoms in the primary case, because common cold is infectious for five days after onset of symptoms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4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first five days after- and one day before onset of symptoms in the primary case, because common cold is also infectious one day before onset of symptoms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5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symptomatic days, but a maximum of five days since onset of symptoms in the primary case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6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symptomatic days, but a maximum of five days since onset of symptoms, and additionally one day before onset of symptoms in the primary case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7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all symptomatic days and one day before onset of symptoms in the primary case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 xml:space="preserve">. </w:t>
      </w:r>
    </w:p>
    <w:p w:rsidR="008D739B" w:rsidRPr="007D5955" w:rsidRDefault="008D739B" w:rsidP="008D739B">
      <w:pPr>
        <w:spacing w:before="0" w:after="0" w:line="276" w:lineRule="auto"/>
        <w:jc w:val="left"/>
        <w:rPr>
          <w:sz w:val="22"/>
          <w:szCs w:val="18"/>
          <w:lang w:val="en-GB"/>
        </w:rPr>
      </w:pPr>
    </w:p>
    <w:p w:rsidR="008D739B" w:rsidRPr="007D5955" w:rsidRDefault="008D739B" w:rsidP="008D739B">
      <w:pPr>
        <w:spacing w:before="0" w:after="0" w:line="276" w:lineRule="auto"/>
        <w:jc w:val="left"/>
        <w:rPr>
          <w:sz w:val="22"/>
          <w:szCs w:val="18"/>
          <w:lang w:val="en-GB"/>
        </w:rPr>
      </w:pPr>
    </w:p>
    <w:p w:rsidR="00C100AC" w:rsidRPr="007D5955" w:rsidRDefault="00C100AC" w:rsidP="008D739B">
      <w:pPr>
        <w:spacing w:before="0" w:after="0" w:line="276" w:lineRule="auto"/>
        <w:jc w:val="left"/>
        <w:rPr>
          <w:sz w:val="22"/>
          <w:szCs w:val="18"/>
          <w:lang w:val="en-GB"/>
        </w:rPr>
      </w:pPr>
    </w:p>
    <w:p w:rsidR="008D739B" w:rsidRPr="007D5955" w:rsidRDefault="008D739B" w:rsidP="008D739B">
      <w:pPr>
        <w:spacing w:before="0" w:after="0" w:line="276" w:lineRule="auto"/>
        <w:jc w:val="left"/>
        <w:rPr>
          <w:b/>
          <w:sz w:val="22"/>
          <w:szCs w:val="18"/>
          <w:lang w:val="en-GB"/>
        </w:rPr>
      </w:pPr>
      <w:r w:rsidRPr="007D5955">
        <w:rPr>
          <w:b/>
          <w:sz w:val="22"/>
          <w:szCs w:val="18"/>
          <w:lang w:val="en-GB"/>
        </w:rPr>
        <w:t>References:</w:t>
      </w:r>
    </w:p>
    <w:p w:rsidR="008D739B" w:rsidRPr="007D5955" w:rsidRDefault="008D739B" w:rsidP="008D739B">
      <w:pPr>
        <w:pStyle w:val="EndNoteBibliography"/>
        <w:spacing w:after="0"/>
        <w:ind w:left="720" w:hanging="720"/>
        <w:rPr>
          <w:sz w:val="22"/>
          <w:lang w:val="en-GB"/>
        </w:rPr>
      </w:pPr>
      <w:r w:rsidRPr="007D5955">
        <w:rPr>
          <w:sz w:val="20"/>
          <w:szCs w:val="18"/>
          <w:lang w:val="en-GB"/>
        </w:rPr>
        <w:fldChar w:fldCharType="begin"/>
      </w:r>
      <w:r w:rsidRPr="007D5955">
        <w:rPr>
          <w:sz w:val="20"/>
          <w:szCs w:val="18"/>
          <w:lang w:val="en-GB"/>
        </w:rPr>
        <w:instrText xml:space="preserve"> ADDIN EN.REFLIST </w:instrText>
      </w:r>
      <w:r w:rsidRPr="007D5955">
        <w:rPr>
          <w:sz w:val="20"/>
          <w:szCs w:val="18"/>
          <w:lang w:val="en-GB"/>
        </w:rPr>
        <w:fldChar w:fldCharType="separate"/>
      </w:r>
      <w:r w:rsidRPr="007D5955">
        <w:rPr>
          <w:b/>
          <w:sz w:val="22"/>
          <w:lang w:val="en-GB"/>
        </w:rPr>
        <w:t>Bayer C, Remschmidt C, an der Heiden M, Tolksdorf K, Herzhoff M, Kaersten S, Buda S, Haas W &amp; Buchholz U</w:t>
      </w:r>
      <w:r w:rsidRPr="007D5955">
        <w:rPr>
          <w:sz w:val="22"/>
          <w:lang w:val="en-GB"/>
        </w:rPr>
        <w:t xml:space="preserve">. (2014). Internet-Based Syndromic Monitoring of Acute Respiratory Illness in the General Population of Germany, Weeks 35/2011 to 34/2012. </w:t>
      </w:r>
      <w:r w:rsidRPr="007D5955">
        <w:rPr>
          <w:i/>
          <w:sz w:val="22"/>
          <w:lang w:val="en-GB"/>
        </w:rPr>
        <w:t>Euro Surveill, 19</w:t>
      </w:r>
      <w:r w:rsidRPr="007D5955">
        <w:rPr>
          <w:sz w:val="22"/>
          <w:lang w:val="en-GB"/>
        </w:rPr>
        <w:t xml:space="preserve">(4). </w:t>
      </w:r>
    </w:p>
    <w:p w:rsidR="008D739B" w:rsidRPr="007D5955" w:rsidRDefault="008D739B" w:rsidP="008D739B">
      <w:pPr>
        <w:pStyle w:val="EndNoteBibliography"/>
        <w:ind w:left="720" w:hanging="720"/>
        <w:rPr>
          <w:sz w:val="22"/>
          <w:lang w:val="en-GB"/>
        </w:rPr>
      </w:pPr>
      <w:r w:rsidRPr="007D5955">
        <w:rPr>
          <w:b/>
          <w:sz w:val="22"/>
          <w:lang w:val="en-GB"/>
        </w:rPr>
        <w:t>Heymann DL</w:t>
      </w:r>
      <w:r w:rsidRPr="007D5955">
        <w:rPr>
          <w:sz w:val="22"/>
          <w:lang w:val="en-GB"/>
        </w:rPr>
        <w:t xml:space="preserve">. (2008). </w:t>
      </w:r>
      <w:r w:rsidRPr="007D5955">
        <w:rPr>
          <w:i/>
          <w:sz w:val="22"/>
          <w:lang w:val="en-GB"/>
        </w:rPr>
        <w:t>Control of Communicable Diseases Manual</w:t>
      </w:r>
      <w:r w:rsidRPr="007D5955">
        <w:rPr>
          <w:sz w:val="22"/>
          <w:lang w:val="en-GB"/>
        </w:rPr>
        <w:t xml:space="preserve"> (Heymann DL Ed.  Vol. 19th). Washington: American Public Health Association.</w:t>
      </w:r>
    </w:p>
    <w:p w:rsidR="008D739B" w:rsidRPr="007D5955" w:rsidRDefault="008D739B" w:rsidP="008D739B">
      <w:pPr>
        <w:spacing w:before="0" w:after="0" w:line="276" w:lineRule="auto"/>
        <w:jc w:val="left"/>
        <w:rPr>
          <w:sz w:val="22"/>
          <w:szCs w:val="18"/>
          <w:lang w:val="en-GB"/>
        </w:rPr>
      </w:pPr>
      <w:r w:rsidRPr="007D5955">
        <w:rPr>
          <w:sz w:val="20"/>
          <w:szCs w:val="18"/>
          <w:lang w:val="en-GB"/>
        </w:rPr>
        <w:fldChar w:fldCharType="end"/>
      </w:r>
    </w:p>
    <w:p w:rsidR="00BA04E2" w:rsidRPr="007D5955" w:rsidRDefault="00BA04E2" w:rsidP="00E9486C">
      <w:pPr>
        <w:spacing w:line="360" w:lineRule="auto"/>
        <w:jc w:val="left"/>
        <w:rPr>
          <w:b/>
          <w:sz w:val="22"/>
          <w:lang w:val="en-GB"/>
        </w:rPr>
      </w:pPr>
    </w:p>
    <w:p w:rsidR="008D739B" w:rsidRPr="007D5955" w:rsidRDefault="008D739B">
      <w:pPr>
        <w:spacing w:before="0" w:after="200" w:line="276" w:lineRule="auto"/>
        <w:jc w:val="left"/>
        <w:rPr>
          <w:b/>
          <w:sz w:val="22"/>
          <w:lang w:val="en-GB"/>
        </w:rPr>
      </w:pPr>
      <w:r w:rsidRPr="007D5955">
        <w:rPr>
          <w:b/>
          <w:sz w:val="22"/>
          <w:lang w:val="en-GB"/>
        </w:rPr>
        <w:br w:type="page"/>
      </w:r>
    </w:p>
    <w:p w:rsidR="008D739B" w:rsidRPr="007D5955" w:rsidRDefault="008D739B" w:rsidP="008D739B">
      <w:pPr>
        <w:spacing w:line="360" w:lineRule="auto"/>
        <w:jc w:val="left"/>
        <w:rPr>
          <w:lang w:val="en-GB"/>
        </w:rPr>
      </w:pPr>
      <w:r w:rsidRPr="007D5955">
        <w:rPr>
          <w:b/>
          <w:szCs w:val="24"/>
          <w:lang w:val="en-GB"/>
        </w:rPr>
        <w:lastRenderedPageBreak/>
        <w:t xml:space="preserve">Supplementary Material </w:t>
      </w:r>
      <w:r w:rsidRPr="007D5955">
        <w:rPr>
          <w:b/>
          <w:lang w:val="en-GB"/>
        </w:rPr>
        <w:t>3:</w:t>
      </w:r>
      <w:r w:rsidRPr="007D5955">
        <w:rPr>
          <w:lang w:val="en-GB"/>
        </w:rPr>
        <w:t xml:space="preserve"> Different scenarios for assessment of transmission depending on infectious period of gastroenteritis</w:t>
      </w:r>
    </w:p>
    <w:p w:rsidR="008D739B" w:rsidRPr="007D5955" w:rsidRDefault="008D739B" w:rsidP="008D739B">
      <w:pPr>
        <w:spacing w:line="360" w:lineRule="auto"/>
        <w:jc w:val="left"/>
        <w:rPr>
          <w:lang w:val="en-GB"/>
        </w:rPr>
      </w:pPr>
      <w:r w:rsidRPr="007D5955">
        <w:rPr>
          <w:lang w:val="en-GB"/>
        </w:rPr>
        <w:t>Scenario 1 is the base case scenario, including every observation. In scenario 2, all participants started the observation with a healthy day.  Scenarios 3 to 7 were based on scenario 2 and reflected the information on the infectiousness and the duration of diseases for common gastrointestinal pathogens (</w:t>
      </w:r>
      <w:r w:rsidRPr="007D5955">
        <w:rPr>
          <w:i/>
          <w:lang w:val="en-GB"/>
        </w:rPr>
        <w:t>see detailed information below the table</w:t>
      </w:r>
      <w:r w:rsidRPr="007D5955">
        <w:rPr>
          <w:lang w:val="en-GB"/>
        </w:rPr>
        <w:t>).</w:t>
      </w:r>
    </w:p>
    <w:p w:rsidR="008D739B" w:rsidRPr="007D5955" w:rsidRDefault="008D739B" w:rsidP="008D739B">
      <w:pPr>
        <w:spacing w:line="360" w:lineRule="auto"/>
        <w:jc w:val="left"/>
        <w:rPr>
          <w:lang w:val="en-GB"/>
        </w:rPr>
      </w:pPr>
      <w:r w:rsidRPr="007D5955">
        <w:rPr>
          <w:lang w:val="en-GB"/>
        </w:rPr>
        <w:t>The number of observed potential transmission events varied by the factor 3.7 between the different scenarios. The percentage of all symptomatic days, potentially attributable to acquired infections from within the household, also varied by a factor of 2.5 across the scenarios. Increasing the assumed duration of infectiousness of the primary case resulted in an increased number of transmission episodes and hence there were more days associated with acquired infections. However, it also increases the risk of including transmission in both directions.</w:t>
      </w:r>
    </w:p>
    <w:tbl>
      <w:tblPr>
        <w:tblW w:w="5000" w:type="pct"/>
        <w:tblCellMar>
          <w:left w:w="70" w:type="dxa"/>
          <w:right w:w="70" w:type="dxa"/>
        </w:tblCellMar>
        <w:tblLook w:val="04A0" w:firstRow="1" w:lastRow="0" w:firstColumn="1" w:lastColumn="0" w:noHBand="0" w:noVBand="1"/>
      </w:tblPr>
      <w:tblGrid>
        <w:gridCol w:w="3743"/>
        <w:gridCol w:w="1730"/>
        <w:gridCol w:w="1730"/>
        <w:gridCol w:w="1730"/>
        <w:gridCol w:w="1730"/>
        <w:gridCol w:w="1730"/>
        <w:gridCol w:w="1730"/>
        <w:gridCol w:w="1721"/>
      </w:tblGrid>
      <w:tr w:rsidR="008D739B" w:rsidRPr="007D5955" w:rsidTr="002F365C">
        <w:trPr>
          <w:trHeight w:val="322"/>
        </w:trPr>
        <w:tc>
          <w:tcPr>
            <w:tcW w:w="1181" w:type="pct"/>
            <w:vMerge w:val="restart"/>
            <w:tcBorders>
              <w:top w:val="single" w:sz="8" w:space="0" w:color="auto"/>
              <w:left w:val="single" w:sz="8" w:space="0" w:color="auto"/>
              <w:bottom w:val="nil"/>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 </w:t>
            </w:r>
          </w:p>
        </w:tc>
        <w:tc>
          <w:tcPr>
            <w:tcW w:w="54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1</w:t>
            </w:r>
            <w:r w:rsidRPr="007D5955">
              <w:rPr>
                <w:rFonts w:eastAsia="Times New Roman" w:cs="Times New Roman"/>
                <w:b/>
                <w:bCs/>
                <w:color w:val="000000"/>
                <w:sz w:val="22"/>
                <w:vertAlign w:val="superscript"/>
                <w:lang w:val="en-GB" w:eastAsia="de-DE"/>
              </w:rPr>
              <w:t>1</w:t>
            </w:r>
          </w:p>
        </w:tc>
        <w:tc>
          <w:tcPr>
            <w:tcW w:w="54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2</w:t>
            </w:r>
            <w:r w:rsidRPr="007D5955">
              <w:rPr>
                <w:rFonts w:eastAsia="Times New Roman" w:cs="Times New Roman"/>
                <w:b/>
                <w:bCs/>
                <w:color w:val="000000"/>
                <w:sz w:val="22"/>
                <w:vertAlign w:val="superscript"/>
                <w:lang w:val="en-GB" w:eastAsia="de-DE"/>
              </w:rPr>
              <w:t>2</w:t>
            </w:r>
          </w:p>
        </w:tc>
        <w:tc>
          <w:tcPr>
            <w:tcW w:w="54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3</w:t>
            </w:r>
            <w:r w:rsidRPr="007D5955">
              <w:rPr>
                <w:rFonts w:eastAsia="Times New Roman" w:cs="Times New Roman"/>
                <w:b/>
                <w:bCs/>
                <w:color w:val="000000"/>
                <w:sz w:val="22"/>
                <w:vertAlign w:val="superscript"/>
                <w:lang w:val="en-GB" w:eastAsia="de-DE"/>
              </w:rPr>
              <w:t>3</w:t>
            </w:r>
          </w:p>
        </w:tc>
        <w:tc>
          <w:tcPr>
            <w:tcW w:w="54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4</w:t>
            </w:r>
            <w:r w:rsidRPr="007D5955">
              <w:rPr>
                <w:rFonts w:eastAsia="Times New Roman" w:cs="Times New Roman"/>
                <w:b/>
                <w:bCs/>
                <w:color w:val="000000"/>
                <w:sz w:val="22"/>
                <w:vertAlign w:val="superscript"/>
                <w:lang w:val="en-GB" w:eastAsia="de-DE"/>
              </w:rPr>
              <w:t>4</w:t>
            </w:r>
          </w:p>
        </w:tc>
        <w:tc>
          <w:tcPr>
            <w:tcW w:w="54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5</w:t>
            </w:r>
            <w:r w:rsidRPr="007D5955">
              <w:rPr>
                <w:rFonts w:eastAsia="Times New Roman" w:cs="Times New Roman"/>
                <w:b/>
                <w:bCs/>
                <w:color w:val="000000"/>
                <w:sz w:val="22"/>
                <w:vertAlign w:val="superscript"/>
                <w:lang w:val="en-GB" w:eastAsia="de-DE"/>
              </w:rPr>
              <w:t>5</w:t>
            </w:r>
          </w:p>
        </w:tc>
        <w:tc>
          <w:tcPr>
            <w:tcW w:w="54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6</w:t>
            </w:r>
            <w:r w:rsidRPr="007D5955">
              <w:rPr>
                <w:rFonts w:eastAsia="Times New Roman" w:cs="Times New Roman"/>
                <w:b/>
                <w:bCs/>
                <w:color w:val="000000"/>
                <w:sz w:val="22"/>
                <w:vertAlign w:val="superscript"/>
                <w:lang w:val="en-GB" w:eastAsia="de-DE"/>
              </w:rPr>
              <w:t>6</w:t>
            </w:r>
          </w:p>
        </w:tc>
        <w:tc>
          <w:tcPr>
            <w:tcW w:w="54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Scenario 7</w:t>
            </w:r>
            <w:r w:rsidRPr="007D5955">
              <w:rPr>
                <w:rFonts w:eastAsia="Times New Roman" w:cs="Times New Roman"/>
                <w:b/>
                <w:bCs/>
                <w:color w:val="000000"/>
                <w:sz w:val="22"/>
                <w:vertAlign w:val="superscript"/>
                <w:lang w:val="en-GB" w:eastAsia="de-DE"/>
              </w:rPr>
              <w:t>7</w:t>
            </w:r>
          </w:p>
        </w:tc>
      </w:tr>
      <w:tr w:rsidR="008D739B" w:rsidRPr="007D5955" w:rsidTr="002F365C">
        <w:trPr>
          <w:trHeight w:val="141"/>
        </w:trPr>
        <w:tc>
          <w:tcPr>
            <w:tcW w:w="1181" w:type="pct"/>
            <w:vMerge/>
            <w:tcBorders>
              <w:top w:val="single" w:sz="8" w:space="0" w:color="auto"/>
              <w:left w:val="single" w:sz="8" w:space="0" w:color="auto"/>
              <w:bottom w:val="nil"/>
              <w:right w:val="nil"/>
            </w:tcBorders>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center"/>
              <w:rPr>
                <w:rFonts w:eastAsia="Times New Roman" w:cs="Times New Roman"/>
                <w:b/>
                <w:bCs/>
                <w:i/>
                <w:iCs/>
                <w:color w:val="000000"/>
                <w:sz w:val="22"/>
                <w:lang w:val="en-GB" w:eastAsia="de-DE"/>
              </w:rPr>
            </w:pPr>
            <w:r w:rsidRPr="007D5955">
              <w:rPr>
                <w:rFonts w:eastAsia="Times New Roman" w:cs="Times New Roman"/>
                <w:b/>
                <w:bCs/>
                <w:i/>
                <w:iCs/>
                <w:color w:val="000000"/>
                <w:sz w:val="22"/>
                <w:lang w:val="en-GB" w:eastAsia="de-DE"/>
              </w:rPr>
              <w:t>Base case</w:t>
            </w:r>
          </w:p>
        </w:tc>
        <w:tc>
          <w:tcPr>
            <w:tcW w:w="546"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c>
          <w:tcPr>
            <w:tcW w:w="546"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c>
          <w:tcPr>
            <w:tcW w:w="546"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c>
          <w:tcPr>
            <w:tcW w:w="546"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c>
          <w:tcPr>
            <w:tcW w:w="546"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c>
          <w:tcPr>
            <w:tcW w:w="543" w:type="pct"/>
            <w:vMerge/>
            <w:tcBorders>
              <w:top w:val="single" w:sz="8" w:space="0" w:color="auto"/>
              <w:left w:val="single" w:sz="4" w:space="0" w:color="auto"/>
              <w:bottom w:val="single" w:sz="4" w:space="0" w:color="auto"/>
              <w:right w:val="single" w:sz="4" w:space="0" w:color="auto"/>
            </w:tcBorders>
            <w:vAlign w:val="center"/>
            <w:hideMark/>
          </w:tcPr>
          <w:p w:rsidR="008D739B" w:rsidRPr="007D5955" w:rsidRDefault="008D739B" w:rsidP="002F365C">
            <w:pPr>
              <w:spacing w:before="0" w:after="0" w:line="240" w:lineRule="auto"/>
              <w:jc w:val="left"/>
              <w:rPr>
                <w:rFonts w:eastAsia="Times New Roman" w:cs="Times New Roman"/>
                <w:b/>
                <w:bCs/>
                <w:color w:val="000000"/>
                <w:sz w:val="22"/>
                <w:lang w:val="en-GB" w:eastAsia="de-DE"/>
              </w:rPr>
            </w:pPr>
          </w:p>
        </w:tc>
      </w:tr>
      <w:tr w:rsidR="008D739B" w:rsidRPr="007D5955" w:rsidTr="002F365C">
        <w:trPr>
          <w:trHeight w:val="300"/>
        </w:trPr>
        <w:tc>
          <w:tcPr>
            <w:tcW w:w="1181" w:type="pct"/>
            <w:tcBorders>
              <w:top w:val="single" w:sz="8" w:space="0" w:color="auto"/>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observed infection episodes</w:t>
            </w:r>
          </w:p>
        </w:tc>
        <w:tc>
          <w:tcPr>
            <w:tcW w:w="54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146</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c>
          <w:tcPr>
            <w:tcW w:w="546"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c>
          <w:tcPr>
            <w:tcW w:w="543" w:type="pct"/>
            <w:tcBorders>
              <w:top w:val="single" w:sz="8" w:space="0" w:color="auto"/>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144</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households with at least one infection</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56</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households with at least one potential transmission event</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21</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21</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13</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13</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 xml:space="preserve">Number of infection episodes </w:t>
            </w:r>
            <w:r w:rsidRPr="007D5955">
              <w:rPr>
                <w:rFonts w:eastAsia="Times New Roman" w:cs="Times New Roman"/>
                <w:color w:val="000000"/>
                <w:sz w:val="22"/>
                <w:u w:val="single"/>
                <w:lang w:val="en-GB" w:eastAsia="de-DE"/>
              </w:rPr>
              <w:t xml:space="preserve">not resulting </w:t>
            </w:r>
            <w:r w:rsidRPr="007D5955">
              <w:rPr>
                <w:rFonts w:eastAsia="Times New Roman" w:cs="Times New Roman"/>
                <w:color w:val="000000"/>
                <w:sz w:val="22"/>
                <w:lang w:val="en-GB" w:eastAsia="de-DE"/>
              </w:rPr>
              <w:t>in transmission events</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114</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112</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112</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101</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101</w:t>
            </w:r>
          </w:p>
        </w:tc>
      </w:tr>
      <w:tr w:rsidR="008D739B" w:rsidRPr="007D5955" w:rsidTr="002F365C">
        <w:trPr>
          <w:trHeight w:val="30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secondary cases potentially resulting from transmission events</w:t>
            </w:r>
          </w:p>
        </w:tc>
        <w:tc>
          <w:tcPr>
            <w:tcW w:w="546" w:type="pct"/>
            <w:tcBorders>
              <w:top w:val="nil"/>
              <w:left w:val="single" w:sz="8" w:space="0" w:color="auto"/>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20</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20</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47</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57</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20</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33</w:t>
            </w:r>
          </w:p>
        </w:tc>
        <w:tc>
          <w:tcPr>
            <w:tcW w:w="543"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33</w:t>
            </w:r>
          </w:p>
        </w:tc>
      </w:tr>
      <w:tr w:rsidR="008D739B" w:rsidRPr="007D5955" w:rsidTr="002F365C">
        <w:trPr>
          <w:trHeight w:val="30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days with symptoms</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319</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316</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infectious days according to the respective definition</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73</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73</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469</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688</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122</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125</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sz w:val="22"/>
                <w:lang w:val="en-GB" w:eastAsia="de-DE"/>
              </w:rPr>
            </w:pPr>
            <w:r w:rsidRPr="007D5955">
              <w:rPr>
                <w:rFonts w:eastAsia="Times New Roman" w:cs="Times New Roman"/>
                <w:sz w:val="22"/>
                <w:lang w:val="en-GB" w:eastAsia="de-DE"/>
              </w:rPr>
              <w:t>Number of days potentially resulting from transmission</w:t>
            </w:r>
          </w:p>
        </w:tc>
        <w:tc>
          <w:tcPr>
            <w:tcW w:w="546" w:type="pct"/>
            <w:tcBorders>
              <w:top w:val="nil"/>
              <w:left w:val="single" w:sz="8" w:space="0" w:color="auto"/>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41</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41</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88</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113</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41</w:t>
            </w:r>
          </w:p>
        </w:tc>
        <w:tc>
          <w:tcPr>
            <w:tcW w:w="546"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72</w:t>
            </w:r>
          </w:p>
        </w:tc>
        <w:tc>
          <w:tcPr>
            <w:tcW w:w="543" w:type="pct"/>
            <w:tcBorders>
              <w:top w:val="nil"/>
              <w:left w:val="nil"/>
              <w:bottom w:val="single" w:sz="4" w:space="0" w:color="auto"/>
              <w:right w:val="single" w:sz="4" w:space="0" w:color="auto"/>
            </w:tcBorders>
            <w:shd w:val="clear" w:color="auto" w:fill="auto"/>
            <w:noWrap/>
            <w:vAlign w:val="bottom"/>
            <w:hideMark/>
          </w:tcPr>
          <w:p w:rsidR="008D739B" w:rsidRPr="007D5955" w:rsidRDefault="008D739B"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72</w:t>
            </w:r>
          </w:p>
        </w:tc>
      </w:tr>
      <w:tr w:rsidR="008D739B" w:rsidRPr="007D5955" w:rsidTr="002F365C">
        <w:trPr>
          <w:trHeight w:val="510"/>
        </w:trPr>
        <w:tc>
          <w:tcPr>
            <w:tcW w:w="1181" w:type="pct"/>
            <w:tcBorders>
              <w:top w:val="nil"/>
              <w:left w:val="single" w:sz="8" w:space="0" w:color="auto"/>
              <w:bottom w:val="single" w:sz="4"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sz w:val="22"/>
                <w:lang w:val="en-GB" w:eastAsia="de-DE"/>
              </w:rPr>
            </w:pPr>
            <w:r w:rsidRPr="007D5955">
              <w:rPr>
                <w:rFonts w:eastAsia="Times New Roman" w:cs="Times New Roman"/>
                <w:sz w:val="22"/>
                <w:lang w:val="en-GB" w:eastAsia="de-DE"/>
              </w:rPr>
              <w:t>% of all symptomatic days potentially attributable to within household transmission</w:t>
            </w:r>
          </w:p>
        </w:tc>
        <w:tc>
          <w:tcPr>
            <w:tcW w:w="546" w:type="pct"/>
            <w:tcBorders>
              <w:top w:val="nil"/>
              <w:left w:val="single" w:sz="8" w:space="0" w:color="auto"/>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12.9</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13.0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27.9</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35.8</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13.0</w:t>
            </w:r>
          </w:p>
        </w:tc>
        <w:tc>
          <w:tcPr>
            <w:tcW w:w="546"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22.8</w:t>
            </w:r>
          </w:p>
        </w:tc>
        <w:tc>
          <w:tcPr>
            <w:tcW w:w="543" w:type="pct"/>
            <w:tcBorders>
              <w:top w:val="nil"/>
              <w:left w:val="nil"/>
              <w:bottom w:val="single" w:sz="4"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sz w:val="22"/>
                <w:lang w:val="en-GB" w:eastAsia="de-DE"/>
              </w:rPr>
            </w:pPr>
            <w:r w:rsidRPr="007D5955">
              <w:rPr>
                <w:rFonts w:eastAsia="Times New Roman" w:cs="Times New Roman"/>
                <w:b/>
                <w:bCs/>
                <w:sz w:val="22"/>
                <w:lang w:val="en-GB" w:eastAsia="de-DE"/>
              </w:rPr>
              <w:t>22.8</w:t>
            </w:r>
          </w:p>
        </w:tc>
      </w:tr>
      <w:tr w:rsidR="008D739B" w:rsidRPr="007D5955" w:rsidTr="002F365C">
        <w:trPr>
          <w:trHeight w:val="525"/>
        </w:trPr>
        <w:tc>
          <w:tcPr>
            <w:tcW w:w="1181" w:type="pct"/>
            <w:tcBorders>
              <w:top w:val="nil"/>
              <w:left w:val="single" w:sz="8" w:space="0" w:color="auto"/>
              <w:bottom w:val="single" w:sz="8" w:space="0" w:color="auto"/>
              <w:right w:val="nil"/>
            </w:tcBorders>
            <w:shd w:val="clear" w:color="auto" w:fill="auto"/>
            <w:vAlign w:val="center"/>
            <w:hideMark/>
          </w:tcPr>
          <w:p w:rsidR="008D739B" w:rsidRPr="007D5955" w:rsidRDefault="008D739B"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Number of potential transmission events</w:t>
            </w:r>
          </w:p>
        </w:tc>
        <w:tc>
          <w:tcPr>
            <w:tcW w:w="546" w:type="pct"/>
            <w:tcBorders>
              <w:top w:val="nil"/>
              <w:left w:val="single" w:sz="8" w:space="0" w:color="auto"/>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23</w:t>
            </w:r>
          </w:p>
        </w:tc>
        <w:tc>
          <w:tcPr>
            <w:tcW w:w="546"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23</w:t>
            </w:r>
          </w:p>
        </w:tc>
        <w:tc>
          <w:tcPr>
            <w:tcW w:w="546"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67</w:t>
            </w:r>
          </w:p>
        </w:tc>
        <w:tc>
          <w:tcPr>
            <w:tcW w:w="546"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86</w:t>
            </w:r>
          </w:p>
        </w:tc>
        <w:tc>
          <w:tcPr>
            <w:tcW w:w="546"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23</w:t>
            </w:r>
          </w:p>
        </w:tc>
        <w:tc>
          <w:tcPr>
            <w:tcW w:w="546"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42</w:t>
            </w:r>
          </w:p>
        </w:tc>
        <w:tc>
          <w:tcPr>
            <w:tcW w:w="543" w:type="pct"/>
            <w:tcBorders>
              <w:top w:val="nil"/>
              <w:left w:val="nil"/>
              <w:bottom w:val="single" w:sz="8" w:space="0" w:color="auto"/>
              <w:right w:val="single" w:sz="4" w:space="0" w:color="auto"/>
            </w:tcBorders>
            <w:shd w:val="clear" w:color="auto" w:fill="auto"/>
            <w:vAlign w:val="center"/>
            <w:hideMark/>
          </w:tcPr>
          <w:p w:rsidR="008D739B" w:rsidRPr="007D5955" w:rsidRDefault="008D739B" w:rsidP="002F365C">
            <w:pPr>
              <w:spacing w:before="0" w:after="0" w:line="240" w:lineRule="auto"/>
              <w:jc w:val="right"/>
              <w:rPr>
                <w:rFonts w:eastAsia="Times New Roman" w:cs="Times New Roman"/>
                <w:b/>
                <w:bCs/>
                <w:color w:val="000000"/>
                <w:sz w:val="22"/>
                <w:lang w:val="en-GB" w:eastAsia="de-DE"/>
              </w:rPr>
            </w:pPr>
            <w:r w:rsidRPr="007D5955">
              <w:rPr>
                <w:rFonts w:eastAsia="Times New Roman" w:cs="Times New Roman"/>
                <w:b/>
                <w:bCs/>
                <w:color w:val="000000"/>
                <w:sz w:val="22"/>
                <w:lang w:val="en-GB" w:eastAsia="de-DE"/>
              </w:rPr>
              <w:t>42</w:t>
            </w:r>
          </w:p>
        </w:tc>
      </w:tr>
    </w:tbl>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18"/>
          <w:szCs w:val="18"/>
          <w:vertAlign w:val="superscript"/>
          <w:lang w:val="en-GB"/>
        </w:rPr>
      </w:pPr>
    </w:p>
    <w:p w:rsidR="008D739B" w:rsidRPr="007D5955" w:rsidRDefault="008D739B" w:rsidP="008D739B">
      <w:pPr>
        <w:spacing w:before="0" w:after="0" w:line="240" w:lineRule="auto"/>
        <w:jc w:val="left"/>
        <w:rPr>
          <w:sz w:val="20"/>
          <w:szCs w:val="18"/>
          <w:vertAlign w:val="superscript"/>
          <w:lang w:val="en-GB"/>
        </w:rPr>
      </w:pPr>
    </w:p>
    <w:p w:rsidR="008D739B" w:rsidRPr="007D5955" w:rsidRDefault="008D739B" w:rsidP="008D739B">
      <w:pPr>
        <w:spacing w:before="0" w:after="0" w:line="240" w:lineRule="auto"/>
        <w:jc w:val="left"/>
        <w:rPr>
          <w:sz w:val="20"/>
          <w:szCs w:val="18"/>
          <w:vertAlign w:val="superscript"/>
          <w:lang w:val="en-GB"/>
        </w:rPr>
      </w:pPr>
    </w:p>
    <w:p w:rsidR="008D739B" w:rsidRPr="007D5955" w:rsidRDefault="008D739B" w:rsidP="008D739B">
      <w:pPr>
        <w:spacing w:before="0" w:after="0" w:line="240" w:lineRule="auto"/>
        <w:jc w:val="left"/>
        <w:rPr>
          <w:sz w:val="20"/>
          <w:szCs w:val="18"/>
          <w:vertAlign w:val="superscript"/>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1 </w:t>
      </w:r>
      <w:r w:rsidRPr="007D5955">
        <w:rPr>
          <w:szCs w:val="18"/>
          <w:lang w:val="en-GB"/>
        </w:rPr>
        <w:t xml:space="preserve">All cases; </w:t>
      </w:r>
      <w:r w:rsidRPr="007D5955">
        <w:rPr>
          <w:b/>
          <w:szCs w:val="18"/>
          <w:lang w:val="en-GB"/>
        </w:rPr>
        <w:t>case definition of secondary case:</w:t>
      </w:r>
      <w:r w:rsidRPr="007D5955">
        <w:rPr>
          <w:szCs w:val="18"/>
          <w:lang w:val="en-GB"/>
        </w:rPr>
        <w:t xml:space="preserve"> can acquire infection during all symptomatic days of the primary case.</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2 </w:t>
      </w:r>
      <w:r w:rsidRPr="007D5955">
        <w:rPr>
          <w:szCs w:val="18"/>
          <w:lang w:val="en-GB"/>
        </w:rPr>
        <w:t xml:space="preserve">Start of observation with a healthy day, because people might start documenting when they are affected by an infection </w:t>
      </w:r>
      <w:r w:rsidRPr="007D5955">
        <w:rPr>
          <w:szCs w:val="18"/>
          <w:lang w:val="en-GB"/>
        </w:rPr>
        <w:fldChar w:fldCharType="begin">
          <w:fldData xml:space="preserve">PEVuZE5vdGU+PENpdGU+PEF1dGhvcj5CYXllcjwvQXV0aG9yPjxZZWFyPjIwMTQ8L1llYXI+PFJl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</w:fldData>
        </w:fldChar>
      </w:r>
      <w:r w:rsidRPr="007D5955">
        <w:rPr>
          <w:szCs w:val="18"/>
          <w:lang w:val="en-GB"/>
        </w:rPr>
        <w:instrText xml:space="preserve"> ADDIN EN.CITE </w:instrText>
      </w:r>
      <w:r w:rsidRPr="007D5955">
        <w:rPr>
          <w:szCs w:val="18"/>
          <w:lang w:val="en-GB"/>
        </w:rPr>
        <w:fldChar w:fldCharType="begin">
          <w:fldData xml:space="preserve">PEVuZE5vdGU+PENpdGU+PEF1dGhvcj5CYXllcjwvQXV0aG9yPjxZZWFyPjIwMTQ8L1llYXI+PFJl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</w:fldData>
        </w:fldChar>
      </w:r>
      <w:r w:rsidRPr="007D5955">
        <w:rPr>
          <w:szCs w:val="18"/>
          <w:lang w:val="en-GB"/>
        </w:rPr>
        <w:instrText xml:space="preserve"> ADDIN EN.CITE.DATA </w:instrText>
      </w:r>
      <w:r w:rsidRPr="007D5955">
        <w:rPr>
          <w:szCs w:val="18"/>
          <w:lang w:val="en-GB"/>
        </w:rPr>
      </w:r>
      <w:r w:rsidRPr="007D5955">
        <w:rPr>
          <w:szCs w:val="18"/>
          <w:lang w:val="en-GB"/>
        </w:rPr>
        <w:fldChar w:fldCharType="end"/>
      </w:r>
      <w:r w:rsidRPr="007D5955">
        <w:rPr>
          <w:szCs w:val="18"/>
          <w:lang w:val="en-GB"/>
        </w:rPr>
      </w:r>
      <w:r w:rsidRPr="007D5955">
        <w:rPr>
          <w:szCs w:val="18"/>
          <w:lang w:val="en-GB"/>
        </w:rPr>
        <w:fldChar w:fldCharType="separate"/>
      </w:r>
      <w:r w:rsidRPr="007D5955">
        <w:rPr>
          <w:noProof/>
          <w:szCs w:val="18"/>
          <w:lang w:val="en-GB"/>
        </w:rPr>
        <w:t>(</w:t>
      </w:r>
      <w:r w:rsidRPr="007D5955">
        <w:rPr>
          <w:b/>
          <w:noProof/>
          <w:szCs w:val="18"/>
          <w:lang w:val="en-GB"/>
        </w:rPr>
        <w:t>Bayer et al.</w:t>
      </w:r>
      <w:r w:rsidRPr="007D5955">
        <w:rPr>
          <w:noProof/>
          <w:szCs w:val="18"/>
          <w:lang w:val="en-GB"/>
        </w:rPr>
        <w:t>, 2014)</w:t>
      </w:r>
      <w:r w:rsidRPr="007D5955">
        <w:rPr>
          <w:szCs w:val="18"/>
          <w:lang w:val="en-GB"/>
        </w:rPr>
        <w:fldChar w:fldCharType="end"/>
      </w:r>
      <w:r w:rsidRPr="007D5955">
        <w:rPr>
          <w:szCs w:val="18"/>
          <w:lang w:val="en-GB"/>
        </w:rPr>
        <w:t xml:space="preserve">; </w:t>
      </w:r>
      <w:r w:rsidRPr="007D5955">
        <w:rPr>
          <w:b/>
          <w:szCs w:val="18"/>
          <w:lang w:val="en-GB"/>
        </w:rPr>
        <w:t>case definition of secondary case:</w:t>
      </w:r>
      <w:r w:rsidRPr="007D5955">
        <w:rPr>
          <w:szCs w:val="18"/>
          <w:lang w:val="en-GB"/>
        </w:rPr>
        <w:t xml:space="preserve"> can acquire infection during all symptomatic days of the primary case.</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3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first eight days after onset of symptoms in the primary case, because Rotavirus detectable for eight days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 xml:space="preserve"> and Rotavirus mostly detected in gastroenteritis </w:t>
      </w:r>
      <w:r w:rsidRPr="007D5955">
        <w:rPr>
          <w:szCs w:val="18"/>
          <w:lang w:val="en-GB"/>
        </w:rPr>
        <w:fldChar w:fldCharType="begin">
          <w:fldData xml:space="preserve">PEVuZE5vdGU+PENpdGU+PEF1dGhvcj5QYXluZTwvQXV0aG9yPjxZZWFyPjIwMTM8L1llYXI+PFJl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</w:fldData>
        </w:fldChar>
      </w:r>
      <w:r w:rsidRPr="007D5955">
        <w:rPr>
          <w:szCs w:val="18"/>
          <w:lang w:val="en-GB"/>
        </w:rPr>
        <w:instrText xml:space="preserve"> ADDIN EN.CITE </w:instrText>
      </w:r>
      <w:r w:rsidRPr="007D5955">
        <w:rPr>
          <w:szCs w:val="18"/>
          <w:lang w:val="en-GB"/>
        </w:rPr>
        <w:fldChar w:fldCharType="begin">
          <w:fldData xml:space="preserve">PEVuZE5vdGU+PENpdGU+PEF1dGhvcj5QYXluZTwvQXV0aG9yPjxZZWFyPjIwMTM8L1llYXI+PFJl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</w:fldData>
        </w:fldChar>
      </w:r>
      <w:r w:rsidRPr="007D5955">
        <w:rPr>
          <w:szCs w:val="18"/>
          <w:lang w:val="en-GB"/>
        </w:rPr>
        <w:instrText xml:space="preserve"> ADDIN EN.CITE.DATA </w:instrText>
      </w:r>
      <w:r w:rsidRPr="007D5955">
        <w:rPr>
          <w:szCs w:val="18"/>
          <w:lang w:val="en-GB"/>
        </w:rPr>
      </w:r>
      <w:r w:rsidRPr="007D5955">
        <w:rPr>
          <w:szCs w:val="18"/>
          <w:lang w:val="en-GB"/>
        </w:rPr>
        <w:fldChar w:fldCharType="end"/>
      </w:r>
      <w:r w:rsidRPr="007D5955">
        <w:rPr>
          <w:szCs w:val="18"/>
          <w:lang w:val="en-GB"/>
        </w:rPr>
      </w:r>
      <w:r w:rsidRPr="007D5955">
        <w:rPr>
          <w:szCs w:val="18"/>
          <w:lang w:val="en-GB"/>
        </w:rPr>
        <w:fldChar w:fldCharType="separate"/>
      </w:r>
      <w:r w:rsidRPr="007D5955">
        <w:rPr>
          <w:noProof/>
          <w:szCs w:val="18"/>
          <w:lang w:val="en-GB"/>
        </w:rPr>
        <w:t>(</w:t>
      </w:r>
      <w:r w:rsidRPr="007D5955">
        <w:rPr>
          <w:b/>
          <w:noProof/>
          <w:szCs w:val="18"/>
          <w:lang w:val="en-GB"/>
        </w:rPr>
        <w:t>Payne et al.</w:t>
      </w:r>
      <w:r w:rsidRPr="007D5955">
        <w:rPr>
          <w:noProof/>
          <w:szCs w:val="18"/>
          <w:lang w:val="en-GB"/>
        </w:rPr>
        <w:t>, 2013)</w:t>
      </w:r>
      <w:r w:rsidRPr="007D5955">
        <w:rPr>
          <w:szCs w:val="18"/>
          <w:lang w:val="en-GB"/>
        </w:rPr>
        <w:fldChar w:fldCharType="end"/>
      </w:r>
      <w:r w:rsidRPr="007D5955">
        <w:rPr>
          <w:szCs w:val="18"/>
          <w:lang w:val="en-GB"/>
        </w:rPr>
        <w:t xml:space="preserve"> .</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4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first eight days after- and one day before onset of symptoms in the primary case, because we assume first day of incubation period (24-72 hours) as infectious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6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symptomatic days or a maximum of eight days since onset of symptoms in the primary case.</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7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the symptomatic days or a maximum of five days since onset of symptoms, and additionally one day before onset of symptoms in the primary case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Cs w:val="18"/>
          <w:lang w:val="en-GB"/>
        </w:rPr>
      </w:pPr>
    </w:p>
    <w:p w:rsidR="008D739B" w:rsidRPr="007D5955" w:rsidRDefault="008D739B" w:rsidP="008D739B">
      <w:pPr>
        <w:spacing w:before="0" w:after="0" w:line="276" w:lineRule="auto"/>
        <w:jc w:val="left"/>
        <w:rPr>
          <w:szCs w:val="18"/>
          <w:lang w:val="en-GB"/>
        </w:rPr>
      </w:pPr>
      <w:r w:rsidRPr="007D5955">
        <w:rPr>
          <w:szCs w:val="18"/>
          <w:vertAlign w:val="superscript"/>
          <w:lang w:val="en-GB"/>
        </w:rPr>
        <w:t xml:space="preserve">9 </w:t>
      </w:r>
      <w:r w:rsidRPr="007D5955">
        <w:rPr>
          <w:szCs w:val="18"/>
          <w:lang w:val="en-GB"/>
        </w:rPr>
        <w:t xml:space="preserve">Start of observation with a healthy day; </w:t>
      </w:r>
      <w:r w:rsidRPr="007D5955">
        <w:rPr>
          <w:b/>
          <w:szCs w:val="18"/>
          <w:lang w:val="en-GB"/>
        </w:rPr>
        <w:t>case definition of secondary case:</w:t>
      </w:r>
      <w:r w:rsidRPr="007D5955">
        <w:rPr>
          <w:szCs w:val="18"/>
          <w:lang w:val="en-GB"/>
        </w:rPr>
        <w:t xml:space="preserve"> can acquire infection during all symptomatic days and one day before onset of symptoms in the primary case </w:t>
      </w:r>
      <w:r w:rsidRPr="007D5955">
        <w:rPr>
          <w:szCs w:val="18"/>
          <w:lang w:val="en-GB"/>
        </w:rPr>
        <w:fldChar w:fldCharType="begin"/>
      </w:r>
      <w:r w:rsidRPr="007D5955">
        <w:rPr>
          <w:szCs w:val="18"/>
          <w:lang w:val="en-GB"/>
        </w:rPr>
        <w:instrText xml:space="preserve"> ADDIN EN.CITE &lt;EndNote&gt;&lt;Cite&gt;&lt;Author&gt;Heymann&lt;/Author&gt;&lt;Year&gt;2008&lt;/Year&gt;&lt;RecNum&gt;1032&lt;/RecNum&gt;&lt;DisplayText&gt;(&lt;style face="bold"&gt;Heymann&lt;/style&gt;, 2008)&lt;/DisplayText&gt;&lt;record&gt;&lt;rec-number&gt;1032&lt;/rec-number&gt;&lt;foreign-keys&gt;&lt;key app="EN" db-id="2t5d0xv0hs2927e0pxrpdt082esvz59wdaa5" timestamp="1471353015"&gt;1032&lt;/key&gt;&lt;/foreign-keys&gt;&lt;ref-type name="Book"&gt;6&lt;/ref-type&gt;&lt;contributors&gt;&lt;authors&gt;&lt;author&gt;Heymann, D. L.&lt;/author&gt;&lt;/authors&gt;&lt;tertiary-authors&gt;&lt;author&gt;Heymann, D.L.&lt;/author&gt;&lt;/tertiary-authors&gt;&lt;/contributors&gt;&lt;titles&gt;&lt;title&gt;Control of Communicable Diseases Manual&lt;/title&gt;&lt;/titles&gt;&lt;volume&gt;19th&lt;/volume&gt;&lt;dates&gt;&lt;year&gt;2008&lt;/year&gt;&lt;/dates&gt;&lt;pub-location&gt;Washington&lt;/pub-location&gt;&lt;publisher&gt;American Public Health Association&lt;/publisher&gt;&lt;isbn&gt;978-0-87553-189-2&lt;/isbn&gt;&lt;urls&gt;&lt;/urls&gt;&lt;/record&gt;&lt;/Cite&gt;&lt;/EndNote&gt;</w:instrText>
      </w:r>
      <w:r w:rsidRPr="007D5955">
        <w:rPr>
          <w:szCs w:val="18"/>
          <w:lang w:val="en-GB"/>
        </w:rPr>
        <w:fldChar w:fldCharType="separate"/>
      </w:r>
      <w:r w:rsidRPr="007D5955">
        <w:rPr>
          <w:noProof/>
          <w:szCs w:val="18"/>
          <w:lang w:val="en-GB"/>
        </w:rPr>
        <w:t>(</w:t>
      </w:r>
      <w:r w:rsidRPr="007D5955">
        <w:rPr>
          <w:b/>
          <w:noProof/>
          <w:szCs w:val="18"/>
          <w:lang w:val="en-GB"/>
        </w:rPr>
        <w:t>Heymann</w:t>
      </w:r>
      <w:r w:rsidRPr="007D5955">
        <w:rPr>
          <w:noProof/>
          <w:szCs w:val="18"/>
          <w:lang w:val="en-GB"/>
        </w:rPr>
        <w:t>, 2008)</w:t>
      </w:r>
      <w:r w:rsidRPr="007D5955">
        <w:rPr>
          <w:szCs w:val="18"/>
          <w:lang w:val="en-GB"/>
        </w:rPr>
        <w:fldChar w:fldCharType="end"/>
      </w:r>
      <w:r w:rsidRPr="007D5955">
        <w:rPr>
          <w:szCs w:val="18"/>
          <w:lang w:val="en-GB"/>
        </w:rPr>
        <w:t>.</w:t>
      </w:r>
    </w:p>
    <w:p w:rsidR="008D739B" w:rsidRPr="007D5955" w:rsidRDefault="008D739B" w:rsidP="008D739B">
      <w:pPr>
        <w:spacing w:before="0" w:after="0" w:line="276" w:lineRule="auto"/>
        <w:jc w:val="left"/>
        <w:rPr>
          <w:sz w:val="22"/>
          <w:szCs w:val="18"/>
          <w:lang w:val="en-GB"/>
        </w:rPr>
      </w:pPr>
    </w:p>
    <w:p w:rsidR="008D739B" w:rsidRPr="007D5955" w:rsidRDefault="008D739B" w:rsidP="008D739B">
      <w:pPr>
        <w:spacing w:before="0" w:after="0" w:line="276" w:lineRule="auto"/>
        <w:jc w:val="left"/>
        <w:rPr>
          <w:sz w:val="22"/>
          <w:szCs w:val="18"/>
          <w:lang w:val="en-GB"/>
        </w:rPr>
      </w:pPr>
    </w:p>
    <w:p w:rsidR="008D739B" w:rsidRPr="007D5955" w:rsidRDefault="008D739B" w:rsidP="008D739B">
      <w:pPr>
        <w:spacing w:before="0" w:after="0" w:line="276" w:lineRule="auto"/>
        <w:jc w:val="left"/>
        <w:rPr>
          <w:sz w:val="22"/>
          <w:szCs w:val="18"/>
          <w:lang w:val="en-GB"/>
        </w:rPr>
      </w:pPr>
    </w:p>
    <w:p w:rsidR="008D739B" w:rsidRPr="007D5955" w:rsidRDefault="008D739B" w:rsidP="008D739B">
      <w:pPr>
        <w:spacing w:before="0" w:after="0" w:line="276" w:lineRule="auto"/>
        <w:jc w:val="left"/>
        <w:rPr>
          <w:b/>
          <w:sz w:val="22"/>
          <w:szCs w:val="18"/>
          <w:lang w:val="en-GB"/>
        </w:rPr>
      </w:pPr>
      <w:r w:rsidRPr="007D5955">
        <w:rPr>
          <w:b/>
          <w:sz w:val="22"/>
          <w:szCs w:val="18"/>
          <w:lang w:val="en-GB"/>
        </w:rPr>
        <w:t>References:</w:t>
      </w:r>
    </w:p>
    <w:p w:rsidR="008D739B" w:rsidRPr="007D5955" w:rsidRDefault="008D739B" w:rsidP="008D739B">
      <w:pPr>
        <w:pStyle w:val="EndNoteBibliography"/>
        <w:spacing w:after="0"/>
        <w:ind w:left="720" w:hanging="720"/>
        <w:rPr>
          <w:sz w:val="22"/>
          <w:lang w:val="en-GB"/>
        </w:rPr>
      </w:pPr>
      <w:r w:rsidRPr="007D5955">
        <w:rPr>
          <w:sz w:val="16"/>
          <w:szCs w:val="18"/>
          <w:lang w:val="en-GB"/>
        </w:rPr>
        <w:fldChar w:fldCharType="begin"/>
      </w:r>
      <w:r w:rsidRPr="007D5955">
        <w:rPr>
          <w:sz w:val="16"/>
          <w:szCs w:val="18"/>
          <w:lang w:val="en-GB"/>
        </w:rPr>
        <w:instrText xml:space="preserve"> ADDIN EN.REFLIST </w:instrText>
      </w:r>
      <w:r w:rsidRPr="007D5955">
        <w:rPr>
          <w:sz w:val="16"/>
          <w:szCs w:val="18"/>
          <w:lang w:val="en-GB"/>
        </w:rPr>
        <w:fldChar w:fldCharType="separate"/>
      </w:r>
      <w:r w:rsidRPr="007D5955">
        <w:rPr>
          <w:b/>
          <w:sz w:val="22"/>
          <w:lang w:val="en-GB"/>
        </w:rPr>
        <w:t>Bayer C, Remschmidt C, an der Heiden M, Tolksdorf K, Herzhoff M, Kaersten S, Buda S, Haas W &amp; Buchholz U</w:t>
      </w:r>
      <w:r w:rsidRPr="007D5955">
        <w:rPr>
          <w:sz w:val="22"/>
          <w:lang w:val="en-GB"/>
        </w:rPr>
        <w:t xml:space="preserve">. (2014). Internet-Based Syndromic Monitoring of Acute Respiratory Illness in the General Population of Germany, Weeks 35/2011 to 34/2012. </w:t>
      </w:r>
      <w:r w:rsidRPr="007D5955">
        <w:rPr>
          <w:i/>
          <w:sz w:val="22"/>
          <w:lang w:val="en-GB"/>
        </w:rPr>
        <w:t>Euro Surveill, 19</w:t>
      </w:r>
      <w:r w:rsidRPr="007D5955">
        <w:rPr>
          <w:sz w:val="22"/>
          <w:lang w:val="en-GB"/>
        </w:rPr>
        <w:t xml:space="preserve">(4). </w:t>
      </w:r>
    </w:p>
    <w:p w:rsidR="008D739B" w:rsidRPr="007D5955" w:rsidRDefault="008D739B" w:rsidP="008D739B">
      <w:pPr>
        <w:pStyle w:val="EndNoteBibliography"/>
        <w:spacing w:after="0"/>
        <w:ind w:left="720" w:hanging="720"/>
        <w:rPr>
          <w:sz w:val="22"/>
          <w:lang w:val="en-GB"/>
        </w:rPr>
      </w:pPr>
      <w:r w:rsidRPr="007D5955">
        <w:rPr>
          <w:b/>
          <w:sz w:val="22"/>
          <w:lang w:val="en-GB"/>
        </w:rPr>
        <w:t>Payne DC, Vinje J, Szilagyi PG, Edwards KM, Staat MA, Weinberg GA, Hall CB, Chappell J, Bernstein DI, Curns AT, Wikswo M, Shirley SH, Hall AJ, Lopman B &amp; Parashar UD</w:t>
      </w:r>
      <w:r w:rsidRPr="007D5955">
        <w:rPr>
          <w:sz w:val="22"/>
          <w:lang w:val="en-GB"/>
        </w:rPr>
        <w:t xml:space="preserve">. (2013). Norovirus and Medically Attended Gastroenteritis in U.S. Children. </w:t>
      </w:r>
      <w:r w:rsidRPr="007D5955">
        <w:rPr>
          <w:i/>
          <w:sz w:val="22"/>
          <w:lang w:val="en-GB"/>
        </w:rPr>
        <w:t>N Engl J Med, 368</w:t>
      </w:r>
      <w:r w:rsidRPr="007D5955">
        <w:rPr>
          <w:sz w:val="22"/>
          <w:lang w:val="en-GB"/>
        </w:rPr>
        <w:t>(12), 1121-1130. doi: 10.1056/NEJMsa1206589</w:t>
      </w:r>
    </w:p>
    <w:p w:rsidR="008D739B" w:rsidRPr="007D5955" w:rsidRDefault="008D739B" w:rsidP="008D739B">
      <w:pPr>
        <w:pStyle w:val="EndNoteBibliography"/>
        <w:ind w:left="720" w:hanging="720"/>
        <w:rPr>
          <w:sz w:val="22"/>
          <w:lang w:val="en-GB"/>
        </w:rPr>
      </w:pPr>
      <w:r w:rsidRPr="007D5955">
        <w:rPr>
          <w:b/>
          <w:sz w:val="22"/>
          <w:lang w:val="en-GB"/>
        </w:rPr>
        <w:t>Heymann DL</w:t>
      </w:r>
      <w:r w:rsidRPr="007D5955">
        <w:rPr>
          <w:sz w:val="22"/>
          <w:lang w:val="en-GB"/>
        </w:rPr>
        <w:t xml:space="preserve">. (2008). </w:t>
      </w:r>
      <w:r w:rsidRPr="007D5955">
        <w:rPr>
          <w:i/>
          <w:sz w:val="22"/>
          <w:lang w:val="en-GB"/>
        </w:rPr>
        <w:t>Control of Communicable Diseases Manual</w:t>
      </w:r>
      <w:r w:rsidRPr="007D5955">
        <w:rPr>
          <w:sz w:val="22"/>
          <w:lang w:val="en-GB"/>
        </w:rPr>
        <w:t xml:space="preserve"> (Heymann DL Ed.  Vol. 19th). Washington: American Public Health Association.</w:t>
      </w:r>
    </w:p>
    <w:p w:rsidR="008D739B" w:rsidRPr="007D5955" w:rsidRDefault="008D739B" w:rsidP="008D739B">
      <w:pPr>
        <w:spacing w:before="0" w:after="0" w:line="276" w:lineRule="auto"/>
        <w:jc w:val="left"/>
        <w:rPr>
          <w:sz w:val="22"/>
          <w:szCs w:val="18"/>
          <w:lang w:val="en-GB"/>
        </w:rPr>
      </w:pPr>
      <w:r w:rsidRPr="007D5955">
        <w:rPr>
          <w:sz w:val="16"/>
          <w:szCs w:val="18"/>
          <w:lang w:val="en-GB"/>
        </w:rPr>
        <w:fldChar w:fldCharType="end"/>
      </w:r>
    </w:p>
    <w:p w:rsidR="00E9486C" w:rsidRPr="007D5955" w:rsidRDefault="00E9486C">
      <w:pPr>
        <w:spacing w:before="0" w:after="200" w:line="276" w:lineRule="auto"/>
        <w:jc w:val="left"/>
        <w:rPr>
          <w:sz w:val="22"/>
          <w:lang w:val="en-GB"/>
        </w:rPr>
        <w:sectPr w:rsidR="00E9486C" w:rsidRPr="007D5955" w:rsidSect="00C67311">
          <w:footerReference w:type="default" r:id="rId9"/>
          <w:pgSz w:w="16838" w:h="11906" w:orient="landscape"/>
          <w:pgMar w:top="397" w:right="567" w:bottom="397" w:left="567" w:header="709" w:footer="709" w:gutter="0"/>
          <w:cols w:space="708"/>
          <w:docGrid w:linePitch="360"/>
        </w:sectPr>
      </w:pPr>
      <w:r w:rsidRPr="007D5955">
        <w:rPr>
          <w:sz w:val="22"/>
          <w:lang w:val="en-GB"/>
        </w:rPr>
        <w:br w:type="page"/>
      </w:r>
    </w:p>
    <w:p w:rsidR="00E9486C" w:rsidRPr="007D5955" w:rsidRDefault="00E9486C" w:rsidP="00E9486C">
      <w:pPr>
        <w:pStyle w:val="Beschriftung"/>
        <w:rPr>
          <w:sz w:val="24"/>
          <w:szCs w:val="24"/>
          <w:lang w:val="en-GB"/>
        </w:rPr>
      </w:pPr>
      <w:r w:rsidRPr="007D5955">
        <w:rPr>
          <w:color w:val="auto"/>
          <w:sz w:val="24"/>
          <w:szCs w:val="24"/>
          <w:lang w:val="en-GB"/>
        </w:rPr>
        <w:lastRenderedPageBreak/>
        <w:t xml:space="preserve">Supplementary Material 4: </w:t>
      </w:r>
      <w:r w:rsidRPr="007D5955">
        <w:rPr>
          <w:b w:val="0"/>
          <w:color w:val="auto"/>
          <w:sz w:val="24"/>
          <w:szCs w:val="24"/>
          <w:lang w:val="en-GB"/>
        </w:rPr>
        <w:t>Distribution of</w:t>
      </w:r>
      <w:r w:rsidRPr="007D5955">
        <w:rPr>
          <w:color w:val="auto"/>
          <w:sz w:val="24"/>
          <w:szCs w:val="24"/>
          <w:lang w:val="en-GB"/>
        </w:rPr>
        <w:t xml:space="preserve"> </w:t>
      </w:r>
      <w:r w:rsidRPr="007D5955">
        <w:rPr>
          <w:b w:val="0"/>
          <w:color w:val="auto"/>
          <w:sz w:val="24"/>
          <w:szCs w:val="24"/>
          <w:lang w:val="en-GB"/>
        </w:rPr>
        <w:t>identified pathogens (n=117) in case of acute respiratory infections (ARI)</w:t>
      </w:r>
      <w:r w:rsidRPr="007D5955">
        <w:rPr>
          <w:sz w:val="24"/>
          <w:szCs w:val="24"/>
          <w:lang w:val="en-GB"/>
        </w:rPr>
        <w:t xml:space="preserve"> </w:t>
      </w:r>
    </w:p>
    <w:tbl>
      <w:tblPr>
        <w:tblW w:w="6720" w:type="dxa"/>
        <w:tblInd w:w="55" w:type="dxa"/>
        <w:tblCellMar>
          <w:left w:w="70" w:type="dxa"/>
          <w:right w:w="70" w:type="dxa"/>
        </w:tblCellMar>
        <w:tblLook w:val="04A0" w:firstRow="1" w:lastRow="0" w:firstColumn="1" w:lastColumn="0" w:noHBand="0" w:noVBand="1"/>
      </w:tblPr>
      <w:tblGrid>
        <w:gridCol w:w="4320"/>
        <w:gridCol w:w="1200"/>
        <w:gridCol w:w="1200"/>
      </w:tblGrid>
      <w:tr w:rsidR="00E9486C" w:rsidRPr="007D5955" w:rsidTr="002F365C">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b/>
                <w:bCs/>
                <w:color w:val="000000"/>
                <w:szCs w:val="24"/>
                <w:lang w:val="en-GB" w:eastAsia="de-DE"/>
              </w:rPr>
            </w:pPr>
            <w:r w:rsidRPr="007D5955">
              <w:rPr>
                <w:rFonts w:eastAsia="Times New Roman" w:cs="Times New Roman"/>
                <w:b/>
                <w:bCs/>
                <w:color w:val="000000"/>
                <w:szCs w:val="24"/>
                <w:lang w:val="en-GB" w:eastAsia="de-DE"/>
              </w:rPr>
              <w:t>Pathogen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center"/>
              <w:rPr>
                <w:rFonts w:eastAsia="Times New Roman" w:cs="Times New Roman"/>
                <w:b/>
                <w:color w:val="000000"/>
                <w:szCs w:val="24"/>
                <w:lang w:val="en-GB" w:eastAsia="de-DE"/>
              </w:rPr>
            </w:pPr>
            <w:r w:rsidRPr="007D5955">
              <w:rPr>
                <w:rFonts w:eastAsia="Times New Roman" w:cs="Times New Roman"/>
                <w:b/>
                <w:color w:val="000000"/>
                <w:szCs w:val="24"/>
                <w:lang w:val="en-GB" w:eastAsia="de-DE"/>
              </w:rPr>
              <w:t>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center"/>
              <w:rPr>
                <w:rFonts w:eastAsia="Times New Roman" w:cs="Times New Roman"/>
                <w:b/>
                <w:color w:val="000000"/>
                <w:szCs w:val="24"/>
                <w:lang w:val="en-GB" w:eastAsia="de-DE"/>
              </w:rPr>
            </w:pPr>
            <w:r w:rsidRPr="007D5955">
              <w:rPr>
                <w:rFonts w:eastAsia="Times New Roman" w:cs="Times New Roman"/>
                <w:b/>
                <w:color w:val="000000"/>
                <w:szCs w:val="24"/>
                <w:lang w:val="en-GB" w:eastAsia="de-DE"/>
              </w:rPr>
              <w:t>%</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Picornavirus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78</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66.7</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Picornavirus + Adenovirus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13</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11.1</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Adenovirus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6.8</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Respiratory syncytial 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6.8</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Influenza (A/B)</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6.0</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Picornavirus + Influenza (A/B)</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0.9</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Picornavirus + Respiratory syncytial 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0.9</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color w:val="000000"/>
                <w:szCs w:val="24"/>
                <w:lang w:val="en-GB" w:eastAsia="de-DE"/>
              </w:rPr>
            </w:pPr>
            <w:r w:rsidRPr="007D5955">
              <w:rPr>
                <w:rFonts w:eastAsia="Times New Roman" w:cs="Times New Roman"/>
                <w:color w:val="000000"/>
                <w:szCs w:val="24"/>
                <w:lang w:val="en-GB" w:eastAsia="de-DE"/>
              </w:rPr>
              <w:t>Adenovirus + Respiratory syncytial virus</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0.9</w:t>
            </w:r>
          </w:p>
        </w:tc>
      </w:tr>
      <w:tr w:rsidR="00E9486C" w:rsidRPr="007D5955" w:rsidTr="002F365C">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left"/>
              <w:rPr>
                <w:rFonts w:eastAsia="Times New Roman" w:cs="Times New Roman"/>
                <w:b/>
                <w:color w:val="000000"/>
                <w:szCs w:val="24"/>
                <w:lang w:val="en-GB" w:eastAsia="de-DE"/>
              </w:rPr>
            </w:pPr>
            <w:r w:rsidRPr="007D5955">
              <w:rPr>
                <w:rFonts w:eastAsia="Times New Roman" w:cs="Times New Roman"/>
                <w:b/>
                <w:color w:val="000000"/>
                <w:szCs w:val="24"/>
                <w:lang w:val="en-GB" w:eastAsia="de-DE"/>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b/>
                <w:color w:val="000000"/>
                <w:szCs w:val="24"/>
                <w:lang w:val="en-GB" w:eastAsia="de-DE"/>
              </w:rPr>
            </w:pPr>
            <w:r w:rsidRPr="007D5955">
              <w:rPr>
                <w:rFonts w:eastAsia="Times New Roman" w:cs="Times New Roman"/>
                <w:b/>
                <w:color w:val="000000"/>
                <w:szCs w:val="24"/>
                <w:lang w:val="en-GB" w:eastAsia="de-DE"/>
              </w:rPr>
              <w:t>117</w:t>
            </w:r>
          </w:p>
        </w:tc>
        <w:tc>
          <w:tcPr>
            <w:tcW w:w="1200" w:type="dxa"/>
            <w:tcBorders>
              <w:top w:val="nil"/>
              <w:left w:val="nil"/>
              <w:bottom w:val="single" w:sz="4" w:space="0" w:color="auto"/>
              <w:right w:val="single" w:sz="4" w:space="0" w:color="auto"/>
            </w:tcBorders>
            <w:shd w:val="clear" w:color="auto" w:fill="auto"/>
            <w:noWrap/>
            <w:vAlign w:val="bottom"/>
            <w:hideMark/>
          </w:tcPr>
          <w:p w:rsidR="00E9486C" w:rsidRPr="007D5955" w:rsidRDefault="00E9486C" w:rsidP="002E2D9B">
            <w:pPr>
              <w:spacing w:before="0" w:after="0" w:line="276" w:lineRule="auto"/>
              <w:jc w:val="right"/>
              <w:rPr>
                <w:rFonts w:eastAsia="Times New Roman" w:cs="Times New Roman"/>
                <w:b/>
                <w:color w:val="000000"/>
                <w:szCs w:val="24"/>
                <w:lang w:val="en-GB" w:eastAsia="de-DE"/>
              </w:rPr>
            </w:pPr>
            <w:r w:rsidRPr="007D5955">
              <w:rPr>
                <w:rFonts w:eastAsia="Times New Roman" w:cs="Times New Roman"/>
                <w:b/>
                <w:color w:val="000000"/>
                <w:szCs w:val="24"/>
                <w:lang w:val="en-GB" w:eastAsia="de-DE"/>
              </w:rPr>
              <w:t>100.0</w:t>
            </w:r>
          </w:p>
        </w:tc>
      </w:tr>
    </w:tbl>
    <w:p w:rsidR="00E9486C" w:rsidRPr="007D5955" w:rsidRDefault="00E9486C" w:rsidP="00E9486C">
      <w:pPr>
        <w:rPr>
          <w:szCs w:val="24"/>
          <w:lang w:val="en-GB"/>
        </w:rPr>
      </w:pPr>
    </w:p>
    <w:p w:rsidR="00E9486C" w:rsidRPr="007D5955" w:rsidRDefault="00E9486C">
      <w:pPr>
        <w:spacing w:before="0" w:after="200" w:line="276" w:lineRule="auto"/>
        <w:jc w:val="left"/>
        <w:rPr>
          <w:sz w:val="22"/>
          <w:lang w:val="en-GB"/>
        </w:rPr>
      </w:pPr>
    </w:p>
    <w:p w:rsidR="00E9486C" w:rsidRPr="007D5955" w:rsidRDefault="00E9486C">
      <w:pPr>
        <w:spacing w:before="0" w:after="200" w:line="276" w:lineRule="auto"/>
        <w:jc w:val="left"/>
        <w:rPr>
          <w:sz w:val="22"/>
          <w:lang w:val="en-GB"/>
        </w:rPr>
      </w:pPr>
      <w:r w:rsidRPr="007D5955">
        <w:rPr>
          <w:sz w:val="22"/>
          <w:lang w:val="en-GB"/>
        </w:rPr>
        <w:br w:type="page"/>
      </w:r>
    </w:p>
    <w:p w:rsidR="00E9486C" w:rsidRPr="007D5955" w:rsidRDefault="00E9486C" w:rsidP="00E9486C">
      <w:pPr>
        <w:rPr>
          <w:szCs w:val="24"/>
          <w:lang w:val="en-GB"/>
        </w:rPr>
      </w:pPr>
      <w:r w:rsidRPr="007D5955">
        <w:rPr>
          <w:b/>
          <w:szCs w:val="24"/>
          <w:lang w:val="en-GB"/>
        </w:rPr>
        <w:lastRenderedPageBreak/>
        <w:t xml:space="preserve">Supplementary Material 5: </w:t>
      </w:r>
      <w:r w:rsidRPr="007D5955">
        <w:rPr>
          <w:szCs w:val="24"/>
          <w:lang w:val="en-GB"/>
        </w:rPr>
        <w:t>Sent swabs (n=293) by duration of acute respiratory infection (ARI) episodes (n=608)</w:t>
      </w:r>
    </w:p>
    <w:tbl>
      <w:tblPr>
        <w:tblW w:w="5280" w:type="dxa"/>
        <w:tblInd w:w="55" w:type="dxa"/>
        <w:tblCellMar>
          <w:left w:w="70" w:type="dxa"/>
          <w:right w:w="70" w:type="dxa"/>
        </w:tblCellMar>
        <w:tblLook w:val="04A0" w:firstRow="1" w:lastRow="0" w:firstColumn="1" w:lastColumn="0" w:noHBand="0" w:noVBand="1"/>
      </w:tblPr>
      <w:tblGrid>
        <w:gridCol w:w="1320"/>
        <w:gridCol w:w="1320"/>
        <w:gridCol w:w="1320"/>
        <w:gridCol w:w="1320"/>
      </w:tblGrid>
      <w:tr w:rsidR="00E9486C" w:rsidRPr="007D5955" w:rsidTr="002F365C">
        <w:trPr>
          <w:trHeight w:val="615"/>
        </w:trPr>
        <w:tc>
          <w:tcPr>
            <w:tcW w:w="1320" w:type="dxa"/>
            <w:tcBorders>
              <w:top w:val="single" w:sz="8" w:space="0" w:color="auto"/>
              <w:left w:val="single" w:sz="8" w:space="0" w:color="auto"/>
              <w:bottom w:val="nil"/>
              <w:right w:val="single" w:sz="4" w:space="0" w:color="auto"/>
            </w:tcBorders>
            <w:shd w:val="clear" w:color="auto" w:fill="auto"/>
            <w:vAlign w:val="center"/>
            <w:hideMark/>
          </w:tcPr>
          <w:p w:rsidR="00E9486C" w:rsidRPr="007D5955" w:rsidRDefault="00E9486C" w:rsidP="002E2D9B">
            <w:pPr>
              <w:spacing w:before="0" w:after="0" w:line="276" w:lineRule="auto"/>
              <w:jc w:val="center"/>
              <w:rPr>
                <w:rFonts w:eastAsia="Times New Roman" w:cs="Times New Roman"/>
                <w:b/>
                <w:bCs/>
                <w:color w:val="000000"/>
                <w:szCs w:val="24"/>
                <w:lang w:val="en-GB" w:eastAsia="de-DE"/>
              </w:rPr>
            </w:pPr>
            <w:r w:rsidRPr="007D5955">
              <w:rPr>
                <w:rFonts w:eastAsia="Times New Roman" w:cs="Times New Roman"/>
                <w:b/>
                <w:bCs/>
                <w:color w:val="000000"/>
                <w:szCs w:val="24"/>
                <w:lang w:val="en-GB" w:eastAsia="de-DE"/>
              </w:rPr>
              <w:t>Duration in days</w:t>
            </w:r>
          </w:p>
        </w:tc>
        <w:tc>
          <w:tcPr>
            <w:tcW w:w="1320" w:type="dxa"/>
            <w:tcBorders>
              <w:top w:val="single" w:sz="8" w:space="0" w:color="auto"/>
              <w:left w:val="nil"/>
              <w:bottom w:val="nil"/>
              <w:right w:val="single" w:sz="4" w:space="0" w:color="auto"/>
            </w:tcBorders>
            <w:shd w:val="clear" w:color="auto" w:fill="auto"/>
            <w:vAlign w:val="center"/>
            <w:hideMark/>
          </w:tcPr>
          <w:p w:rsidR="00E9486C" w:rsidRPr="007D5955" w:rsidRDefault="00E9486C" w:rsidP="002E2D9B">
            <w:pPr>
              <w:spacing w:before="0" w:after="0" w:line="276" w:lineRule="auto"/>
              <w:jc w:val="center"/>
              <w:rPr>
                <w:rFonts w:eastAsia="Times New Roman" w:cs="Times New Roman"/>
                <w:b/>
                <w:bCs/>
                <w:color w:val="000000"/>
                <w:szCs w:val="24"/>
                <w:lang w:val="en-GB" w:eastAsia="de-DE"/>
              </w:rPr>
            </w:pPr>
            <w:r w:rsidRPr="007D5955">
              <w:rPr>
                <w:rFonts w:eastAsia="Times New Roman" w:cs="Times New Roman"/>
                <w:b/>
                <w:bCs/>
                <w:color w:val="000000"/>
                <w:szCs w:val="24"/>
                <w:lang w:val="en-GB" w:eastAsia="de-DE"/>
              </w:rPr>
              <w:t>Number of episodes</w:t>
            </w:r>
          </w:p>
        </w:tc>
        <w:tc>
          <w:tcPr>
            <w:tcW w:w="1320" w:type="dxa"/>
            <w:tcBorders>
              <w:top w:val="single" w:sz="8" w:space="0" w:color="auto"/>
              <w:left w:val="nil"/>
              <w:bottom w:val="nil"/>
              <w:right w:val="single" w:sz="4" w:space="0" w:color="auto"/>
            </w:tcBorders>
            <w:shd w:val="clear" w:color="auto" w:fill="auto"/>
            <w:vAlign w:val="center"/>
            <w:hideMark/>
          </w:tcPr>
          <w:p w:rsidR="00E9486C" w:rsidRPr="007D5955" w:rsidRDefault="00E9486C" w:rsidP="002E2D9B">
            <w:pPr>
              <w:spacing w:before="0" w:after="0" w:line="276" w:lineRule="auto"/>
              <w:jc w:val="center"/>
              <w:rPr>
                <w:rFonts w:eastAsia="Times New Roman" w:cs="Times New Roman"/>
                <w:b/>
                <w:bCs/>
                <w:color w:val="000000"/>
                <w:szCs w:val="24"/>
                <w:lang w:val="en-GB" w:eastAsia="de-DE"/>
              </w:rPr>
            </w:pPr>
            <w:r w:rsidRPr="007D5955">
              <w:rPr>
                <w:rFonts w:eastAsia="Times New Roman" w:cs="Times New Roman"/>
                <w:b/>
                <w:bCs/>
                <w:color w:val="000000"/>
                <w:szCs w:val="24"/>
                <w:lang w:val="en-GB" w:eastAsia="de-DE"/>
              </w:rPr>
              <w:t>Number of sent swabs</w:t>
            </w:r>
          </w:p>
        </w:tc>
        <w:tc>
          <w:tcPr>
            <w:tcW w:w="1320" w:type="dxa"/>
            <w:tcBorders>
              <w:top w:val="single" w:sz="8" w:space="0" w:color="auto"/>
              <w:left w:val="nil"/>
              <w:bottom w:val="nil"/>
              <w:right w:val="single" w:sz="8" w:space="0" w:color="auto"/>
            </w:tcBorders>
            <w:shd w:val="clear" w:color="auto" w:fill="auto"/>
            <w:vAlign w:val="center"/>
            <w:hideMark/>
          </w:tcPr>
          <w:p w:rsidR="00E9486C" w:rsidRPr="007D5955" w:rsidRDefault="00E9486C" w:rsidP="002E2D9B">
            <w:pPr>
              <w:spacing w:before="0" w:after="0" w:line="276" w:lineRule="auto"/>
              <w:jc w:val="center"/>
              <w:rPr>
                <w:rFonts w:eastAsia="Times New Roman" w:cs="Times New Roman"/>
                <w:b/>
                <w:bCs/>
                <w:color w:val="000000"/>
                <w:szCs w:val="24"/>
                <w:lang w:val="en-GB" w:eastAsia="de-DE"/>
              </w:rPr>
            </w:pPr>
            <w:r w:rsidRPr="007D5955">
              <w:rPr>
                <w:rFonts w:eastAsia="Times New Roman" w:cs="Times New Roman"/>
                <w:b/>
                <w:bCs/>
                <w:color w:val="000000"/>
                <w:szCs w:val="24"/>
                <w:lang w:val="en-GB" w:eastAsia="de-DE"/>
              </w:rPr>
              <w:t>%</w:t>
            </w:r>
          </w:p>
        </w:tc>
      </w:tr>
      <w:tr w:rsidR="00E9486C" w:rsidRPr="007D5955" w:rsidTr="002F365C">
        <w:trPr>
          <w:trHeight w:val="300"/>
        </w:trPr>
        <w:tc>
          <w:tcPr>
            <w:tcW w:w="13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w:t>
            </w:r>
          </w:p>
        </w:tc>
        <w:tc>
          <w:tcPr>
            <w:tcW w:w="1320" w:type="dxa"/>
            <w:tcBorders>
              <w:top w:val="single" w:sz="8" w:space="0" w:color="auto"/>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71</w:t>
            </w:r>
          </w:p>
        </w:tc>
        <w:tc>
          <w:tcPr>
            <w:tcW w:w="1320" w:type="dxa"/>
            <w:tcBorders>
              <w:top w:val="single" w:sz="8" w:space="0" w:color="auto"/>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20</w:t>
            </w:r>
          </w:p>
        </w:tc>
        <w:tc>
          <w:tcPr>
            <w:tcW w:w="1320" w:type="dxa"/>
            <w:tcBorders>
              <w:top w:val="single" w:sz="8" w:space="0" w:color="auto"/>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28.2</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61</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26.2</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73</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34</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46.6</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59</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28</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47.5</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52</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22</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42.3</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50</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23</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46.0</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40</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21</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52.5</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25</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64.0</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9</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30</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14</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46.7</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10</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21</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76.2</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11</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21</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13</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61.9</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12</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14</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57.1</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13</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11</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54.5</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14</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12</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50.0</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15</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60.0</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16</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9</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66.7</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17</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80.0</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18</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42.9</w:t>
            </w:r>
          </w:p>
        </w:tc>
      </w:tr>
      <w:tr w:rsidR="00E9486C" w:rsidRPr="007D5955" w:rsidTr="002F365C">
        <w:trPr>
          <w:trHeight w:val="300"/>
        </w:trPr>
        <w:tc>
          <w:tcPr>
            <w:tcW w:w="1320" w:type="dxa"/>
            <w:tcBorders>
              <w:top w:val="nil"/>
              <w:left w:val="single" w:sz="8" w:space="0" w:color="auto"/>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19</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7</w:t>
            </w:r>
          </w:p>
        </w:tc>
        <w:tc>
          <w:tcPr>
            <w:tcW w:w="1320" w:type="dxa"/>
            <w:tcBorders>
              <w:top w:val="nil"/>
              <w:left w:val="nil"/>
              <w:bottom w:val="single" w:sz="4"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4</w:t>
            </w:r>
          </w:p>
        </w:tc>
        <w:tc>
          <w:tcPr>
            <w:tcW w:w="1320" w:type="dxa"/>
            <w:tcBorders>
              <w:top w:val="nil"/>
              <w:left w:val="nil"/>
              <w:bottom w:val="single" w:sz="4"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57.1</w:t>
            </w:r>
          </w:p>
        </w:tc>
      </w:tr>
      <w:tr w:rsidR="00E9486C" w:rsidRPr="007D5955" w:rsidTr="002F365C">
        <w:trPr>
          <w:trHeight w:val="315"/>
        </w:trPr>
        <w:tc>
          <w:tcPr>
            <w:tcW w:w="1320" w:type="dxa"/>
            <w:tcBorders>
              <w:top w:val="nil"/>
              <w:left w:val="single" w:sz="8" w:space="0" w:color="auto"/>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&gt;= 20</w:t>
            </w:r>
          </w:p>
        </w:tc>
        <w:tc>
          <w:tcPr>
            <w:tcW w:w="1320" w:type="dxa"/>
            <w:tcBorders>
              <w:top w:val="nil"/>
              <w:left w:val="nil"/>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35</w:t>
            </w:r>
          </w:p>
        </w:tc>
        <w:tc>
          <w:tcPr>
            <w:tcW w:w="1320" w:type="dxa"/>
            <w:tcBorders>
              <w:top w:val="nil"/>
              <w:left w:val="nil"/>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30</w:t>
            </w:r>
          </w:p>
        </w:tc>
        <w:tc>
          <w:tcPr>
            <w:tcW w:w="1320" w:type="dxa"/>
            <w:tcBorders>
              <w:top w:val="nil"/>
              <w:left w:val="nil"/>
              <w:bottom w:val="single" w:sz="8"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color w:val="000000"/>
                <w:szCs w:val="24"/>
                <w:lang w:val="en-GB" w:eastAsia="de-DE"/>
              </w:rPr>
            </w:pPr>
            <w:r w:rsidRPr="007D5955">
              <w:rPr>
                <w:rFonts w:eastAsia="Times New Roman" w:cs="Times New Roman"/>
                <w:color w:val="000000"/>
                <w:szCs w:val="24"/>
                <w:lang w:val="en-GB" w:eastAsia="de-DE"/>
              </w:rPr>
              <w:t>85.7</w:t>
            </w:r>
          </w:p>
        </w:tc>
      </w:tr>
      <w:tr w:rsidR="00E9486C" w:rsidRPr="007D5955" w:rsidTr="002F365C">
        <w:trPr>
          <w:trHeight w:val="315"/>
        </w:trPr>
        <w:tc>
          <w:tcPr>
            <w:tcW w:w="1320" w:type="dxa"/>
            <w:tcBorders>
              <w:top w:val="nil"/>
              <w:left w:val="single" w:sz="8" w:space="0" w:color="auto"/>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left"/>
              <w:rPr>
                <w:rFonts w:eastAsia="Times New Roman" w:cs="Times New Roman"/>
                <w:b/>
                <w:color w:val="000000"/>
                <w:szCs w:val="24"/>
                <w:lang w:val="en-GB" w:eastAsia="de-DE"/>
              </w:rPr>
            </w:pPr>
            <w:r w:rsidRPr="007D5955">
              <w:rPr>
                <w:rFonts w:eastAsia="Times New Roman" w:cs="Times New Roman"/>
                <w:b/>
                <w:color w:val="000000"/>
                <w:szCs w:val="24"/>
                <w:lang w:val="en-GB" w:eastAsia="de-DE"/>
              </w:rPr>
              <w:t>Total</w:t>
            </w:r>
          </w:p>
        </w:tc>
        <w:tc>
          <w:tcPr>
            <w:tcW w:w="1320" w:type="dxa"/>
            <w:tcBorders>
              <w:top w:val="nil"/>
              <w:left w:val="nil"/>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b/>
                <w:color w:val="000000"/>
                <w:szCs w:val="24"/>
                <w:lang w:val="en-GB" w:eastAsia="de-DE"/>
              </w:rPr>
            </w:pPr>
            <w:r w:rsidRPr="007D5955">
              <w:rPr>
                <w:rFonts w:eastAsia="Times New Roman" w:cs="Times New Roman"/>
                <w:b/>
                <w:color w:val="000000"/>
                <w:szCs w:val="24"/>
                <w:lang w:val="en-GB" w:eastAsia="de-DE"/>
              </w:rPr>
              <w:t>608</w:t>
            </w:r>
          </w:p>
        </w:tc>
        <w:tc>
          <w:tcPr>
            <w:tcW w:w="1320" w:type="dxa"/>
            <w:tcBorders>
              <w:top w:val="nil"/>
              <w:left w:val="nil"/>
              <w:bottom w:val="single" w:sz="8" w:space="0" w:color="auto"/>
              <w:right w:val="single" w:sz="4"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b/>
                <w:color w:val="000000"/>
                <w:szCs w:val="24"/>
                <w:lang w:val="en-GB" w:eastAsia="de-DE"/>
              </w:rPr>
            </w:pPr>
            <w:r w:rsidRPr="007D5955">
              <w:rPr>
                <w:rFonts w:eastAsia="Times New Roman" w:cs="Times New Roman"/>
                <w:b/>
                <w:color w:val="000000"/>
                <w:szCs w:val="24"/>
                <w:lang w:val="en-GB" w:eastAsia="de-DE"/>
              </w:rPr>
              <w:t>293</w:t>
            </w:r>
          </w:p>
        </w:tc>
        <w:tc>
          <w:tcPr>
            <w:tcW w:w="1320" w:type="dxa"/>
            <w:tcBorders>
              <w:top w:val="nil"/>
              <w:left w:val="nil"/>
              <w:bottom w:val="single" w:sz="8" w:space="0" w:color="auto"/>
              <w:right w:val="single" w:sz="8" w:space="0" w:color="auto"/>
            </w:tcBorders>
            <w:shd w:val="clear" w:color="auto" w:fill="auto"/>
            <w:vAlign w:val="bottom"/>
            <w:hideMark/>
          </w:tcPr>
          <w:p w:rsidR="00E9486C" w:rsidRPr="007D5955" w:rsidRDefault="00E9486C" w:rsidP="002E2D9B">
            <w:pPr>
              <w:spacing w:before="0" w:after="0" w:line="276" w:lineRule="auto"/>
              <w:jc w:val="right"/>
              <w:rPr>
                <w:rFonts w:eastAsia="Times New Roman" w:cs="Times New Roman"/>
                <w:b/>
                <w:color w:val="000000"/>
                <w:szCs w:val="24"/>
                <w:lang w:val="en-GB" w:eastAsia="de-DE"/>
              </w:rPr>
            </w:pPr>
            <w:r w:rsidRPr="007D5955">
              <w:rPr>
                <w:rFonts w:eastAsia="Times New Roman" w:cs="Times New Roman"/>
                <w:b/>
                <w:color w:val="000000"/>
                <w:szCs w:val="24"/>
                <w:lang w:val="en-GB" w:eastAsia="de-DE"/>
              </w:rPr>
              <w:t>48.2</w:t>
            </w:r>
          </w:p>
        </w:tc>
      </w:tr>
    </w:tbl>
    <w:p w:rsidR="00E9486C" w:rsidRPr="007D5955" w:rsidRDefault="00E9486C" w:rsidP="00E9486C">
      <w:pPr>
        <w:rPr>
          <w:szCs w:val="24"/>
          <w:lang w:val="en-GB"/>
        </w:rPr>
      </w:pPr>
    </w:p>
    <w:p w:rsidR="00412D15" w:rsidRPr="007D5955" w:rsidRDefault="00412D15">
      <w:pPr>
        <w:spacing w:before="0" w:after="200" w:line="276" w:lineRule="auto"/>
        <w:jc w:val="left"/>
        <w:rPr>
          <w:szCs w:val="24"/>
          <w:lang w:val="en-GB"/>
        </w:rPr>
      </w:pPr>
      <w:r w:rsidRPr="007D5955">
        <w:rPr>
          <w:szCs w:val="24"/>
          <w:lang w:val="en-GB"/>
        </w:rPr>
        <w:br w:type="page"/>
      </w:r>
    </w:p>
    <w:p w:rsidR="00412D15" w:rsidRPr="007D5955" w:rsidRDefault="00412D15" w:rsidP="00412D15">
      <w:pPr>
        <w:rPr>
          <w:bCs/>
          <w:szCs w:val="24"/>
          <w:lang w:val="en-GB"/>
        </w:rPr>
      </w:pPr>
      <w:r w:rsidRPr="007D5955">
        <w:rPr>
          <w:b/>
          <w:bCs/>
          <w:szCs w:val="24"/>
          <w:lang w:val="en-GB"/>
        </w:rPr>
        <w:lastRenderedPageBreak/>
        <w:t xml:space="preserve">Supplementary Material 6: </w:t>
      </w:r>
      <w:r w:rsidRPr="007D5955">
        <w:rPr>
          <w:bCs/>
          <w:szCs w:val="24"/>
          <w:lang w:val="en-GB"/>
        </w:rPr>
        <w:t xml:space="preserve">Extension of </w:t>
      </w:r>
      <w:r w:rsidR="007D5955">
        <w:rPr>
          <w:bCs/>
          <w:szCs w:val="24"/>
          <w:lang w:val="en-GB"/>
        </w:rPr>
        <w:t>table in Supplementary Material</w:t>
      </w:r>
      <w:r w:rsidRPr="007D5955">
        <w:rPr>
          <w:bCs/>
          <w:szCs w:val="24"/>
          <w:lang w:val="en-GB"/>
        </w:rPr>
        <w:t xml:space="preserve"> 2 for pathogen information</w:t>
      </w:r>
    </w:p>
    <w:tbl>
      <w:tblPr>
        <w:tblW w:w="5000" w:type="pct"/>
        <w:tblCellMar>
          <w:left w:w="70" w:type="dxa"/>
          <w:right w:w="70" w:type="dxa"/>
        </w:tblCellMar>
        <w:tblLook w:val="04A0" w:firstRow="1" w:lastRow="0" w:firstColumn="1" w:lastColumn="0" w:noHBand="0" w:noVBand="1"/>
      </w:tblPr>
      <w:tblGrid>
        <w:gridCol w:w="1920"/>
        <w:gridCol w:w="1194"/>
        <w:gridCol w:w="1290"/>
        <w:gridCol w:w="1290"/>
        <w:gridCol w:w="1192"/>
        <w:gridCol w:w="1232"/>
        <w:gridCol w:w="1245"/>
        <w:gridCol w:w="1243"/>
      </w:tblGrid>
      <w:tr w:rsidR="006A3227" w:rsidRPr="007D5955" w:rsidTr="002F365C">
        <w:trPr>
          <w:trHeight w:val="300"/>
        </w:trPr>
        <w:tc>
          <w:tcPr>
            <w:tcW w:w="9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left"/>
              <w:rPr>
                <w:rFonts w:eastAsia="Times New Roman" w:cs="Times New Roman"/>
                <w:color w:val="000000"/>
                <w:sz w:val="22"/>
                <w:lang w:val="en-GB" w:eastAsia="de-DE"/>
              </w:rPr>
            </w:pPr>
            <w:r w:rsidRPr="007D5955">
              <w:rPr>
                <w:rFonts w:eastAsia="Times New Roman" w:cs="Times New Roman"/>
                <w:color w:val="000000"/>
                <w:sz w:val="22"/>
                <w:lang w:val="en-GB" w:eastAsia="de-DE"/>
              </w:rPr>
              <w:t> </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1</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2</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3</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4</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5</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6</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6A3227" w:rsidRPr="007D5955" w:rsidRDefault="006A3227" w:rsidP="002F365C">
            <w:pPr>
              <w:spacing w:before="0" w:after="0" w:line="240" w:lineRule="auto"/>
              <w:jc w:val="center"/>
              <w:rPr>
                <w:rFonts w:eastAsia="Times New Roman" w:cs="Times New Roman"/>
                <w:b/>
                <w:color w:val="000000"/>
                <w:sz w:val="22"/>
                <w:lang w:val="en-GB" w:eastAsia="de-DE"/>
              </w:rPr>
            </w:pPr>
            <w:r w:rsidRPr="007D5955">
              <w:rPr>
                <w:rFonts w:eastAsia="Times New Roman" w:cs="Times New Roman"/>
                <w:b/>
                <w:color w:val="000000"/>
                <w:sz w:val="22"/>
                <w:lang w:val="en-GB" w:eastAsia="de-DE"/>
              </w:rPr>
              <w:t>Scenario 7</w:t>
            </w:r>
          </w:p>
        </w:tc>
      </w:tr>
      <w:tr w:rsidR="006A3227" w:rsidRPr="007D5955" w:rsidTr="002F365C">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6A3227" w:rsidRPr="007D5955" w:rsidRDefault="006A3227" w:rsidP="002F365C">
            <w:pPr>
              <w:spacing w:before="0" w:after="0" w:line="240" w:lineRule="auto"/>
              <w:jc w:val="left"/>
              <w:rPr>
                <w:rFonts w:eastAsia="Times New Roman" w:cs="Times New Roman"/>
                <w:b/>
                <w:color w:val="000000"/>
                <w:sz w:val="22"/>
                <w:lang w:val="en-GB" w:eastAsia="de-DE"/>
              </w:rPr>
            </w:pPr>
            <w:r w:rsidRPr="007D5955">
              <w:rPr>
                <w:rFonts w:eastAsia="Times New Roman" w:cs="Times New Roman"/>
                <w:b/>
                <w:color w:val="000000"/>
                <w:sz w:val="22"/>
                <w:lang w:val="en-GB" w:eastAsia="de-DE"/>
              </w:rPr>
              <w:t xml:space="preserve">% </w:t>
            </w:r>
          </w:p>
          <w:p w:rsidR="006A3227" w:rsidRPr="007D5955" w:rsidRDefault="006A3227" w:rsidP="002F365C">
            <w:pPr>
              <w:spacing w:before="0" w:after="0" w:line="240" w:lineRule="auto"/>
              <w:jc w:val="left"/>
              <w:rPr>
                <w:rFonts w:eastAsia="Times New Roman" w:cs="Times New Roman"/>
                <w:b/>
                <w:color w:val="000000"/>
                <w:sz w:val="22"/>
                <w:lang w:val="en-GB" w:eastAsia="de-DE"/>
              </w:rPr>
            </w:pPr>
            <w:r w:rsidRPr="007D5955">
              <w:rPr>
                <w:rFonts w:eastAsia="Times New Roman" w:cs="Times New Roman"/>
                <w:b/>
                <w:color w:val="000000"/>
                <w:sz w:val="22"/>
                <w:lang w:val="en-GB" w:eastAsia="de-DE"/>
              </w:rPr>
              <w:t>Matching*</w:t>
            </w:r>
          </w:p>
        </w:tc>
        <w:tc>
          <w:tcPr>
            <w:tcW w:w="563"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65</w:t>
            </w:r>
          </w:p>
        </w:tc>
        <w:tc>
          <w:tcPr>
            <w:tcW w:w="608"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64</w:t>
            </w:r>
          </w:p>
        </w:tc>
        <w:tc>
          <w:tcPr>
            <w:tcW w:w="608"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67</w:t>
            </w:r>
          </w:p>
        </w:tc>
        <w:tc>
          <w:tcPr>
            <w:tcW w:w="562"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63</w:t>
            </w:r>
          </w:p>
        </w:tc>
        <w:tc>
          <w:tcPr>
            <w:tcW w:w="581"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67</w:t>
            </w:r>
          </w:p>
        </w:tc>
        <w:tc>
          <w:tcPr>
            <w:tcW w:w="587"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63</w:t>
            </w:r>
          </w:p>
        </w:tc>
        <w:tc>
          <w:tcPr>
            <w:tcW w:w="587"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62</w:t>
            </w:r>
          </w:p>
        </w:tc>
      </w:tr>
      <w:tr w:rsidR="006A3227" w:rsidRPr="007D5955" w:rsidTr="002F365C">
        <w:trPr>
          <w:trHeight w:val="300"/>
        </w:trPr>
        <w:tc>
          <w:tcPr>
            <w:tcW w:w="905" w:type="pct"/>
            <w:tcBorders>
              <w:top w:val="nil"/>
              <w:left w:val="single" w:sz="4" w:space="0" w:color="auto"/>
              <w:bottom w:val="single" w:sz="4" w:space="0" w:color="auto"/>
              <w:right w:val="single" w:sz="4" w:space="0" w:color="auto"/>
            </w:tcBorders>
            <w:shd w:val="clear" w:color="auto" w:fill="auto"/>
            <w:noWrap/>
            <w:vAlign w:val="center"/>
            <w:hideMark/>
          </w:tcPr>
          <w:p w:rsidR="006A3227" w:rsidRPr="007D5955" w:rsidRDefault="006A3227" w:rsidP="002F365C">
            <w:pPr>
              <w:spacing w:before="0" w:after="0" w:line="240" w:lineRule="auto"/>
              <w:jc w:val="left"/>
              <w:rPr>
                <w:rFonts w:eastAsia="Times New Roman" w:cs="Times New Roman"/>
                <w:b/>
                <w:color w:val="000000"/>
                <w:sz w:val="22"/>
                <w:lang w:val="en-GB" w:eastAsia="de-DE"/>
              </w:rPr>
            </w:pPr>
            <w:r w:rsidRPr="007D5955">
              <w:rPr>
                <w:rFonts w:eastAsia="Times New Roman" w:cs="Times New Roman"/>
                <w:b/>
                <w:color w:val="000000"/>
                <w:sz w:val="22"/>
                <w:lang w:val="en-GB" w:eastAsia="de-DE"/>
              </w:rPr>
              <w:t xml:space="preserve">% </w:t>
            </w:r>
          </w:p>
          <w:p w:rsidR="006A3227" w:rsidRPr="007D5955" w:rsidRDefault="006A3227" w:rsidP="002F365C">
            <w:pPr>
              <w:spacing w:before="0" w:after="0" w:line="240" w:lineRule="auto"/>
              <w:jc w:val="left"/>
              <w:rPr>
                <w:rFonts w:eastAsia="Times New Roman" w:cs="Times New Roman"/>
                <w:b/>
                <w:color w:val="000000"/>
                <w:sz w:val="22"/>
                <w:lang w:val="en-GB" w:eastAsia="de-DE"/>
              </w:rPr>
            </w:pPr>
            <w:r w:rsidRPr="007D5955">
              <w:rPr>
                <w:rFonts w:eastAsia="Times New Roman" w:cs="Times New Roman"/>
                <w:b/>
                <w:color w:val="000000"/>
                <w:sz w:val="22"/>
                <w:lang w:val="en-GB" w:eastAsia="de-DE"/>
              </w:rPr>
              <w:t>Not Matching*</w:t>
            </w:r>
          </w:p>
        </w:tc>
        <w:tc>
          <w:tcPr>
            <w:tcW w:w="563"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35</w:t>
            </w:r>
          </w:p>
        </w:tc>
        <w:tc>
          <w:tcPr>
            <w:tcW w:w="608"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36</w:t>
            </w:r>
          </w:p>
        </w:tc>
        <w:tc>
          <w:tcPr>
            <w:tcW w:w="608"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33</w:t>
            </w:r>
          </w:p>
        </w:tc>
        <w:tc>
          <w:tcPr>
            <w:tcW w:w="562"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38</w:t>
            </w:r>
          </w:p>
        </w:tc>
        <w:tc>
          <w:tcPr>
            <w:tcW w:w="581"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33</w:t>
            </w:r>
          </w:p>
        </w:tc>
        <w:tc>
          <w:tcPr>
            <w:tcW w:w="587"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38</w:t>
            </w:r>
          </w:p>
        </w:tc>
        <w:tc>
          <w:tcPr>
            <w:tcW w:w="587" w:type="pct"/>
            <w:tcBorders>
              <w:top w:val="nil"/>
              <w:left w:val="nil"/>
              <w:bottom w:val="single" w:sz="4" w:space="0" w:color="auto"/>
              <w:right w:val="single" w:sz="4" w:space="0" w:color="auto"/>
            </w:tcBorders>
            <w:shd w:val="clear" w:color="auto" w:fill="auto"/>
            <w:vAlign w:val="bottom"/>
            <w:hideMark/>
          </w:tcPr>
          <w:p w:rsidR="006A3227" w:rsidRPr="007D5955" w:rsidRDefault="006A3227" w:rsidP="002F365C">
            <w:pPr>
              <w:spacing w:before="0" w:after="0" w:line="240" w:lineRule="auto"/>
              <w:jc w:val="right"/>
              <w:rPr>
                <w:rFonts w:eastAsia="Times New Roman" w:cs="Times New Roman"/>
                <w:color w:val="000000"/>
                <w:sz w:val="22"/>
                <w:lang w:val="en-GB" w:eastAsia="de-DE"/>
              </w:rPr>
            </w:pPr>
            <w:r w:rsidRPr="007D5955">
              <w:rPr>
                <w:rFonts w:eastAsia="Times New Roman" w:cs="Times New Roman"/>
                <w:color w:val="000000"/>
                <w:sz w:val="22"/>
                <w:lang w:val="en-GB" w:eastAsia="de-DE"/>
              </w:rPr>
              <w:t>38</w:t>
            </w:r>
          </w:p>
        </w:tc>
      </w:tr>
    </w:tbl>
    <w:p w:rsidR="006A3227" w:rsidRPr="007D5955" w:rsidRDefault="006A3227" w:rsidP="006A3227">
      <w:pPr>
        <w:rPr>
          <w:bCs/>
          <w:szCs w:val="24"/>
          <w:lang w:val="en-GB"/>
        </w:rPr>
      </w:pPr>
      <w:r w:rsidRPr="007D5955">
        <w:rPr>
          <w:bCs/>
          <w:szCs w:val="24"/>
          <w:lang w:val="en-GB"/>
        </w:rPr>
        <w:t>*Identified pathogens in both involved persons in a transmission event.</w:t>
      </w:r>
    </w:p>
    <w:p w:rsidR="00412D15" w:rsidRPr="007D5955" w:rsidRDefault="00412D15" w:rsidP="00412D15">
      <w:pPr>
        <w:rPr>
          <w:lang w:val="en-GB"/>
        </w:rPr>
      </w:pPr>
    </w:p>
    <w:p w:rsidR="00B801B1" w:rsidRPr="007D5955" w:rsidRDefault="00B801B1" w:rsidP="00E9486C">
      <w:pPr>
        <w:spacing w:line="276" w:lineRule="auto"/>
        <w:jc w:val="left"/>
        <w:rPr>
          <w:sz w:val="22"/>
          <w:lang w:val="en-GB"/>
        </w:rPr>
      </w:pPr>
    </w:p>
    <w:sectPr w:rsidR="00B801B1" w:rsidRPr="007D5955" w:rsidSect="00C673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5C" w:rsidRDefault="002F365C" w:rsidP="00A27617">
      <w:pPr>
        <w:spacing w:before="0" w:after="0" w:line="240" w:lineRule="auto"/>
      </w:pPr>
      <w:r>
        <w:separator/>
      </w:r>
    </w:p>
  </w:endnote>
  <w:endnote w:type="continuationSeparator" w:id="0">
    <w:p w:rsidR="002F365C" w:rsidRDefault="002F365C" w:rsidP="00A276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9791"/>
      <w:docPartObj>
        <w:docPartGallery w:val="Page Numbers (Bottom of Page)"/>
        <w:docPartUnique/>
      </w:docPartObj>
    </w:sdtPr>
    <w:sdtEndPr/>
    <w:sdtContent>
      <w:p w:rsidR="002F365C" w:rsidRDefault="002F365C">
        <w:pPr>
          <w:pStyle w:val="Fuzeile"/>
          <w:jc w:val="right"/>
        </w:pPr>
        <w:r>
          <w:fldChar w:fldCharType="begin"/>
        </w:r>
        <w:r>
          <w:instrText>PAGE   \* MERGEFORMAT</w:instrText>
        </w:r>
        <w:r>
          <w:fldChar w:fldCharType="separate"/>
        </w:r>
        <w:r w:rsidR="004F368C" w:rsidRPr="004F368C">
          <w:rPr>
            <w:noProof/>
            <w:lang w:val="de-DE"/>
          </w:rPr>
          <w:t>1</w:t>
        </w:r>
        <w:r>
          <w:fldChar w:fldCharType="end"/>
        </w:r>
      </w:p>
    </w:sdtContent>
  </w:sdt>
  <w:p w:rsidR="002F365C" w:rsidRDefault="002F36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1228"/>
      <w:docPartObj>
        <w:docPartGallery w:val="Page Numbers (Bottom of Page)"/>
        <w:docPartUnique/>
      </w:docPartObj>
    </w:sdtPr>
    <w:sdtEndPr/>
    <w:sdtContent>
      <w:p w:rsidR="002F365C" w:rsidRDefault="002F365C">
        <w:pPr>
          <w:pStyle w:val="Fuzeile"/>
          <w:jc w:val="right"/>
        </w:pPr>
        <w:r>
          <w:fldChar w:fldCharType="begin"/>
        </w:r>
        <w:r>
          <w:instrText>PAGE   \* MERGEFORMAT</w:instrText>
        </w:r>
        <w:r>
          <w:fldChar w:fldCharType="separate"/>
        </w:r>
        <w:r w:rsidR="004F368C" w:rsidRPr="004F368C">
          <w:rPr>
            <w:noProof/>
            <w:lang w:val="de-DE"/>
          </w:rPr>
          <w:t>3</w:t>
        </w:r>
        <w:r>
          <w:fldChar w:fldCharType="end"/>
        </w:r>
      </w:p>
    </w:sdtContent>
  </w:sdt>
  <w:p w:rsidR="002F365C" w:rsidRDefault="002F36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5C" w:rsidRDefault="002F365C" w:rsidP="00A27617">
      <w:pPr>
        <w:spacing w:before="0" w:after="0" w:line="240" w:lineRule="auto"/>
      </w:pPr>
      <w:r>
        <w:separator/>
      </w:r>
    </w:p>
  </w:footnote>
  <w:footnote w:type="continuationSeparator" w:id="0">
    <w:p w:rsidR="002F365C" w:rsidRDefault="002F365C" w:rsidP="00A276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759"/>
    <w:multiLevelType w:val="hybridMultilevel"/>
    <w:tmpl w:val="EB385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0423A5"/>
    <w:multiLevelType w:val="hybridMultilevel"/>
    <w:tmpl w:val="61E03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2D"/>
    <w:rsid w:val="00125D74"/>
    <w:rsid w:val="001A336F"/>
    <w:rsid w:val="002E2D9B"/>
    <w:rsid w:val="002F365C"/>
    <w:rsid w:val="003517C7"/>
    <w:rsid w:val="00412D15"/>
    <w:rsid w:val="00416B48"/>
    <w:rsid w:val="00424A9F"/>
    <w:rsid w:val="004F0C05"/>
    <w:rsid w:val="004F368C"/>
    <w:rsid w:val="00566151"/>
    <w:rsid w:val="006A3227"/>
    <w:rsid w:val="007D5955"/>
    <w:rsid w:val="00860A54"/>
    <w:rsid w:val="008D739B"/>
    <w:rsid w:val="008F660D"/>
    <w:rsid w:val="00967FD4"/>
    <w:rsid w:val="009D60D7"/>
    <w:rsid w:val="00A162CF"/>
    <w:rsid w:val="00A27617"/>
    <w:rsid w:val="00B801B1"/>
    <w:rsid w:val="00BA04E2"/>
    <w:rsid w:val="00C07E2D"/>
    <w:rsid w:val="00C100AC"/>
    <w:rsid w:val="00C67311"/>
    <w:rsid w:val="00CF6B62"/>
    <w:rsid w:val="00E94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E2D"/>
    <w:pPr>
      <w:spacing w:before="120" w:after="120" w:line="480" w:lineRule="auto"/>
      <w:jc w:val="both"/>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C07E2D"/>
    <w:pPr>
      <w:ind w:left="720"/>
      <w:contextualSpacing/>
    </w:pPr>
    <w:rPr>
      <w:lang w:val="de-DE"/>
    </w:rPr>
  </w:style>
  <w:style w:type="character" w:customStyle="1" w:styleId="ListenabsatzZchn">
    <w:name w:val="Listenabsatz Zchn"/>
    <w:basedOn w:val="Absatz-Standardschriftart"/>
    <w:link w:val="Listenabsatz"/>
    <w:uiPriority w:val="34"/>
    <w:rsid w:val="00C07E2D"/>
    <w:rPr>
      <w:rFonts w:ascii="Times New Roman" w:hAnsi="Times New Roman"/>
      <w:sz w:val="24"/>
    </w:rPr>
  </w:style>
  <w:style w:type="table" w:styleId="Tabellenraster">
    <w:name w:val="Table Grid"/>
    <w:basedOn w:val="NormaleTabelle"/>
    <w:uiPriority w:val="59"/>
    <w:rsid w:val="00C0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07E2D"/>
    <w:pPr>
      <w:spacing w:before="0" w:after="200" w:line="240" w:lineRule="auto"/>
    </w:pPr>
    <w:rPr>
      <w:b/>
      <w:bCs/>
      <w:color w:val="4F81BD" w:themeColor="accent1"/>
      <w:sz w:val="18"/>
      <w:szCs w:val="18"/>
    </w:rPr>
  </w:style>
  <w:style w:type="paragraph" w:styleId="Kopfzeile">
    <w:name w:val="header"/>
    <w:basedOn w:val="Standard"/>
    <w:link w:val="KopfzeileZchn"/>
    <w:uiPriority w:val="99"/>
    <w:unhideWhenUsed/>
    <w:rsid w:val="00A2761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27617"/>
    <w:rPr>
      <w:rFonts w:ascii="Times New Roman" w:hAnsi="Times New Roman"/>
      <w:sz w:val="24"/>
      <w:lang w:val="en-US"/>
    </w:rPr>
  </w:style>
  <w:style w:type="paragraph" w:styleId="Fuzeile">
    <w:name w:val="footer"/>
    <w:basedOn w:val="Standard"/>
    <w:link w:val="FuzeileZchn"/>
    <w:uiPriority w:val="99"/>
    <w:unhideWhenUsed/>
    <w:rsid w:val="00A2761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27617"/>
    <w:rPr>
      <w:rFonts w:ascii="Times New Roman" w:hAnsi="Times New Roman"/>
      <w:sz w:val="24"/>
      <w:lang w:val="en-US"/>
    </w:rPr>
  </w:style>
  <w:style w:type="paragraph" w:styleId="KeinLeerraum">
    <w:name w:val="No Spacing"/>
    <w:uiPriority w:val="1"/>
    <w:qFormat/>
    <w:rsid w:val="00BA04E2"/>
    <w:pPr>
      <w:spacing w:after="0" w:line="240" w:lineRule="auto"/>
      <w:jc w:val="both"/>
    </w:pPr>
    <w:rPr>
      <w:rFonts w:ascii="Times New Roman" w:hAnsi="Times New Roman"/>
      <w:sz w:val="24"/>
      <w:lang w:val="en-US"/>
    </w:rPr>
  </w:style>
  <w:style w:type="paragraph" w:styleId="Sprechblasentext">
    <w:name w:val="Balloon Text"/>
    <w:basedOn w:val="Standard"/>
    <w:link w:val="SprechblasentextZchn"/>
    <w:uiPriority w:val="99"/>
    <w:semiHidden/>
    <w:unhideWhenUsed/>
    <w:rsid w:val="00BA04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4E2"/>
    <w:rPr>
      <w:rFonts w:ascii="Tahoma" w:hAnsi="Tahoma" w:cs="Tahoma"/>
      <w:sz w:val="16"/>
      <w:szCs w:val="16"/>
      <w:lang w:val="en-US"/>
    </w:rPr>
  </w:style>
  <w:style w:type="paragraph" w:customStyle="1" w:styleId="EndNoteBibliography">
    <w:name w:val="EndNote Bibliography"/>
    <w:basedOn w:val="Standard"/>
    <w:link w:val="EndNoteBibliographyZchn"/>
    <w:rsid w:val="008D739B"/>
    <w:pPr>
      <w:spacing w:line="240" w:lineRule="auto"/>
      <w:jc w:val="left"/>
    </w:pPr>
    <w:rPr>
      <w:rFonts w:cs="Times New Roman"/>
      <w:noProof/>
    </w:rPr>
  </w:style>
  <w:style w:type="character" w:customStyle="1" w:styleId="EndNoteBibliographyZchn">
    <w:name w:val="EndNote Bibliography Zchn"/>
    <w:basedOn w:val="Absatz-Standardschriftart"/>
    <w:link w:val="EndNoteBibliography"/>
    <w:rsid w:val="008D739B"/>
    <w:rPr>
      <w:rFonts w:ascii="Times New Roman" w:hAnsi="Times New Roman" w:cs="Times New Roman"/>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E2D"/>
    <w:pPr>
      <w:spacing w:before="120" w:after="120" w:line="480" w:lineRule="auto"/>
      <w:jc w:val="both"/>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C07E2D"/>
    <w:pPr>
      <w:ind w:left="720"/>
      <w:contextualSpacing/>
    </w:pPr>
    <w:rPr>
      <w:lang w:val="de-DE"/>
    </w:rPr>
  </w:style>
  <w:style w:type="character" w:customStyle="1" w:styleId="ListenabsatzZchn">
    <w:name w:val="Listenabsatz Zchn"/>
    <w:basedOn w:val="Absatz-Standardschriftart"/>
    <w:link w:val="Listenabsatz"/>
    <w:uiPriority w:val="34"/>
    <w:rsid w:val="00C07E2D"/>
    <w:rPr>
      <w:rFonts w:ascii="Times New Roman" w:hAnsi="Times New Roman"/>
      <w:sz w:val="24"/>
    </w:rPr>
  </w:style>
  <w:style w:type="table" w:styleId="Tabellenraster">
    <w:name w:val="Table Grid"/>
    <w:basedOn w:val="NormaleTabelle"/>
    <w:uiPriority w:val="59"/>
    <w:rsid w:val="00C0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07E2D"/>
    <w:pPr>
      <w:spacing w:before="0" w:after="200" w:line="240" w:lineRule="auto"/>
    </w:pPr>
    <w:rPr>
      <w:b/>
      <w:bCs/>
      <w:color w:val="4F81BD" w:themeColor="accent1"/>
      <w:sz w:val="18"/>
      <w:szCs w:val="18"/>
    </w:rPr>
  </w:style>
  <w:style w:type="paragraph" w:styleId="Kopfzeile">
    <w:name w:val="header"/>
    <w:basedOn w:val="Standard"/>
    <w:link w:val="KopfzeileZchn"/>
    <w:uiPriority w:val="99"/>
    <w:unhideWhenUsed/>
    <w:rsid w:val="00A2761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27617"/>
    <w:rPr>
      <w:rFonts w:ascii="Times New Roman" w:hAnsi="Times New Roman"/>
      <w:sz w:val="24"/>
      <w:lang w:val="en-US"/>
    </w:rPr>
  </w:style>
  <w:style w:type="paragraph" w:styleId="Fuzeile">
    <w:name w:val="footer"/>
    <w:basedOn w:val="Standard"/>
    <w:link w:val="FuzeileZchn"/>
    <w:uiPriority w:val="99"/>
    <w:unhideWhenUsed/>
    <w:rsid w:val="00A2761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27617"/>
    <w:rPr>
      <w:rFonts w:ascii="Times New Roman" w:hAnsi="Times New Roman"/>
      <w:sz w:val="24"/>
      <w:lang w:val="en-US"/>
    </w:rPr>
  </w:style>
  <w:style w:type="paragraph" w:styleId="KeinLeerraum">
    <w:name w:val="No Spacing"/>
    <w:uiPriority w:val="1"/>
    <w:qFormat/>
    <w:rsid w:val="00BA04E2"/>
    <w:pPr>
      <w:spacing w:after="0" w:line="240" w:lineRule="auto"/>
      <w:jc w:val="both"/>
    </w:pPr>
    <w:rPr>
      <w:rFonts w:ascii="Times New Roman" w:hAnsi="Times New Roman"/>
      <w:sz w:val="24"/>
      <w:lang w:val="en-US"/>
    </w:rPr>
  </w:style>
  <w:style w:type="paragraph" w:styleId="Sprechblasentext">
    <w:name w:val="Balloon Text"/>
    <w:basedOn w:val="Standard"/>
    <w:link w:val="SprechblasentextZchn"/>
    <w:uiPriority w:val="99"/>
    <w:semiHidden/>
    <w:unhideWhenUsed/>
    <w:rsid w:val="00BA04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4E2"/>
    <w:rPr>
      <w:rFonts w:ascii="Tahoma" w:hAnsi="Tahoma" w:cs="Tahoma"/>
      <w:sz w:val="16"/>
      <w:szCs w:val="16"/>
      <w:lang w:val="en-US"/>
    </w:rPr>
  </w:style>
  <w:style w:type="paragraph" w:customStyle="1" w:styleId="EndNoteBibliography">
    <w:name w:val="EndNote Bibliography"/>
    <w:basedOn w:val="Standard"/>
    <w:link w:val="EndNoteBibliographyZchn"/>
    <w:rsid w:val="008D739B"/>
    <w:pPr>
      <w:spacing w:line="240" w:lineRule="auto"/>
      <w:jc w:val="left"/>
    </w:pPr>
    <w:rPr>
      <w:rFonts w:cs="Times New Roman"/>
      <w:noProof/>
    </w:rPr>
  </w:style>
  <w:style w:type="character" w:customStyle="1" w:styleId="EndNoteBibliographyZchn">
    <w:name w:val="EndNote Bibliography Zchn"/>
    <w:basedOn w:val="Absatz-Standardschriftart"/>
    <w:link w:val="EndNoteBibliography"/>
    <w:rsid w:val="008D739B"/>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2606</Words>
  <Characters>16421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Helmholtz-Zentrum für Infektionsforschung</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Schlinkmann, Kristin Maria</dc:creator>
  <cp:lastModifiedBy>Schlinkmann, Kristin Maria</cp:lastModifiedBy>
  <cp:revision>3</cp:revision>
  <cp:lastPrinted>2017-07-18T13:23:00Z</cp:lastPrinted>
  <dcterms:created xsi:type="dcterms:W3CDTF">2018-02-20T11:52:00Z</dcterms:created>
  <dcterms:modified xsi:type="dcterms:W3CDTF">2018-02-20T11:54:00Z</dcterms:modified>
</cp:coreProperties>
</file>