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DB" w:rsidRDefault="003470DB" w:rsidP="003470DB">
      <w:pPr>
        <w:jc w:val="center"/>
        <w:rPr>
          <w:rFonts w:ascii="Times New Roman" w:hAnsi="Times New Roman" w:cs="Times New Roman"/>
          <w:i/>
        </w:rPr>
      </w:pPr>
      <w:r w:rsidRPr="003470DB">
        <w:rPr>
          <w:rFonts w:ascii="Times New Roman" w:hAnsi="Times New Roman" w:cs="Times New Roman"/>
          <w:i/>
        </w:rPr>
        <w:t>Epidemiology and Infection</w:t>
      </w:r>
    </w:p>
    <w:p w:rsidR="003470DB" w:rsidRPr="003470DB" w:rsidRDefault="003470DB" w:rsidP="003470DB">
      <w:pPr>
        <w:jc w:val="center"/>
        <w:rPr>
          <w:rFonts w:ascii="Times New Roman" w:hAnsi="Times New Roman" w:cs="Times New Roman"/>
          <w:i/>
        </w:rPr>
      </w:pPr>
    </w:p>
    <w:p w:rsidR="003470DB" w:rsidRDefault="003470DB" w:rsidP="003470DB">
      <w:pPr>
        <w:jc w:val="center"/>
        <w:rPr>
          <w:rFonts w:ascii="Times New Roman" w:hAnsi="Times New Roman" w:cs="Times New Roman"/>
        </w:rPr>
      </w:pPr>
      <w:r w:rsidRPr="003470DB">
        <w:rPr>
          <w:rFonts w:ascii="Times New Roman" w:hAnsi="Times New Roman" w:cs="Times New Roman"/>
        </w:rPr>
        <w:t>Influenza vaccination status and outcomes among influenza-associated hospitalizations in Columbus, Ohio (2012-2015)</w:t>
      </w:r>
    </w:p>
    <w:p w:rsidR="003470DB" w:rsidRPr="003470DB" w:rsidRDefault="003470DB" w:rsidP="003470DB">
      <w:pPr>
        <w:jc w:val="center"/>
        <w:rPr>
          <w:rFonts w:ascii="Times New Roman" w:hAnsi="Times New Roman" w:cs="Times New Roman"/>
        </w:rPr>
      </w:pPr>
    </w:p>
    <w:p w:rsidR="003470DB" w:rsidRDefault="003470DB" w:rsidP="003470DB">
      <w:pPr>
        <w:spacing w:line="480" w:lineRule="auto"/>
        <w:jc w:val="center"/>
        <w:rPr>
          <w:rFonts w:ascii="Times New Roman" w:eastAsia="MS Mincho" w:hAnsi="Times New Roman" w:cs="Times New Roman"/>
        </w:rPr>
      </w:pPr>
      <w:r w:rsidRPr="003470DB">
        <w:rPr>
          <w:rFonts w:ascii="Times New Roman" w:eastAsia="MS Mincho" w:hAnsi="Times New Roman" w:cs="Times New Roman"/>
        </w:rPr>
        <w:t>P.N. Zivich, L. Tatham, K. Lung, J. Tien, C.E. Bollinger, J.K. Bower</w:t>
      </w:r>
    </w:p>
    <w:p w:rsidR="003470DB" w:rsidRDefault="003470DB" w:rsidP="003470DB">
      <w:pPr>
        <w:spacing w:line="480" w:lineRule="auto"/>
        <w:rPr>
          <w:rFonts w:ascii="Times New Roman" w:eastAsia="MS Mincho" w:hAnsi="Times New Roman" w:cs="Times New Roman"/>
        </w:rPr>
      </w:pP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Figure S1: Inclusion/Exclusion criteria of study population</w:t>
      </w: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S1: Demographics by vaccination status by influenza season</w:t>
      </w: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S2: Odds of severe influenza hospitalization</w:t>
      </w: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S3: Odds of pneumonia by time between vaccine receipt and hospitalization</w:t>
      </w: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S4: Sensitivity analysis, excluding individuals without a date for receipt of the influenza vaccine</w:t>
      </w:r>
    </w:p>
    <w:p w:rsid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S5: Demographics by vaccination status of those who did not receive antivirals</w:t>
      </w:r>
    </w:p>
    <w:p w:rsidR="003470DB" w:rsidRPr="003470DB" w:rsidRDefault="003470DB" w:rsidP="003470DB">
      <w:pPr>
        <w:spacing w:line="480" w:lineRule="auto"/>
        <w:rPr>
          <w:rFonts w:ascii="Times New Roman" w:eastAsia="MS Mincho" w:hAnsi="Times New Roman" w:cs="Times New Roman"/>
        </w:rPr>
      </w:pPr>
      <w:r>
        <w:rPr>
          <w:rFonts w:ascii="Times New Roman" w:eastAsia="MS Mincho" w:hAnsi="Times New Roman" w:cs="Times New Roman"/>
        </w:rPr>
        <w:t>Supplement Table S6: Odds of severe influenza hospitalization and pneumonia among those without antiviral treatment</w:t>
      </w:r>
    </w:p>
    <w:p w:rsidR="003470DB" w:rsidRDefault="003470DB">
      <w:pPr>
        <w:spacing w:after="160" w:line="259" w:lineRule="auto"/>
        <w:rPr>
          <w:rFonts w:ascii="Times New Roman" w:hAnsi="Times New Roman" w:cs="Times New Roman"/>
        </w:rPr>
      </w:pPr>
      <w:r>
        <w:rPr>
          <w:rFonts w:ascii="Times New Roman" w:hAnsi="Times New Roman" w:cs="Times New Roman"/>
        </w:rPr>
        <w:br w:type="page"/>
      </w:r>
    </w:p>
    <w:p w:rsidR="00FF4E6D" w:rsidRPr="003470DB" w:rsidRDefault="00FF4E6D" w:rsidP="00F87112">
      <w:pPr>
        <w:rPr>
          <w:rFonts w:ascii="Times New Roman" w:hAnsi="Times New Roman" w:cs="Times New Roman"/>
        </w:rPr>
      </w:pPr>
      <w:r w:rsidRPr="003470DB">
        <w:rPr>
          <w:rFonts w:ascii="Times New Roman" w:hAnsi="Times New Roman" w:cs="Times New Roman"/>
        </w:rPr>
        <w:lastRenderedPageBreak/>
        <w:t xml:space="preserve">SUPPLEMENT FIGURE </w:t>
      </w:r>
      <w:r w:rsidR="003470DB">
        <w:rPr>
          <w:rFonts w:ascii="Times New Roman" w:hAnsi="Times New Roman" w:cs="Times New Roman"/>
        </w:rPr>
        <w:t>S</w:t>
      </w:r>
      <w:r w:rsidRPr="003470DB">
        <w:rPr>
          <w:rFonts w:ascii="Times New Roman" w:hAnsi="Times New Roman" w:cs="Times New Roman"/>
        </w:rPr>
        <w:t>1: Derivation of the study population and exclusions</w:t>
      </w:r>
      <w:bookmarkStart w:id="0" w:name="_GoBack"/>
      <w:bookmarkEnd w:id="0"/>
    </w:p>
    <w:p w:rsidR="00FF4E6D" w:rsidRPr="003470DB" w:rsidRDefault="00FF4E6D">
      <w:pPr>
        <w:spacing w:after="160" w:line="259" w:lineRule="auto"/>
        <w:rPr>
          <w:rFonts w:ascii="Times New Roman" w:hAnsi="Times New Roman" w:cs="Times New Roman"/>
        </w:rPr>
      </w:pPr>
      <w:r w:rsidRPr="003470DB">
        <w:rPr>
          <w:rFonts w:ascii="Times New Roman" w:hAnsi="Times New Roman" w:cs="Times New Roman"/>
          <w:noProof/>
        </w:rPr>
        <w:drawing>
          <wp:inline distT="0" distB="0" distL="0" distR="0">
            <wp:extent cx="5928360" cy="4890899"/>
            <wp:effectExtent l="0" t="0" r="0" b="5080"/>
            <wp:docPr id="1" name="Picture 1" descr="C:\Users\zivic\AppData\Local\Microsoft\Windows\INetCacheContent.Word\CID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vic\AppData\Local\Microsoft\Windows\INetCacheContent.Word\CID Figure 2.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8409" cy="4915690"/>
                    </a:xfrm>
                    <a:prstGeom prst="rect">
                      <a:avLst/>
                    </a:prstGeom>
                    <a:noFill/>
                    <a:ln>
                      <a:noFill/>
                    </a:ln>
                  </pic:spPr>
                </pic:pic>
              </a:graphicData>
            </a:graphic>
          </wp:inline>
        </w:drawing>
      </w:r>
      <w:r w:rsidRPr="003470DB">
        <w:rPr>
          <w:rFonts w:ascii="Times New Roman" w:hAnsi="Times New Roman" w:cs="Times New Roman"/>
        </w:rPr>
        <w:t xml:space="preserve"> </w:t>
      </w:r>
    </w:p>
    <w:p w:rsidR="003470DB" w:rsidRDefault="00FF4E6D" w:rsidP="003470DB">
      <w:pPr>
        <w:spacing w:line="480" w:lineRule="auto"/>
        <w:rPr>
          <w:rFonts w:ascii="Times New Roman" w:hAnsi="Times New Roman" w:cs="Times New Roman"/>
        </w:rPr>
      </w:pPr>
      <w:r w:rsidRPr="003470DB">
        <w:rPr>
          <w:rFonts w:ascii="Times New Roman" w:hAnsi="Times New Roman" w:cs="Times New Roman"/>
        </w:rPr>
        <w:t>Exclusion process and number of patients excluded and included.  2071 of 2818 were included in the analytical sample.</w:t>
      </w:r>
    </w:p>
    <w:p w:rsidR="00FF4E6D" w:rsidRPr="003470DB" w:rsidRDefault="003470DB" w:rsidP="003470DB">
      <w:pPr>
        <w:spacing w:after="160" w:line="259" w:lineRule="auto"/>
        <w:rPr>
          <w:rFonts w:ascii="Times New Roman" w:hAnsi="Times New Roman" w:cs="Times New Roman"/>
        </w:rPr>
      </w:pPr>
      <w:r>
        <w:rPr>
          <w:rFonts w:ascii="Times New Roman" w:hAnsi="Times New Roman" w:cs="Times New Roman"/>
        </w:rPr>
        <w:lastRenderedPageBreak/>
        <w:br w:type="page"/>
      </w:r>
    </w:p>
    <w:tbl>
      <w:tblPr>
        <w:tblW w:w="0" w:type="auto"/>
        <w:tblInd w:w="108" w:type="dxa"/>
        <w:tblLook w:val="04A0" w:firstRow="1" w:lastRow="0" w:firstColumn="1" w:lastColumn="0" w:noHBand="0" w:noVBand="1"/>
      </w:tblPr>
      <w:tblGrid>
        <w:gridCol w:w="493"/>
        <w:gridCol w:w="1962"/>
        <w:gridCol w:w="791"/>
        <w:gridCol w:w="837"/>
        <w:gridCol w:w="975"/>
        <w:gridCol w:w="673"/>
        <w:gridCol w:w="250"/>
        <w:gridCol w:w="791"/>
        <w:gridCol w:w="837"/>
        <w:gridCol w:w="975"/>
        <w:gridCol w:w="673"/>
        <w:gridCol w:w="250"/>
        <w:gridCol w:w="860"/>
        <w:gridCol w:w="837"/>
        <w:gridCol w:w="975"/>
        <w:gridCol w:w="673"/>
      </w:tblGrid>
      <w:tr w:rsidR="00F87112" w:rsidRPr="003470DB" w:rsidTr="00980EE3">
        <w:trPr>
          <w:trHeight w:val="225"/>
        </w:trPr>
        <w:tc>
          <w:tcPr>
            <w:tcW w:w="0" w:type="auto"/>
            <w:gridSpan w:val="16"/>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vertAlign w:val="superscript"/>
              </w:rPr>
            </w:pPr>
            <w:r w:rsidRPr="003470DB">
              <w:rPr>
                <w:rFonts w:ascii="Times New Roman" w:eastAsia="Times New Roman" w:hAnsi="Times New Roman" w:cs="Times New Roman"/>
                <w:color w:val="000000"/>
                <w:sz w:val="14"/>
                <w:szCs w:val="14"/>
              </w:rPr>
              <w:lastRenderedPageBreak/>
              <w:t xml:space="preserve">SUPPLEMENT </w:t>
            </w:r>
            <w:r w:rsidR="00FF4E6D" w:rsidRPr="003470DB">
              <w:rPr>
                <w:rFonts w:ascii="Times New Roman" w:eastAsia="Times New Roman" w:hAnsi="Times New Roman" w:cs="Times New Roman"/>
                <w:color w:val="000000"/>
                <w:sz w:val="14"/>
                <w:szCs w:val="14"/>
              </w:rPr>
              <w:t xml:space="preserve">TABLE </w:t>
            </w:r>
            <w:r w:rsidR="003470DB">
              <w:rPr>
                <w:rFonts w:ascii="Times New Roman" w:eastAsia="Times New Roman" w:hAnsi="Times New Roman" w:cs="Times New Roman"/>
                <w:color w:val="000000"/>
                <w:sz w:val="14"/>
                <w:szCs w:val="14"/>
              </w:rPr>
              <w:t>S</w:t>
            </w:r>
            <w:r w:rsidR="005C1501" w:rsidRPr="003470DB">
              <w:rPr>
                <w:rFonts w:ascii="Times New Roman" w:eastAsia="Times New Roman" w:hAnsi="Times New Roman" w:cs="Times New Roman"/>
                <w:color w:val="000000"/>
                <w:sz w:val="14"/>
                <w:szCs w:val="14"/>
              </w:rPr>
              <w:t>1</w:t>
            </w:r>
            <w:r w:rsidRPr="003470DB">
              <w:rPr>
                <w:rFonts w:ascii="Times New Roman" w:eastAsia="Times New Roman" w:hAnsi="Times New Roman" w:cs="Times New Roman"/>
                <w:color w:val="000000"/>
                <w:sz w:val="14"/>
                <w:szCs w:val="14"/>
              </w:rPr>
              <w:t xml:space="preserve">: Characteristics of influenza-associated hospitalized patients who received antivirals by season (Ohio, 2012-2015) </w:t>
            </w:r>
            <w:r w:rsidRPr="003470DB">
              <w:rPr>
                <w:rFonts w:ascii="Times New Roman" w:eastAsia="Times New Roman" w:hAnsi="Times New Roman" w:cs="Times New Roman"/>
                <w:color w:val="000000"/>
                <w:sz w:val="14"/>
                <w:szCs w:val="14"/>
                <w:vertAlign w:val="superscript"/>
              </w:rPr>
              <w:t>*</w:t>
            </w:r>
          </w:p>
        </w:tc>
      </w:tr>
      <w:tr w:rsidR="00F87112" w:rsidRPr="003470DB" w:rsidTr="00980EE3">
        <w:trPr>
          <w:trHeight w:val="24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4"/>
                <w:szCs w:val="14"/>
              </w:rPr>
            </w:pPr>
          </w:p>
        </w:tc>
        <w:tc>
          <w:tcPr>
            <w:tcW w:w="0" w:type="auto"/>
            <w:gridSpan w:val="4"/>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2012-2013 Influenza Season</w:t>
            </w:r>
          </w:p>
        </w:tc>
        <w:tc>
          <w:tcPr>
            <w:tcW w:w="0" w:type="auto"/>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gridSpan w:val="4"/>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2013-2014 Influenza Season</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gridSpan w:val="4"/>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2014-2015 Influenza Season</w:t>
            </w:r>
          </w:p>
        </w:tc>
      </w:tr>
      <w:tr w:rsidR="00F87112" w:rsidRPr="003470DB" w:rsidTr="00980EE3">
        <w:trPr>
          <w:trHeight w:val="45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4"/>
                <w:szCs w:val="14"/>
              </w:rPr>
            </w:pP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Overall (n=474)</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Vaccinated (n=199)</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Unvaccinated (n=275)</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p *</w:t>
            </w:r>
          </w:p>
        </w:tc>
        <w:tc>
          <w:tcPr>
            <w:tcW w:w="0" w:type="auto"/>
            <w:tcBorders>
              <w:top w:val="nil"/>
              <w:left w:val="nil"/>
              <w:bottom w:val="nil"/>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Overall (n=524)</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Vaccinated (n=232)</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Unvaccinated (n=292)</w:t>
            </w:r>
          </w:p>
        </w:tc>
        <w:tc>
          <w:tcPr>
            <w:tcW w:w="0" w:type="auto"/>
            <w:tcBorders>
              <w:top w:val="nil"/>
              <w:left w:val="nil"/>
              <w:bottom w:val="single" w:sz="4"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p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Overall (n=1073)</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Vaccinated (n=655)</w:t>
            </w:r>
          </w:p>
        </w:tc>
        <w:tc>
          <w:tcPr>
            <w:tcW w:w="0" w:type="auto"/>
            <w:tcBorders>
              <w:top w:val="nil"/>
              <w:left w:val="nil"/>
              <w:bottom w:val="single" w:sz="4" w:space="0" w:color="auto"/>
              <w:right w:val="nil"/>
            </w:tcBorders>
            <w:shd w:val="clear" w:color="auto" w:fill="auto"/>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Unvaccinated (n=418)</w:t>
            </w:r>
          </w:p>
        </w:tc>
        <w:tc>
          <w:tcPr>
            <w:tcW w:w="0" w:type="auto"/>
            <w:tcBorders>
              <w:top w:val="nil"/>
              <w:left w:val="nil"/>
              <w:bottom w:val="single" w:sz="4"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p *</w:t>
            </w: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Female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247 (52.1)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98 (49.2)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149 (54.2)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0.29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270 (51.5)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113 (48.7)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157 (53.8)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0.25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575 (53.6)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344 (52.5)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231 (55.3)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0.38</w:t>
            </w: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Age group</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0.5-4 years</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42 (8.9)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 (5.5)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31 (11.3)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 (5.3)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 (2.2)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 (7.9)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 (4.7)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 (2.3)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36 (8.6)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5-24 years</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33 (7.0)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(8.0)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17 (6.2)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30 (5.7)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 (6.0)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81 (7.5)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49 (7.5)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32 (7.7)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25-64 years</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
                <w:bCs/>
                <w:color w:val="000000"/>
                <w:sz w:val="14"/>
                <w:szCs w:val="14"/>
                <w:u w:val="single"/>
              </w:rPr>
            </w:pPr>
            <w:r w:rsidRPr="003470DB">
              <w:rPr>
                <w:rFonts w:ascii="Times New Roman" w:eastAsia="Times New Roman" w:hAnsi="Times New Roman" w:cs="Times New Roman"/>
                <w:bCs/>
                <w:color w:val="000000"/>
                <w:sz w:val="14"/>
                <w:szCs w:val="14"/>
              </w:rPr>
              <w:t>194 (40.9</w:t>
            </w:r>
            <w:r w:rsidRPr="003470DB">
              <w:rPr>
                <w:rFonts w:ascii="Times New Roman" w:eastAsia="Times New Roman" w:hAnsi="Times New Roman" w:cs="Times New Roman"/>
                <w:b/>
                <w:bCs/>
                <w:color w:val="000000"/>
                <w:sz w:val="14"/>
                <w:szCs w:val="14"/>
                <w:u w:val="single"/>
              </w:rPr>
              <w:t>)</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58 (29.1)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136 (49.4)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297 (56.7)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105 (45.3)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192 (65.7)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339 (31.6)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157 (24.0)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182 (43.5)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65+ years</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205 (43.2)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114 (57.3)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91 (33.1)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169 (32.2)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108 (46.5)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61 (20.9)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602 (56.1)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434 (66.3)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168 (40.2)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Race</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White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326 (70.0)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158 (80.6)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168 (62.2)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326 (63.5)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168 (72.7)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158 (56.0)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780 (74.0)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503 (78.5)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277 (67.1)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Other</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140 (30.0)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38 (19.4)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102 (37.8)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187 (36.4)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63 (27.3)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124 (44.0)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274 (26.0)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138 (21.5)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136 (32.9)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Missing</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BMI ‡</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Not obese (&lt;18.5 - 29.9 kg/m2)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306 (65.7)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133 (68.6)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173 (63.6)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0.17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317 (60.6)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149 (64.5)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168 (57.5)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0.0334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
                <w:bCs/>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696 (65.1)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427 (65.5)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269 (64.5)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0.92</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Obese (30.0 - 39.9 kg/m2)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109 (23.4)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46 (23.7)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63 (23.2)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144 (27.5)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64 (27.7)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80 (27.4)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280 (26.2)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168 (25.8)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112 (26.9)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Morbidly Obese (&gt;40 kg/m2)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 (10.9)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 (7.7)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36 (13.2)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62 (11.8)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 (7.8)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44 (15.1)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93 (8.7)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57 (8.7)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36 (8.6)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Missing</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Medical Condition</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Asthma</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111 (23.4)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45 (22.6)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66 (24.0)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0.72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155 (29.6)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70 (30.2)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85 (29.1)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0.79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240 (22.4)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145 (22.1)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95 (22.7)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0.82</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Cardiovascular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232 (48.9)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112 (56.3)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120 (43.6)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0.0066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280 (53.4)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146 (62.9)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134 (45.9)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717 (66.8)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476 (72.7)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241 (57.7)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Chronic lung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173 (36.5)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89 (44.7)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84 (30.5)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0.0016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239 (45.6)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121 (52.2)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118 (40.4)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0.0073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449 (41.8)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288 (44.0)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161 (38.5)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0.0775</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Chronic metabolic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198 (41.8)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103 (51.8)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95 (34.5)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205 (39.1)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104 (44.8)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101 (34.6)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0.0171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513 (47.8)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353 (53.9)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160 (38.3)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Neurologic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124 (26.2)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62 (31.2)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62 (22.5)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0.0353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224 (42.7)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114 (49.1)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110 (37.7)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0.0084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522 (48.6)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343 (52.4)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179 (42.8)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0.0023</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Immunosuppression</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104 (21.9)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52 (26.1)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52 (18.9)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0.0608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107 (20.4)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58 (25.0)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49 (16.8)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0.0204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206 (19.2)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135 (20.6)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71 (17.0)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0.1415</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Blood disorder</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18 (3.8)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 (6.0)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 (2.2)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0.0305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159 (30.3)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86 (37.1)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73 (25.0)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0.0028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286 (26.6)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188 (28.7)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98 (23.4)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0.0575</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Renal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102 (21.5)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 (25.6)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 (18.5)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0.0640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120 (22.9)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66 (28.4)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54 (18.5)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0.0071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263 (24.5)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181 (27.6)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82 (19.6)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0.0029</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Liver disease</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 (1.7)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 (1.5)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 (1.8)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1.00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26 (5.0)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 (5.6)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 (4.4)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52 (4.8)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29 (4.4)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 (5.5)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0.42</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1 condition</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437 (92.2)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193 (97.0)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244 (88.7)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494 (94.3)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225 (97.0)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269 (92.1)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0.0174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1027 (95.7)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639 (97.6)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388 (92.8)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0.0002</w:t>
            </w: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lastRenderedPageBreak/>
              <w:t>Alcohol abuse §</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Current</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 (2.0)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 (4.4)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0.20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 (4.4)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 (4.3)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 (4.4)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33 (3.1)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 (1.5)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 (5.5)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0.0007</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Former</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 (2.1)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 (3.0)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 (1.4)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24 (4.6)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15 (6.5)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 (3.1)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22 (2.0)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(2.4)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 (1.4)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Never</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448 (94.5)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189 (95.0)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259 (94.2)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477 (91.0)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207 (89.2)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270 (92.5)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1018 (94.9)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629 (96.0)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389 (93.1)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Smoking status §</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Current</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122 (25.7)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30 (15.1)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92 (33.4)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210 (40.1)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77 (33.2)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133 (45.5)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212 (19.8)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107 (16.3)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105 (25.1)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&lt;0.0001</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xml:space="preserve">Former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124 (26.2)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70 (35.2)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54 (19.6)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121 (23.1)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70 (30.2)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51 (17.5)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334 (31.1)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233 (35.6)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101 (24.2)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Never</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228 (48.1)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99 (49.7)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129 (46.9)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193 (36.8)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85 (36.6)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108 (37.0)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527 (49.1)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315 (48.1)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212 (50.7)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Influenza virus type</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Influenza A</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346 (73.0)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146 (73.4)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200 (72.7)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0.28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363 (69.3)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140 (60.3)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223 (76.4)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0.0004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786 (73.2)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500 (76.3)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286 (68.4)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0.0064</w:t>
            </w: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Influenza B</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124 (26.2)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53 (26.6)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71 (25.8)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147 (28.0)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83 (35.8)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64 (21.9)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271 (25.3)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149 (22.7)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122 (29.2)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Influenza A&amp;B</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 (0.8)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 (0)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 (1.4)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 (2.7)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9 (3.9)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 (1.7)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(1.5)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 (0.9)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 (2.4)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xml:space="preserve">Severe influenza ‡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110 (23.2)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50 (25.1)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60 (21.8)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138 (26.3)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59 (25.4)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79 (27.0)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0.68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200 (18.6)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116 (17.7)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84 (20.1)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0.33</w:t>
            </w: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Diagnosis of pneumonia §</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bCs/>
                <w:color w:val="000000"/>
                <w:sz w:val="14"/>
                <w:szCs w:val="14"/>
              </w:rPr>
            </w:pPr>
            <w:r w:rsidRPr="003470DB">
              <w:rPr>
                <w:rFonts w:ascii="Times New Roman" w:eastAsia="Times New Roman" w:hAnsi="Times New Roman" w:cs="Times New Roman"/>
                <w:bCs/>
                <w:color w:val="000000"/>
                <w:sz w:val="14"/>
                <w:szCs w:val="14"/>
              </w:rPr>
              <w:t>138 (29.1)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66 (33.2)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72 (26.2)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0.10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214 (40.8)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86 (37.1)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128 (43.8)</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0.12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366 (34.1)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232 (35.4)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134 (32.1)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0.26</w:t>
            </w:r>
          </w:p>
        </w:tc>
      </w:tr>
      <w:tr w:rsidR="00F87112" w:rsidRPr="003470DB" w:rsidTr="00980EE3">
        <w:trPr>
          <w:trHeight w:val="225"/>
        </w:trPr>
        <w:tc>
          <w:tcPr>
            <w:tcW w:w="0" w:type="auto"/>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Antiviral Treatment</w:t>
            </w:r>
          </w:p>
        </w:tc>
        <w:tc>
          <w:tcPr>
            <w:tcW w:w="0" w:type="auto"/>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sz w:val="14"/>
                <w:szCs w:val="14"/>
              </w:rPr>
            </w:pPr>
          </w:p>
        </w:tc>
      </w:tr>
      <w:tr w:rsidR="00F87112" w:rsidRPr="003470DB" w:rsidTr="00980EE3">
        <w:trPr>
          <w:trHeight w:val="225"/>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sz w:val="14"/>
                <w:szCs w:val="14"/>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Prompt (≤ 2 days)</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444 (93.7)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187 (94.0)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257 (93.4)</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0.82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496 (94.7)</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218 (94.0)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278 (95.2)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0.53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1044 (97.3)</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639 (97.6)</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405 (96.9)</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0.51</w:t>
            </w:r>
          </w:p>
        </w:tc>
      </w:tr>
      <w:tr w:rsidR="00F87112" w:rsidRPr="003470DB" w:rsidTr="00980EE3">
        <w:trPr>
          <w:trHeight w:val="240"/>
        </w:trPr>
        <w:tc>
          <w:tcPr>
            <w:tcW w:w="0" w:type="auto"/>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Late (&gt; 2 days)</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30 (6.3)</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12 (6.0)</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18 (6.5)</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28 (5.3)</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 (6.0)</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14 (4.8)</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29 (2.7)</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16 (2.4)</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13 (3.1)</w:t>
            </w:r>
          </w:p>
        </w:tc>
        <w:tc>
          <w:tcPr>
            <w:tcW w:w="0" w:type="auto"/>
            <w:tcBorders>
              <w:top w:val="nil"/>
              <w:left w:val="nil"/>
              <w:bottom w:val="single" w:sz="8" w:space="0" w:color="auto"/>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w:t>
            </w:r>
          </w:p>
        </w:tc>
      </w:tr>
      <w:tr w:rsidR="00F87112" w:rsidRPr="003470DB" w:rsidTr="00980EE3">
        <w:trPr>
          <w:trHeight w:val="225"/>
        </w:trPr>
        <w:tc>
          <w:tcPr>
            <w:tcW w:w="0" w:type="auto"/>
            <w:gridSpan w:val="16"/>
            <w:tcBorders>
              <w:top w:val="single" w:sz="8" w:space="0" w:color="auto"/>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Chi-squared test unless indicated otherwise</w:t>
            </w:r>
          </w:p>
        </w:tc>
      </w:tr>
      <w:tr w:rsidR="00F87112" w:rsidRPr="003470DB" w:rsidTr="00980EE3">
        <w:trPr>
          <w:trHeight w:val="225"/>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Fisher’s exact test</w:t>
            </w:r>
            <w:r w:rsidRPr="003470DB" w:rsidDel="00B3082E">
              <w:rPr>
                <w:rFonts w:ascii="Times New Roman" w:eastAsia="Times New Roman" w:hAnsi="Times New Roman" w:cs="Times New Roman"/>
                <w:color w:val="000000"/>
                <w:sz w:val="14"/>
                <w:szCs w:val="14"/>
              </w:rPr>
              <w:t xml:space="preserve"> </w:t>
            </w:r>
          </w:p>
        </w:tc>
      </w:tr>
      <w:tr w:rsidR="00F87112" w:rsidRPr="003470DB" w:rsidTr="00980EE3">
        <w:trPr>
          <w:trHeight w:val="225"/>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Severe influenza is defined as either admission to the intensive care unit or death</w:t>
            </w:r>
            <w:r w:rsidRPr="003470DB" w:rsidDel="00B3082E">
              <w:rPr>
                <w:rFonts w:ascii="Times New Roman" w:eastAsia="Times New Roman" w:hAnsi="Times New Roman" w:cs="Times New Roman"/>
                <w:color w:val="000000"/>
                <w:sz w:val="14"/>
                <w:szCs w:val="14"/>
              </w:rPr>
              <w:t xml:space="preserve"> </w:t>
            </w:r>
          </w:p>
        </w:tc>
      </w:tr>
      <w:tr w:rsidR="00F87112" w:rsidRPr="003470DB" w:rsidTr="00980EE3">
        <w:trPr>
          <w:trHeight w:val="225"/>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4"/>
                <w:szCs w:val="14"/>
              </w:rPr>
            </w:pPr>
            <w:r w:rsidRPr="003470DB">
              <w:rPr>
                <w:rFonts w:ascii="Times New Roman" w:eastAsia="Times New Roman" w:hAnsi="Times New Roman" w:cs="Times New Roman"/>
                <w:color w:val="000000"/>
                <w:sz w:val="14"/>
                <w:szCs w:val="14"/>
              </w:rPr>
              <w:t>§ Diagnosis of pneumonia is defined as</w:t>
            </w:r>
            <w:r w:rsidRPr="003470DB">
              <w:rPr>
                <w:rFonts w:ascii="Times New Roman" w:hAnsi="Times New Roman" w:cs="Times New Roman"/>
                <w:color w:val="000000"/>
                <w:sz w:val="14"/>
                <w:szCs w:val="14"/>
              </w:rPr>
              <w:t xml:space="preserve"> a chest x-ray indicating pneumonia and either diagnosis of pneumonia at discharge or ICD-9 discharge code for pneumonia (480-487.0).</w:t>
            </w:r>
          </w:p>
        </w:tc>
      </w:tr>
    </w:tbl>
    <w:p w:rsidR="00F87112" w:rsidRPr="003470DB" w:rsidRDefault="00F87112" w:rsidP="00F87112">
      <w:pPr>
        <w:rPr>
          <w:rFonts w:ascii="Times New Roman" w:hAnsi="Times New Roman" w:cs="Times New Roman"/>
        </w:rPr>
      </w:pPr>
    </w:p>
    <w:p w:rsidR="00F87112" w:rsidRPr="003470DB" w:rsidRDefault="00F87112" w:rsidP="00F87112">
      <w:pPr>
        <w:rPr>
          <w:rFonts w:ascii="Times New Roman" w:hAnsi="Times New Roman" w:cs="Times New Roman"/>
        </w:rPr>
      </w:pPr>
      <w:r w:rsidRPr="003470DB">
        <w:rPr>
          <w:rFonts w:ascii="Times New Roman" w:hAnsi="Times New Roman" w:cs="Times New Roman"/>
        </w:rPr>
        <w:br w:type="page"/>
      </w:r>
    </w:p>
    <w:tbl>
      <w:tblPr>
        <w:tblW w:w="0" w:type="auto"/>
        <w:tblInd w:w="108" w:type="dxa"/>
        <w:tblLook w:val="04A0" w:firstRow="1" w:lastRow="0" w:firstColumn="1" w:lastColumn="0" w:noHBand="0" w:noVBand="1"/>
      </w:tblPr>
      <w:tblGrid>
        <w:gridCol w:w="1760"/>
        <w:gridCol w:w="902"/>
        <w:gridCol w:w="1589"/>
        <w:gridCol w:w="377"/>
        <w:gridCol w:w="901"/>
        <w:gridCol w:w="1589"/>
        <w:gridCol w:w="377"/>
        <w:gridCol w:w="901"/>
        <w:gridCol w:w="1589"/>
        <w:gridCol w:w="377"/>
        <w:gridCol w:w="901"/>
        <w:gridCol w:w="1589"/>
      </w:tblGrid>
      <w:tr w:rsidR="00F87112" w:rsidRPr="003470DB" w:rsidTr="00980EE3">
        <w:trPr>
          <w:trHeight w:val="300"/>
        </w:trPr>
        <w:tc>
          <w:tcPr>
            <w:tcW w:w="0" w:type="auto"/>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lastRenderedPageBreak/>
              <w:t xml:space="preserve">SUPPLEMENT TABLE </w:t>
            </w:r>
            <w:r w:rsidR="003470DB">
              <w:rPr>
                <w:rFonts w:ascii="Times New Roman" w:eastAsia="Times New Roman" w:hAnsi="Times New Roman" w:cs="Times New Roman"/>
                <w:color w:val="000000"/>
                <w:sz w:val="18"/>
                <w:szCs w:val="18"/>
              </w:rPr>
              <w:t>S</w:t>
            </w:r>
            <w:r w:rsidRPr="003470DB">
              <w:rPr>
                <w:rFonts w:ascii="Times New Roman" w:eastAsia="Times New Roman" w:hAnsi="Times New Roman" w:cs="Times New Roman"/>
                <w:color w:val="000000"/>
                <w:sz w:val="18"/>
                <w:szCs w:val="18"/>
              </w:rPr>
              <w:t>2a</w:t>
            </w:r>
            <w:r w:rsidR="00F87112" w:rsidRPr="003470DB">
              <w:rPr>
                <w:rFonts w:ascii="Times New Roman" w:eastAsia="Times New Roman" w:hAnsi="Times New Roman" w:cs="Times New Roman"/>
                <w:color w:val="000000"/>
                <w:sz w:val="18"/>
                <w:szCs w:val="18"/>
              </w:rPr>
              <w:t>: Odds of severe influenza with respect to vaccination status by influenza season</w:t>
            </w:r>
            <w:r w:rsidR="00F87112" w:rsidRPr="003470DB">
              <w:rPr>
                <w:rFonts w:ascii="Times New Roman" w:eastAsia="Times New Roman" w:hAnsi="Times New Roman" w:cs="Times New Roman"/>
                <w:color w:val="000000"/>
                <w:sz w:val="18"/>
                <w:szCs w:val="18"/>
                <w:vertAlign w:val="superscript"/>
              </w:rPr>
              <w:t>*,†</w:t>
            </w:r>
          </w:p>
        </w:tc>
      </w:tr>
      <w:tr w:rsidR="00F87112"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Overall</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2012-2013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2013-2014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2014-2015</w:t>
            </w:r>
          </w:p>
        </w:tc>
      </w:tr>
      <w:tr w:rsidR="00F87112"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r>
      <w:tr w:rsidR="00F87112" w:rsidRPr="003470DB" w:rsidTr="00980EE3">
        <w:trPr>
          <w:trHeight w:val="300"/>
        </w:trPr>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Unadjusted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0.72, 1.10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1.20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0.78, 1.85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0.92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0.62, 1.36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0.63, 1.17</w:t>
            </w:r>
          </w:p>
        </w:tc>
      </w:tr>
      <w:tr w:rsidR="00F87112" w:rsidRPr="003470DB" w:rsidTr="00980EE3">
        <w:trPr>
          <w:trHeight w:val="300"/>
        </w:trPr>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xml:space="preserve">Adjusted </w:t>
            </w:r>
            <w:r w:rsidRPr="003470DB">
              <w:rPr>
                <w:rFonts w:ascii="Times New Roman" w:eastAsia="Times New Roman" w:hAnsi="Times New Roman" w:cs="Times New Roman"/>
                <w:color w:val="000000"/>
                <w:sz w:val="18"/>
                <w:szCs w:val="18"/>
                <w:vertAlign w:val="superscript"/>
              </w:rPr>
              <w:t>‡</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0.69, 1.10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1.12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0.71, 1.76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0.52, 1.21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0.59, 1.14</w:t>
            </w:r>
          </w:p>
        </w:tc>
      </w:tr>
      <w:tr w:rsidR="00F87112" w:rsidRPr="003470DB" w:rsidTr="00980EE3">
        <w:trPr>
          <w:trHeight w:val="250"/>
        </w:trPr>
        <w:tc>
          <w:tcPr>
            <w:tcW w:w="0" w:type="auto"/>
            <w:gridSpan w:val="12"/>
            <w:tcBorders>
              <w:top w:val="single" w:sz="8" w:space="0" w:color="auto"/>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xml:space="preserve">* Severe influenza is defined as admission to the ICU or death during hospitalization. </w:t>
            </w:r>
            <w:r w:rsidR="008330B4" w:rsidRPr="003470DB">
              <w:rPr>
                <w:rFonts w:ascii="Times New Roman" w:eastAsia="Times New Roman" w:hAnsi="Times New Roman" w:cs="Times New Roman"/>
                <w:color w:val="000000"/>
                <w:sz w:val="18"/>
                <w:szCs w:val="18"/>
              </w:rPr>
              <w:t xml:space="preserve">An odds ratio less than one implies that patients who received the influenza vaccine has decreased odds of severe influenza relative to patients who were not vaccinated. </w:t>
            </w:r>
            <w:r w:rsidRPr="003470DB">
              <w:rPr>
                <w:rFonts w:ascii="Times New Roman" w:hAnsi="Times New Roman" w:cs="Times New Roman"/>
                <w:color w:val="000000"/>
                <w:sz w:val="18"/>
                <w:szCs w:val="20"/>
              </w:rPr>
              <w:t>OR: odds ratio, 95% CI: 95% confidence interval.</w:t>
            </w:r>
          </w:p>
        </w:tc>
      </w:tr>
      <w:tr w:rsidR="00F87112" w:rsidRPr="003470DB" w:rsidTr="00980EE3">
        <w:trPr>
          <w:trHeight w:val="243"/>
        </w:trPr>
        <w:tc>
          <w:tcPr>
            <w:tcW w:w="0" w:type="auto"/>
            <w:gridSpan w:val="12"/>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Age is modeled as a continuous variable.</w:t>
            </w:r>
          </w:p>
        </w:tc>
      </w:tr>
      <w:tr w:rsidR="00F87112" w:rsidRPr="003470DB" w:rsidTr="00980EE3">
        <w:trPr>
          <w:trHeight w:val="450"/>
        </w:trPr>
        <w:tc>
          <w:tcPr>
            <w:tcW w:w="0" w:type="auto"/>
            <w:gridSpan w:val="12"/>
            <w:tcBorders>
              <w:top w:val="nil"/>
              <w:left w:val="nil"/>
              <w:bottom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xml:space="preserve">‡ Adjusted by all factors (season-vaccine interaction term, prompt treatment with antivirals, age, race, sex, obesity, asthma, CVD, CLD, CMD, neurological disease, blood disorders, renal disease, liver disease, immunosuppression, alcohol abuse, smoking status, and virus type) </w:t>
            </w:r>
          </w:p>
        </w:tc>
      </w:tr>
      <w:tr w:rsidR="00F87112" w:rsidRPr="003470DB" w:rsidTr="00980EE3">
        <w:trPr>
          <w:trHeight w:val="171"/>
        </w:trPr>
        <w:tc>
          <w:tcPr>
            <w:tcW w:w="0" w:type="auto"/>
            <w:gridSpan w:val="12"/>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p>
        </w:tc>
      </w:tr>
    </w:tbl>
    <w:p w:rsidR="00F87112" w:rsidRPr="003470DB" w:rsidRDefault="00F87112" w:rsidP="00F87112">
      <w:pPr>
        <w:rPr>
          <w:rFonts w:ascii="Times New Roman" w:hAnsi="Times New Roman" w:cs="Times New Roman"/>
        </w:rPr>
      </w:pPr>
    </w:p>
    <w:tbl>
      <w:tblPr>
        <w:tblW w:w="0" w:type="auto"/>
        <w:tblInd w:w="108" w:type="dxa"/>
        <w:tblLook w:val="04A0" w:firstRow="1" w:lastRow="0" w:firstColumn="1" w:lastColumn="0" w:noHBand="0" w:noVBand="1"/>
      </w:tblPr>
      <w:tblGrid>
        <w:gridCol w:w="1439"/>
        <w:gridCol w:w="738"/>
        <w:gridCol w:w="1299"/>
        <w:gridCol w:w="308"/>
        <w:gridCol w:w="737"/>
        <w:gridCol w:w="1299"/>
        <w:gridCol w:w="308"/>
        <w:gridCol w:w="737"/>
        <w:gridCol w:w="1299"/>
        <w:gridCol w:w="308"/>
        <w:gridCol w:w="737"/>
        <w:gridCol w:w="1299"/>
        <w:gridCol w:w="308"/>
        <w:gridCol w:w="737"/>
        <w:gridCol w:w="1299"/>
      </w:tblGrid>
      <w:tr w:rsidR="00F87112" w:rsidRPr="003470DB" w:rsidTr="00980EE3">
        <w:trPr>
          <w:trHeight w:val="300"/>
        </w:trPr>
        <w:tc>
          <w:tcPr>
            <w:tcW w:w="0" w:type="auto"/>
            <w:gridSpan w:val="15"/>
            <w:tcBorders>
              <w:top w:val="nil"/>
              <w:left w:val="nil"/>
              <w:bottom w:val="nil"/>
              <w:right w:val="nil"/>
            </w:tcBorders>
            <w:shd w:val="clear" w:color="auto" w:fill="auto"/>
            <w:noWrap/>
            <w:vAlign w:val="bottom"/>
            <w:hideMark/>
          </w:tcPr>
          <w:p w:rsidR="00F87112" w:rsidRPr="003470DB" w:rsidRDefault="00FF4E6D" w:rsidP="00980EE3">
            <w:pPr>
              <w:rPr>
                <w:rFonts w:ascii="Times New Roman" w:eastAsia="Times New Roman" w:hAnsi="Times New Roman" w:cs="Times New Roman"/>
                <w:color w:val="000000"/>
                <w:sz w:val="18"/>
                <w:szCs w:val="18"/>
                <w:vertAlign w:val="superscript"/>
              </w:rPr>
            </w:pPr>
            <w:r w:rsidRPr="003470DB">
              <w:rPr>
                <w:rFonts w:ascii="Times New Roman" w:eastAsia="Times New Roman" w:hAnsi="Times New Roman" w:cs="Times New Roman"/>
                <w:color w:val="000000"/>
                <w:sz w:val="18"/>
                <w:szCs w:val="18"/>
              </w:rPr>
              <w:t>SUPPLEMENT TABLE</w:t>
            </w:r>
            <w:r w:rsidR="005C1501" w:rsidRPr="003470DB">
              <w:rPr>
                <w:rFonts w:ascii="Times New Roman" w:eastAsia="Times New Roman" w:hAnsi="Times New Roman" w:cs="Times New Roman"/>
                <w:color w:val="000000"/>
                <w:sz w:val="18"/>
                <w:szCs w:val="18"/>
              </w:rPr>
              <w:t xml:space="preserve"> </w:t>
            </w:r>
            <w:r w:rsidR="003470DB">
              <w:rPr>
                <w:rFonts w:ascii="Times New Roman" w:eastAsia="Times New Roman" w:hAnsi="Times New Roman" w:cs="Times New Roman"/>
                <w:color w:val="000000"/>
                <w:sz w:val="18"/>
                <w:szCs w:val="18"/>
              </w:rPr>
              <w:t>S</w:t>
            </w:r>
            <w:r w:rsidR="005C1501" w:rsidRPr="003470DB">
              <w:rPr>
                <w:rFonts w:ascii="Times New Roman" w:eastAsia="Times New Roman" w:hAnsi="Times New Roman" w:cs="Times New Roman"/>
                <w:color w:val="000000"/>
                <w:sz w:val="18"/>
                <w:szCs w:val="18"/>
              </w:rPr>
              <w:t>2b</w:t>
            </w:r>
            <w:r w:rsidR="00F87112" w:rsidRPr="003470DB">
              <w:rPr>
                <w:rFonts w:ascii="Times New Roman" w:eastAsia="Times New Roman" w:hAnsi="Times New Roman" w:cs="Times New Roman"/>
                <w:color w:val="000000"/>
                <w:sz w:val="18"/>
                <w:szCs w:val="18"/>
              </w:rPr>
              <w:t>: Odds of severe influenza with respect to vaccination status by age categories</w:t>
            </w:r>
            <w:r w:rsidR="00F87112" w:rsidRPr="003470DB">
              <w:rPr>
                <w:rFonts w:ascii="Times New Roman" w:eastAsia="Times New Roman" w:hAnsi="Times New Roman" w:cs="Times New Roman"/>
                <w:color w:val="000000"/>
                <w:sz w:val="18"/>
                <w:szCs w:val="18"/>
                <w:vertAlign w:val="superscript"/>
              </w:rPr>
              <w:t>*,†</w:t>
            </w:r>
          </w:p>
        </w:tc>
      </w:tr>
      <w:tr w:rsidR="008330B4"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Overall</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0.5-4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5-24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25-64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65+ years old</w:t>
            </w:r>
          </w:p>
        </w:tc>
      </w:tr>
      <w:tr w:rsidR="008330B4"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95% CI</w:t>
            </w:r>
          </w:p>
        </w:tc>
      </w:tr>
      <w:tr w:rsidR="008330B4" w:rsidRPr="003470DB" w:rsidTr="00980EE3">
        <w:trPr>
          <w:trHeight w:val="300"/>
        </w:trPr>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Unadjusted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0.72, 1.10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1.19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0.48, 2.96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0.37, 1.54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0.99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0.71, 1.38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0.96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0.68, 1.35</w:t>
            </w:r>
          </w:p>
        </w:tc>
      </w:tr>
      <w:tr w:rsidR="008330B4" w:rsidRPr="003470DB" w:rsidTr="00980EE3">
        <w:trPr>
          <w:trHeight w:val="300"/>
        </w:trPr>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vertAlign w:val="superscript"/>
              </w:rPr>
            </w:pPr>
            <w:r w:rsidRPr="003470DB">
              <w:rPr>
                <w:rFonts w:ascii="Times New Roman" w:eastAsia="Times New Roman" w:hAnsi="Times New Roman" w:cs="Times New Roman"/>
                <w:color w:val="000000"/>
                <w:sz w:val="18"/>
                <w:szCs w:val="18"/>
              </w:rPr>
              <w:t xml:space="preserve">Adjusted </w:t>
            </w:r>
            <w:r w:rsidRPr="003470DB">
              <w:rPr>
                <w:rFonts w:ascii="Times New Roman" w:eastAsia="Times New Roman" w:hAnsi="Times New Roman" w:cs="Times New Roman"/>
                <w:color w:val="000000"/>
                <w:sz w:val="18"/>
                <w:szCs w:val="18"/>
                <w:vertAlign w:val="superscript"/>
              </w:rPr>
              <w:t>‡</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0.68, 1.09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0.31, 2.10</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0.62</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0.29, 1.31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0.85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0.59, 1.21</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0.95</w:t>
            </w:r>
          </w:p>
        </w:tc>
        <w:tc>
          <w:tcPr>
            <w:tcW w:w="0" w:type="auto"/>
            <w:tcBorders>
              <w:top w:val="nil"/>
              <w:left w:val="nil"/>
              <w:bottom w:val="nil"/>
              <w:right w:val="nil"/>
            </w:tcBorders>
            <w:shd w:val="clear" w:color="auto" w:fill="auto"/>
            <w:noWrap/>
            <w:hideMark/>
          </w:tcPr>
          <w:p w:rsidR="00F87112" w:rsidRPr="003470DB" w:rsidRDefault="00F87112" w:rsidP="00980EE3">
            <w:pPr>
              <w:jc w:val="cente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0.66, 1.35</w:t>
            </w:r>
          </w:p>
        </w:tc>
      </w:tr>
      <w:tr w:rsidR="00F87112" w:rsidRPr="003470DB" w:rsidTr="00980EE3">
        <w:trPr>
          <w:trHeight w:val="250"/>
        </w:trPr>
        <w:tc>
          <w:tcPr>
            <w:tcW w:w="0" w:type="auto"/>
            <w:gridSpan w:val="15"/>
            <w:tcBorders>
              <w:top w:val="single" w:sz="8" w:space="0" w:color="auto"/>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xml:space="preserve">* Severe influenza is defined as admission to the ICU or death during hospitalization. </w:t>
            </w:r>
            <w:r w:rsidR="008330B4" w:rsidRPr="003470DB">
              <w:rPr>
                <w:rFonts w:ascii="Times New Roman" w:eastAsia="Times New Roman" w:hAnsi="Times New Roman" w:cs="Times New Roman"/>
                <w:color w:val="000000"/>
                <w:sz w:val="18"/>
                <w:szCs w:val="18"/>
              </w:rPr>
              <w:t xml:space="preserve">An odds ratio less than one implies that patients who received the influenza vaccine has decreased odds of severe influenza relative to patients who were not vaccinated. </w:t>
            </w:r>
            <w:r w:rsidRPr="003470DB">
              <w:rPr>
                <w:rFonts w:ascii="Times New Roman" w:hAnsi="Times New Roman" w:cs="Times New Roman"/>
                <w:color w:val="000000"/>
                <w:sz w:val="18"/>
                <w:szCs w:val="20"/>
              </w:rPr>
              <w:t>OR: odds ratio, 95% CI: 95% confidence interval.</w:t>
            </w:r>
          </w:p>
        </w:tc>
      </w:tr>
      <w:tr w:rsidR="00F87112" w:rsidRPr="003470DB" w:rsidTr="00980EE3">
        <w:trPr>
          <w:trHeight w:val="135"/>
        </w:trPr>
        <w:tc>
          <w:tcPr>
            <w:tcW w:w="0" w:type="auto"/>
            <w:gridSpan w:val="15"/>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Age is modeled as a categorical variable.</w:t>
            </w:r>
          </w:p>
        </w:tc>
      </w:tr>
      <w:tr w:rsidR="00F87112" w:rsidRPr="003470DB" w:rsidTr="00980EE3">
        <w:trPr>
          <w:trHeight w:val="315"/>
        </w:trPr>
        <w:tc>
          <w:tcPr>
            <w:tcW w:w="0" w:type="auto"/>
            <w:gridSpan w:val="15"/>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8"/>
                <w:szCs w:val="18"/>
              </w:rPr>
            </w:pPr>
            <w:r w:rsidRPr="003470DB">
              <w:rPr>
                <w:rFonts w:ascii="Times New Roman" w:eastAsia="Times New Roman" w:hAnsi="Times New Roman" w:cs="Times New Roman"/>
                <w:color w:val="000000"/>
                <w:sz w:val="18"/>
                <w:szCs w:val="18"/>
              </w:rPr>
              <w:t>‡ Adjusted by all factors (age category-vaccine interaction term, prompt treatment with antivirals, age, race, sex, obesity, asthma, CVD, CLD, CMD, neurological disease, blood disorders, renal disease, liver disease, immunosuppression, alcohol abuse, smoking status, and virus type).</w:t>
            </w:r>
          </w:p>
        </w:tc>
      </w:tr>
    </w:tbl>
    <w:p w:rsidR="00F87112" w:rsidRPr="003470DB" w:rsidRDefault="00F87112" w:rsidP="00F87112">
      <w:pPr>
        <w:rPr>
          <w:rFonts w:ascii="Times New Roman" w:hAnsi="Times New Roman" w:cs="Times New Roman"/>
        </w:rPr>
      </w:pPr>
    </w:p>
    <w:p w:rsidR="00F87112" w:rsidRPr="003470DB" w:rsidRDefault="00F87112" w:rsidP="00F87112">
      <w:pPr>
        <w:rPr>
          <w:rFonts w:ascii="Times New Roman" w:hAnsi="Times New Roman" w:cs="Times New Roman"/>
        </w:rPr>
      </w:pPr>
      <w:r w:rsidRPr="003470DB">
        <w:rPr>
          <w:rFonts w:ascii="Times New Roman" w:hAnsi="Times New Roman" w:cs="Times New Roman"/>
        </w:rPr>
        <w:br w:type="page"/>
      </w:r>
    </w:p>
    <w:tbl>
      <w:tblPr>
        <w:tblW w:w="10912" w:type="dxa"/>
        <w:tblInd w:w="108" w:type="dxa"/>
        <w:tblLook w:val="04A0" w:firstRow="1" w:lastRow="0" w:firstColumn="1" w:lastColumn="0" w:noHBand="0" w:noVBand="1"/>
      </w:tblPr>
      <w:tblGrid>
        <w:gridCol w:w="2021"/>
        <w:gridCol w:w="638"/>
        <w:gridCol w:w="1386"/>
        <w:gridCol w:w="271"/>
        <w:gridCol w:w="638"/>
        <w:gridCol w:w="1386"/>
        <w:gridCol w:w="271"/>
        <w:gridCol w:w="638"/>
        <w:gridCol w:w="1386"/>
        <w:gridCol w:w="271"/>
        <w:gridCol w:w="638"/>
        <w:gridCol w:w="1386"/>
      </w:tblGrid>
      <w:tr w:rsidR="00F87112" w:rsidRPr="003470DB" w:rsidTr="00980EE3">
        <w:trPr>
          <w:trHeight w:val="300"/>
        </w:trPr>
        <w:tc>
          <w:tcPr>
            <w:tcW w:w="10912" w:type="dxa"/>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lastRenderedPageBreak/>
              <w:t xml:space="preserve">SUPPLEMENT TABLE </w:t>
            </w:r>
            <w:r w:rsidR="003470DB">
              <w:rPr>
                <w:rFonts w:ascii="Times New Roman" w:eastAsia="Times New Roman" w:hAnsi="Times New Roman" w:cs="Times New Roman"/>
                <w:color w:val="000000"/>
                <w:sz w:val="22"/>
                <w:szCs w:val="22"/>
              </w:rPr>
              <w:t>S</w:t>
            </w:r>
            <w:r w:rsidRPr="003470DB">
              <w:rPr>
                <w:rFonts w:ascii="Times New Roman" w:eastAsia="Times New Roman" w:hAnsi="Times New Roman" w:cs="Times New Roman"/>
                <w:color w:val="000000"/>
                <w:sz w:val="22"/>
                <w:szCs w:val="22"/>
              </w:rPr>
              <w:t>3a</w:t>
            </w:r>
            <w:r w:rsidR="00F87112" w:rsidRPr="003470DB">
              <w:rPr>
                <w:rFonts w:ascii="Times New Roman" w:eastAsia="Times New Roman" w:hAnsi="Times New Roman" w:cs="Times New Roman"/>
                <w:color w:val="000000"/>
                <w:sz w:val="22"/>
                <w:szCs w:val="22"/>
              </w:rPr>
              <w:t>: The association of timing between vaccination and hospital admission (&lt;100 days, ≥100 days) with pneumonia by season</w:t>
            </w:r>
          </w:p>
        </w:tc>
      </w:tr>
      <w:tr w:rsidR="00F87112" w:rsidRPr="003470DB" w:rsidTr="00980EE3">
        <w:trPr>
          <w:trHeight w:val="315"/>
        </w:trPr>
        <w:tc>
          <w:tcPr>
            <w:tcW w:w="2021"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Overall</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2012-2013</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2013-2014</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2014-2015</w:t>
            </w:r>
          </w:p>
        </w:tc>
      </w:tr>
      <w:tr w:rsidR="00F87112" w:rsidRPr="003470DB" w:rsidTr="00980EE3">
        <w:trPr>
          <w:trHeight w:val="300"/>
        </w:trPr>
        <w:tc>
          <w:tcPr>
            <w:tcW w:w="2021"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r>
      <w:tr w:rsidR="00F87112" w:rsidRPr="003470DB" w:rsidTr="00980EE3">
        <w:trPr>
          <w:trHeight w:val="300"/>
        </w:trPr>
        <w:tc>
          <w:tcPr>
            <w:tcW w:w="2021" w:type="dxa"/>
            <w:tcBorders>
              <w:top w:val="nil"/>
              <w:left w:val="nil"/>
              <w:bottom w:val="nil"/>
              <w:right w:val="nil"/>
            </w:tcBorders>
            <w:shd w:val="clear" w:color="auto" w:fill="auto"/>
            <w:noWrap/>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0.89</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0.66, 1.18</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0.60</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0.30, 1.18</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1.02</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0.54, 1.95</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0.92</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0.63, 1.34</w:t>
            </w:r>
          </w:p>
        </w:tc>
      </w:tr>
      <w:tr w:rsidR="00F87112" w:rsidRPr="003470DB" w:rsidTr="00980EE3">
        <w:trPr>
          <w:trHeight w:val="285"/>
        </w:trPr>
        <w:tc>
          <w:tcPr>
            <w:tcW w:w="2021" w:type="dxa"/>
            <w:tcBorders>
              <w:top w:val="nil"/>
              <w:left w:val="nil"/>
              <w:bottom w:val="single" w:sz="8" w:space="0" w:color="auto"/>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Adjusted </w:t>
            </w:r>
            <w:r w:rsidR="000A2EAA" w:rsidRPr="003470DB">
              <w:rPr>
                <w:rFonts w:ascii="Times New Roman" w:eastAsia="Times New Roman" w:hAnsi="Times New Roman" w:cs="Times New Roman"/>
                <w:color w:val="000000"/>
                <w:sz w:val="22"/>
                <w:szCs w:val="22"/>
              </w:rPr>
              <w:t>*</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0.79</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0.57, 1.08</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0.58</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0.29, 1.18</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0.95</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0.48, 1.88</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0.82</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0.54, 1.22</w:t>
            </w:r>
          </w:p>
        </w:tc>
      </w:tr>
      <w:tr w:rsidR="00F87112" w:rsidRPr="003470DB" w:rsidTr="00980EE3">
        <w:trPr>
          <w:trHeight w:val="345"/>
        </w:trPr>
        <w:tc>
          <w:tcPr>
            <w:tcW w:w="10912" w:type="dxa"/>
            <w:gridSpan w:val="12"/>
            <w:tcBorders>
              <w:top w:val="single" w:sz="8" w:space="0" w:color="auto"/>
              <w:left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 Time is modeled as an indicator variable.  The variable indicates whether it has been ≥100 days between vaccination and hospitalization. </w:t>
            </w:r>
            <w:r w:rsidR="000A2EAA" w:rsidRPr="003470DB">
              <w:rPr>
                <w:rFonts w:ascii="Times New Roman" w:eastAsia="Times New Roman" w:hAnsi="Times New Roman" w:cs="Times New Roman"/>
                <w:color w:val="000000"/>
                <w:sz w:val="22"/>
                <w:szCs w:val="22"/>
              </w:rPr>
              <w:t xml:space="preserve">An odds ratio &gt; 1 suggests that patients with at least 100 days between vaccination and hospitalization have increased odds of pneumonia, relative to patients with less than 100 days between vaccination and hospitalization. </w:t>
            </w:r>
            <w:r w:rsidRPr="003470DB">
              <w:rPr>
                <w:rFonts w:ascii="Times New Roman" w:hAnsi="Times New Roman" w:cs="Times New Roman"/>
                <w:color w:val="000000"/>
                <w:sz w:val="22"/>
                <w:szCs w:val="20"/>
              </w:rPr>
              <w:t>OR: odds ratio, 95% CI: 95% confidence interval</w:t>
            </w:r>
          </w:p>
        </w:tc>
      </w:tr>
      <w:tr w:rsidR="00F87112" w:rsidRPr="003470DB" w:rsidTr="00980EE3">
        <w:trPr>
          <w:trHeight w:val="345"/>
        </w:trPr>
        <w:tc>
          <w:tcPr>
            <w:tcW w:w="10912" w:type="dxa"/>
            <w:gridSpan w:val="12"/>
            <w:tcBorders>
              <w:left w:val="nil"/>
              <w:right w:val="nil"/>
            </w:tcBorders>
            <w:shd w:val="clear" w:color="auto" w:fill="auto"/>
            <w:vAlign w:val="bottom"/>
          </w:tcPr>
          <w:p w:rsidR="00F87112" w:rsidRPr="003470DB" w:rsidRDefault="000A2EAA"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w:t>
            </w:r>
            <w:r w:rsidR="00F87112" w:rsidRPr="003470DB">
              <w:rPr>
                <w:rFonts w:ascii="Times New Roman" w:eastAsia="Times New Roman" w:hAnsi="Times New Roman" w:cs="Times New Roman"/>
                <w:color w:val="000000"/>
                <w:sz w:val="22"/>
                <w:szCs w:val="22"/>
              </w:rPr>
              <w:t xml:space="preserve"> Adjusted for the following confounders: age (in years), prompt treatment with antivirals, race, sex, obesity, asthma, CVD, CLD, CMD, neurological disease, blood disorders, renal disease, liver disease, immunosuppression, alcohol abuse, smoking status, and virus type.</w:t>
            </w:r>
          </w:p>
        </w:tc>
      </w:tr>
      <w:tr w:rsidR="00F87112" w:rsidRPr="003470DB" w:rsidTr="00980EE3">
        <w:trPr>
          <w:trHeight w:val="345"/>
        </w:trPr>
        <w:tc>
          <w:tcPr>
            <w:tcW w:w="10912" w:type="dxa"/>
            <w:gridSpan w:val="12"/>
            <w:tcBorders>
              <w:left w:val="nil"/>
              <w:bottom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22"/>
                <w:szCs w:val="22"/>
              </w:rPr>
            </w:pPr>
          </w:p>
        </w:tc>
      </w:tr>
    </w:tbl>
    <w:p w:rsidR="00F87112" w:rsidRPr="003470DB" w:rsidRDefault="00F87112" w:rsidP="00F87112">
      <w:pPr>
        <w:rPr>
          <w:rFonts w:ascii="Times New Roman" w:hAnsi="Times New Roman" w:cs="Times New Roman"/>
        </w:rPr>
      </w:pPr>
    </w:p>
    <w:tbl>
      <w:tblPr>
        <w:tblW w:w="10912" w:type="dxa"/>
        <w:tblInd w:w="108" w:type="dxa"/>
        <w:tblLook w:val="04A0" w:firstRow="1" w:lastRow="0" w:firstColumn="1" w:lastColumn="0" w:noHBand="0" w:noVBand="1"/>
      </w:tblPr>
      <w:tblGrid>
        <w:gridCol w:w="2021"/>
        <w:gridCol w:w="638"/>
        <w:gridCol w:w="1386"/>
        <w:gridCol w:w="271"/>
        <w:gridCol w:w="638"/>
        <w:gridCol w:w="1386"/>
        <w:gridCol w:w="271"/>
        <w:gridCol w:w="638"/>
        <w:gridCol w:w="1386"/>
        <w:gridCol w:w="271"/>
        <w:gridCol w:w="638"/>
        <w:gridCol w:w="1386"/>
      </w:tblGrid>
      <w:tr w:rsidR="00F87112" w:rsidRPr="003470DB" w:rsidTr="00980EE3">
        <w:trPr>
          <w:trHeight w:val="300"/>
        </w:trPr>
        <w:tc>
          <w:tcPr>
            <w:tcW w:w="10912" w:type="dxa"/>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SUPPLEMENT TABLE </w:t>
            </w:r>
            <w:r w:rsidR="003470DB">
              <w:rPr>
                <w:rFonts w:ascii="Times New Roman" w:eastAsia="Times New Roman" w:hAnsi="Times New Roman" w:cs="Times New Roman"/>
                <w:color w:val="000000"/>
                <w:sz w:val="22"/>
                <w:szCs w:val="22"/>
              </w:rPr>
              <w:t>S</w:t>
            </w:r>
            <w:r w:rsidRPr="003470DB">
              <w:rPr>
                <w:rFonts w:ascii="Times New Roman" w:eastAsia="Times New Roman" w:hAnsi="Times New Roman" w:cs="Times New Roman"/>
                <w:color w:val="000000"/>
                <w:sz w:val="22"/>
                <w:szCs w:val="22"/>
              </w:rPr>
              <w:t>3b</w:t>
            </w:r>
            <w:r w:rsidR="00F87112" w:rsidRPr="003470DB">
              <w:rPr>
                <w:rFonts w:ascii="Times New Roman" w:eastAsia="Times New Roman" w:hAnsi="Times New Roman" w:cs="Times New Roman"/>
                <w:color w:val="000000"/>
                <w:sz w:val="22"/>
                <w:szCs w:val="22"/>
              </w:rPr>
              <w:t>: The association of timing between vaccination and hospital admission (continuous) with pneumonia by season</w:t>
            </w:r>
          </w:p>
        </w:tc>
      </w:tr>
      <w:tr w:rsidR="00F87112" w:rsidRPr="003470DB" w:rsidTr="00980EE3">
        <w:trPr>
          <w:trHeight w:val="315"/>
        </w:trPr>
        <w:tc>
          <w:tcPr>
            <w:tcW w:w="2021"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Overall</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2012-2013</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2013-2014</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24"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2014-2015</w:t>
            </w:r>
          </w:p>
        </w:tc>
      </w:tr>
      <w:tr w:rsidR="00F87112" w:rsidRPr="003470DB" w:rsidTr="00980EE3">
        <w:trPr>
          <w:trHeight w:val="300"/>
        </w:trPr>
        <w:tc>
          <w:tcPr>
            <w:tcW w:w="2021"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8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r>
      <w:tr w:rsidR="00F87112" w:rsidRPr="003470DB" w:rsidTr="00980EE3">
        <w:trPr>
          <w:trHeight w:val="300"/>
        </w:trPr>
        <w:tc>
          <w:tcPr>
            <w:tcW w:w="2021" w:type="dxa"/>
            <w:tcBorders>
              <w:top w:val="nil"/>
              <w:left w:val="nil"/>
              <w:bottom w:val="nil"/>
              <w:right w:val="nil"/>
            </w:tcBorders>
            <w:shd w:val="clear" w:color="auto" w:fill="auto"/>
            <w:noWrap/>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0.99</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0.96, 1.01</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0.96</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0.91, 1.01</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0.97</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0.92, 1.01</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38"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1.00</w:t>
            </w:r>
          </w:p>
        </w:tc>
        <w:tc>
          <w:tcPr>
            <w:tcW w:w="138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0.97, 1.03</w:t>
            </w:r>
          </w:p>
        </w:tc>
      </w:tr>
      <w:tr w:rsidR="00F87112" w:rsidRPr="003470DB" w:rsidTr="00980EE3">
        <w:trPr>
          <w:trHeight w:val="315"/>
        </w:trPr>
        <w:tc>
          <w:tcPr>
            <w:tcW w:w="2021" w:type="dxa"/>
            <w:tcBorders>
              <w:top w:val="nil"/>
              <w:left w:val="nil"/>
              <w:bottom w:val="single" w:sz="8" w:space="0" w:color="auto"/>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Adjusted </w:t>
            </w:r>
            <w:r w:rsidR="000A2EAA" w:rsidRPr="003470DB">
              <w:rPr>
                <w:rFonts w:ascii="Times New Roman" w:eastAsia="Times New Roman" w:hAnsi="Times New Roman" w:cs="Times New Roman"/>
                <w:color w:val="000000"/>
                <w:sz w:val="22"/>
                <w:szCs w:val="22"/>
              </w:rPr>
              <w:t>*</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0.97</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0.95, 1.00</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0.95</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0.90, 1.01</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0.96</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0.92, 1.01</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38"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0.99</w:t>
            </w:r>
          </w:p>
        </w:tc>
        <w:tc>
          <w:tcPr>
            <w:tcW w:w="138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0.95, 1.02</w:t>
            </w:r>
          </w:p>
        </w:tc>
      </w:tr>
      <w:tr w:rsidR="00F87112" w:rsidRPr="003470DB" w:rsidTr="00980EE3">
        <w:trPr>
          <w:trHeight w:val="300"/>
        </w:trPr>
        <w:tc>
          <w:tcPr>
            <w:tcW w:w="10912" w:type="dxa"/>
            <w:gridSpan w:val="12"/>
            <w:tcBorders>
              <w:top w:val="single" w:sz="8" w:space="0" w:color="auto"/>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2"/>
                <w:szCs w:val="22"/>
              </w:rPr>
            </w:pPr>
            <w:r w:rsidRPr="003470DB">
              <w:rPr>
                <w:rFonts w:ascii="Times New Roman" w:eastAsia="Times New Roman" w:hAnsi="Times New Roman" w:cs="Times New Roman"/>
                <w:sz w:val="22"/>
                <w:szCs w:val="22"/>
              </w:rPr>
              <w:t xml:space="preserve"> Time is modeled as a continuous variable.  The variable indicates how many weeks have occurred between vaccination and hospitalization. </w:t>
            </w:r>
            <w:r w:rsidR="000A2EAA" w:rsidRPr="003470DB">
              <w:rPr>
                <w:rFonts w:ascii="Times New Roman" w:eastAsia="Times New Roman" w:hAnsi="Times New Roman" w:cs="Times New Roman"/>
                <w:color w:val="000000"/>
                <w:sz w:val="22"/>
                <w:szCs w:val="22"/>
              </w:rPr>
              <w:t xml:space="preserve">An odds ratio &gt; 1 suggests that patients have increased odds of pneumonia, relative to patients with one week less between vaccination and hospitalization. </w:t>
            </w:r>
            <w:r w:rsidRPr="003470DB">
              <w:rPr>
                <w:rFonts w:ascii="Times New Roman" w:hAnsi="Times New Roman" w:cs="Times New Roman"/>
                <w:color w:val="000000"/>
                <w:sz w:val="22"/>
                <w:szCs w:val="20"/>
              </w:rPr>
              <w:t>OR: odds ratio, 95% CI: 95% confidence interval</w:t>
            </w:r>
          </w:p>
        </w:tc>
      </w:tr>
      <w:tr w:rsidR="00F87112" w:rsidRPr="003470DB" w:rsidTr="00980EE3">
        <w:trPr>
          <w:trHeight w:val="300"/>
        </w:trPr>
        <w:tc>
          <w:tcPr>
            <w:tcW w:w="10912" w:type="dxa"/>
            <w:gridSpan w:val="12"/>
            <w:tcBorders>
              <w:left w:val="nil"/>
              <w:right w:val="nil"/>
            </w:tcBorders>
            <w:shd w:val="clear" w:color="auto" w:fill="auto"/>
            <w:noWrap/>
            <w:vAlign w:val="bottom"/>
          </w:tcPr>
          <w:p w:rsidR="00F87112" w:rsidRPr="003470DB" w:rsidRDefault="000A2EAA" w:rsidP="00980EE3">
            <w:pPr>
              <w:rPr>
                <w:rFonts w:ascii="Times New Roman" w:eastAsia="Times New Roman" w:hAnsi="Times New Roman" w:cs="Times New Roman"/>
                <w:sz w:val="22"/>
                <w:szCs w:val="22"/>
              </w:rPr>
            </w:pPr>
            <w:r w:rsidRPr="003470DB">
              <w:rPr>
                <w:rFonts w:ascii="Times New Roman" w:eastAsia="Times New Roman" w:hAnsi="Times New Roman" w:cs="Times New Roman"/>
                <w:sz w:val="22"/>
                <w:szCs w:val="22"/>
              </w:rPr>
              <w:t>*</w:t>
            </w:r>
            <w:r w:rsidR="00F87112" w:rsidRPr="003470DB">
              <w:rPr>
                <w:rFonts w:ascii="Times New Roman" w:eastAsia="Times New Roman" w:hAnsi="Times New Roman" w:cs="Times New Roman"/>
                <w:sz w:val="22"/>
                <w:szCs w:val="22"/>
              </w:rPr>
              <w:t xml:space="preserve"> Adjusted for the following confounders: age (in years), prompt treatment with antivirals, race, sex, obesity, asthma, CVD, CLD, CMD, neurological disease, blood disorders, renal disease, liver disease, immunosuppression, alcohol abuse, smoking status, and virus type.</w:t>
            </w:r>
          </w:p>
        </w:tc>
      </w:tr>
      <w:tr w:rsidR="00F87112" w:rsidRPr="003470DB" w:rsidTr="00980EE3">
        <w:trPr>
          <w:trHeight w:val="300"/>
        </w:trPr>
        <w:tc>
          <w:tcPr>
            <w:tcW w:w="10912" w:type="dxa"/>
            <w:gridSpan w:val="12"/>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sz w:val="22"/>
                <w:szCs w:val="22"/>
              </w:rPr>
            </w:pPr>
          </w:p>
        </w:tc>
      </w:tr>
    </w:tbl>
    <w:p w:rsidR="00F87112" w:rsidRPr="003470DB" w:rsidRDefault="00F87112" w:rsidP="00F87112">
      <w:pPr>
        <w:rPr>
          <w:rFonts w:ascii="Times New Roman" w:hAnsi="Times New Roman" w:cs="Times New Roman"/>
        </w:rPr>
      </w:pPr>
      <w:r w:rsidRPr="003470DB">
        <w:rPr>
          <w:rFonts w:ascii="Times New Roman" w:hAnsi="Times New Roman" w:cs="Times New Roman"/>
        </w:rPr>
        <w:br w:type="page"/>
      </w:r>
    </w:p>
    <w:tbl>
      <w:tblPr>
        <w:tblW w:w="10540" w:type="dxa"/>
        <w:tblInd w:w="108" w:type="dxa"/>
        <w:tblLook w:val="04A0" w:firstRow="1" w:lastRow="0" w:firstColumn="1" w:lastColumn="0" w:noHBand="0" w:noVBand="1"/>
      </w:tblPr>
      <w:tblGrid>
        <w:gridCol w:w="1857"/>
        <w:gridCol w:w="627"/>
        <w:gridCol w:w="1305"/>
        <w:gridCol w:w="271"/>
        <w:gridCol w:w="627"/>
        <w:gridCol w:w="1305"/>
        <w:gridCol w:w="271"/>
        <w:gridCol w:w="627"/>
        <w:gridCol w:w="1465"/>
        <w:gridCol w:w="271"/>
        <w:gridCol w:w="627"/>
        <w:gridCol w:w="1305"/>
      </w:tblGrid>
      <w:tr w:rsidR="00F87112" w:rsidRPr="003470DB" w:rsidTr="00980EE3">
        <w:trPr>
          <w:trHeight w:val="300"/>
        </w:trPr>
        <w:tc>
          <w:tcPr>
            <w:tcW w:w="10540" w:type="dxa"/>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lastRenderedPageBreak/>
              <w:t xml:space="preserve">SUPPLEMENT TABLE </w:t>
            </w:r>
            <w:r w:rsidR="003470DB">
              <w:rPr>
                <w:rFonts w:ascii="Times New Roman" w:eastAsia="Times New Roman" w:hAnsi="Times New Roman" w:cs="Times New Roman"/>
                <w:color w:val="000000"/>
                <w:sz w:val="22"/>
                <w:szCs w:val="22"/>
              </w:rPr>
              <w:t>S</w:t>
            </w:r>
            <w:r w:rsidRPr="003470DB">
              <w:rPr>
                <w:rFonts w:ascii="Times New Roman" w:eastAsia="Times New Roman" w:hAnsi="Times New Roman" w:cs="Times New Roman"/>
                <w:color w:val="000000"/>
                <w:sz w:val="22"/>
                <w:szCs w:val="22"/>
              </w:rPr>
              <w:t>3c</w:t>
            </w:r>
            <w:r w:rsidR="00F87112" w:rsidRPr="003470DB">
              <w:rPr>
                <w:rFonts w:ascii="Times New Roman" w:eastAsia="Times New Roman" w:hAnsi="Times New Roman" w:cs="Times New Roman"/>
                <w:color w:val="000000"/>
                <w:sz w:val="22"/>
                <w:szCs w:val="22"/>
              </w:rPr>
              <w:t>: The of association timing between vaccination and hospital admission (&lt;100 days, ≥100 days) with pneumonia by season</w:t>
            </w:r>
            <w:r w:rsidR="00F87112" w:rsidRPr="003470DB" w:rsidDel="000C4848">
              <w:rPr>
                <w:rFonts w:ascii="Times New Roman" w:eastAsia="Times New Roman" w:hAnsi="Times New Roman" w:cs="Times New Roman"/>
                <w:color w:val="000000"/>
                <w:sz w:val="22"/>
                <w:szCs w:val="22"/>
              </w:rPr>
              <w:t xml:space="preserve"> </w:t>
            </w:r>
            <w:r w:rsidR="00F87112" w:rsidRPr="003470DB">
              <w:rPr>
                <w:rFonts w:ascii="Times New Roman" w:eastAsia="Times New Roman" w:hAnsi="Times New Roman" w:cs="Times New Roman"/>
                <w:color w:val="000000"/>
                <w:sz w:val="22"/>
                <w:szCs w:val="22"/>
              </w:rPr>
              <w:t xml:space="preserve">among 25-64 year </w:t>
            </w:r>
            <w:proofErr w:type="spellStart"/>
            <w:r w:rsidR="00F87112" w:rsidRPr="003470DB">
              <w:rPr>
                <w:rFonts w:ascii="Times New Roman" w:eastAsia="Times New Roman" w:hAnsi="Times New Roman" w:cs="Times New Roman"/>
                <w:color w:val="000000"/>
                <w:sz w:val="22"/>
                <w:szCs w:val="22"/>
              </w:rPr>
              <w:t>olds</w:t>
            </w:r>
            <w:proofErr w:type="spellEnd"/>
          </w:p>
        </w:tc>
      </w:tr>
      <w:tr w:rsidR="00F87112" w:rsidRPr="003470DB" w:rsidTr="00980EE3">
        <w:trPr>
          <w:trHeight w:val="315"/>
        </w:trPr>
        <w:tc>
          <w:tcPr>
            <w:tcW w:w="185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1932"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Overall</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1932"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2012-2013</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2092"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2013-2014</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1932"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2014-2015</w:t>
            </w:r>
          </w:p>
        </w:tc>
      </w:tr>
      <w:tr w:rsidR="00F87112" w:rsidRPr="003470DB" w:rsidTr="00980EE3">
        <w:trPr>
          <w:trHeight w:val="300"/>
        </w:trPr>
        <w:tc>
          <w:tcPr>
            <w:tcW w:w="1857"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05"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05"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465"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05"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r>
      <w:tr w:rsidR="00F87112" w:rsidRPr="003470DB" w:rsidTr="00980EE3">
        <w:trPr>
          <w:trHeight w:val="300"/>
        </w:trPr>
        <w:tc>
          <w:tcPr>
            <w:tcW w:w="1857" w:type="dxa"/>
            <w:tcBorders>
              <w:top w:val="nil"/>
              <w:left w:val="nil"/>
              <w:bottom w:val="nil"/>
              <w:right w:val="nil"/>
            </w:tcBorders>
            <w:shd w:val="clear" w:color="auto" w:fill="auto"/>
            <w:noWrap/>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1.49</w:t>
            </w:r>
          </w:p>
        </w:tc>
        <w:tc>
          <w:tcPr>
            <w:tcW w:w="130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0.86, 2.58</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0.68</w:t>
            </w:r>
          </w:p>
        </w:tc>
        <w:tc>
          <w:tcPr>
            <w:tcW w:w="130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0.18, 2.62</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2.23</w:t>
            </w:r>
          </w:p>
        </w:tc>
        <w:tc>
          <w:tcPr>
            <w:tcW w:w="14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0.78, 6.38</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1.44</w:t>
            </w:r>
          </w:p>
        </w:tc>
        <w:tc>
          <w:tcPr>
            <w:tcW w:w="130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0.67, 3.12</w:t>
            </w:r>
          </w:p>
        </w:tc>
      </w:tr>
      <w:tr w:rsidR="00F87112" w:rsidRPr="003470DB" w:rsidTr="00980EE3">
        <w:trPr>
          <w:trHeight w:val="360"/>
        </w:trPr>
        <w:tc>
          <w:tcPr>
            <w:tcW w:w="185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Adjusted </w:t>
            </w:r>
            <w:r w:rsidR="000A2EAA" w:rsidRPr="003470DB">
              <w:rPr>
                <w:rFonts w:ascii="Times New Roman" w:eastAsia="Times New Roman" w:hAnsi="Times New Roman" w:cs="Times New Roman"/>
                <w:color w:val="000000"/>
                <w:sz w:val="22"/>
                <w:szCs w:val="22"/>
              </w:rPr>
              <w:t>*</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1.44</w:t>
            </w:r>
          </w:p>
        </w:tc>
        <w:tc>
          <w:tcPr>
            <w:tcW w:w="130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0.75, 2.77</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0.48</w:t>
            </w:r>
          </w:p>
        </w:tc>
        <w:tc>
          <w:tcPr>
            <w:tcW w:w="130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0.10, 2.20</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3.20</w:t>
            </w:r>
          </w:p>
        </w:tc>
        <w:tc>
          <w:tcPr>
            <w:tcW w:w="14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0.93, 10.98</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1.29</w:t>
            </w:r>
          </w:p>
        </w:tc>
        <w:tc>
          <w:tcPr>
            <w:tcW w:w="130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0.51, 3.22</w:t>
            </w:r>
          </w:p>
        </w:tc>
      </w:tr>
      <w:tr w:rsidR="00F87112" w:rsidRPr="003470DB" w:rsidTr="00980EE3">
        <w:trPr>
          <w:trHeight w:val="300"/>
        </w:trPr>
        <w:tc>
          <w:tcPr>
            <w:tcW w:w="10540" w:type="dxa"/>
            <w:gridSpan w:val="12"/>
            <w:tcBorders>
              <w:top w:val="single" w:sz="8" w:space="0" w:color="auto"/>
              <w:left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 Time is modeled as an indicator variable.  The variable indicates whether it has been ≥100 days between vaccination and hospitalization.  </w:t>
            </w:r>
            <w:r w:rsidR="000A2EAA" w:rsidRPr="003470DB">
              <w:rPr>
                <w:rFonts w:ascii="Times New Roman" w:eastAsia="Times New Roman" w:hAnsi="Times New Roman" w:cs="Times New Roman"/>
                <w:color w:val="000000"/>
                <w:sz w:val="22"/>
                <w:szCs w:val="22"/>
              </w:rPr>
              <w:t xml:space="preserve">An odds ratio &gt; 1 suggests that patients with at least 100 days between vaccination and hospitalization have increased odds of pneumonia, relative to patients with less than 100 days between vaccination and hospitalization. </w:t>
            </w:r>
            <w:r w:rsidRPr="003470DB">
              <w:rPr>
                <w:rFonts w:ascii="Times New Roman" w:hAnsi="Times New Roman" w:cs="Times New Roman"/>
                <w:color w:val="000000"/>
                <w:sz w:val="22"/>
                <w:szCs w:val="20"/>
              </w:rPr>
              <w:t>OR: odds ratio, 95% CI: 95% confidence interval</w:t>
            </w:r>
            <w:r w:rsidRPr="003470DB" w:rsidDel="007E79B8">
              <w:rPr>
                <w:rFonts w:ascii="Times New Roman" w:eastAsia="Times New Roman" w:hAnsi="Times New Roman" w:cs="Times New Roman"/>
                <w:color w:val="000000"/>
                <w:sz w:val="22"/>
                <w:szCs w:val="22"/>
              </w:rPr>
              <w:t xml:space="preserve"> </w:t>
            </w:r>
          </w:p>
        </w:tc>
      </w:tr>
      <w:tr w:rsidR="00F87112" w:rsidRPr="003470DB" w:rsidTr="00980EE3">
        <w:trPr>
          <w:trHeight w:val="300"/>
        </w:trPr>
        <w:tc>
          <w:tcPr>
            <w:tcW w:w="10540" w:type="dxa"/>
            <w:gridSpan w:val="12"/>
            <w:tcBorders>
              <w:left w:val="nil"/>
              <w:bottom w:val="nil"/>
              <w:right w:val="nil"/>
            </w:tcBorders>
            <w:shd w:val="clear" w:color="auto" w:fill="auto"/>
            <w:vAlign w:val="bottom"/>
          </w:tcPr>
          <w:p w:rsidR="00F87112" w:rsidRPr="003470DB" w:rsidRDefault="000A2EAA"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w:t>
            </w:r>
            <w:r w:rsidR="00F87112" w:rsidRPr="003470DB">
              <w:rPr>
                <w:rFonts w:ascii="Times New Roman" w:eastAsia="Times New Roman" w:hAnsi="Times New Roman" w:cs="Times New Roman"/>
                <w:color w:val="000000"/>
                <w:sz w:val="22"/>
                <w:szCs w:val="22"/>
              </w:rPr>
              <w:t xml:space="preserve"> Adjusted for the following confounders: age (in years), prompt treatment with antivirals, race, sex, obesity, asthma, CVD, CLD, CMD, neurological disease, blood disorders, renal disease, liver disease, immunosuppression, alcohol abuse, smoking status, and virus type.</w:t>
            </w:r>
          </w:p>
        </w:tc>
      </w:tr>
    </w:tbl>
    <w:p w:rsidR="00F87112" w:rsidRPr="003470DB" w:rsidRDefault="00F87112" w:rsidP="00F87112">
      <w:pPr>
        <w:rPr>
          <w:rFonts w:ascii="Times New Roman" w:hAnsi="Times New Roman" w:cs="Times New Roman"/>
        </w:rPr>
      </w:pPr>
    </w:p>
    <w:tbl>
      <w:tblPr>
        <w:tblW w:w="10494" w:type="dxa"/>
        <w:tblInd w:w="108" w:type="dxa"/>
        <w:tblLook w:val="04A0" w:firstRow="1" w:lastRow="0" w:firstColumn="1" w:lastColumn="0" w:noHBand="0" w:noVBand="1"/>
      </w:tblPr>
      <w:tblGrid>
        <w:gridCol w:w="1887"/>
        <w:gridCol w:w="627"/>
        <w:gridCol w:w="1326"/>
        <w:gridCol w:w="271"/>
        <w:gridCol w:w="627"/>
        <w:gridCol w:w="1326"/>
        <w:gridCol w:w="271"/>
        <w:gridCol w:w="627"/>
        <w:gridCol w:w="1326"/>
        <w:gridCol w:w="271"/>
        <w:gridCol w:w="627"/>
        <w:gridCol w:w="1326"/>
      </w:tblGrid>
      <w:tr w:rsidR="00F87112" w:rsidRPr="003470DB" w:rsidTr="00980EE3">
        <w:trPr>
          <w:trHeight w:val="300"/>
        </w:trPr>
        <w:tc>
          <w:tcPr>
            <w:tcW w:w="10494" w:type="dxa"/>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SUPPLEMENT TABLE </w:t>
            </w:r>
            <w:r w:rsidR="003470DB">
              <w:rPr>
                <w:rFonts w:ascii="Times New Roman" w:eastAsia="Times New Roman" w:hAnsi="Times New Roman" w:cs="Times New Roman"/>
                <w:color w:val="000000"/>
                <w:sz w:val="22"/>
                <w:szCs w:val="22"/>
              </w:rPr>
              <w:t>S</w:t>
            </w:r>
            <w:r w:rsidRPr="003470DB">
              <w:rPr>
                <w:rFonts w:ascii="Times New Roman" w:eastAsia="Times New Roman" w:hAnsi="Times New Roman" w:cs="Times New Roman"/>
                <w:color w:val="000000"/>
                <w:sz w:val="22"/>
                <w:szCs w:val="22"/>
              </w:rPr>
              <w:t>3d</w:t>
            </w:r>
            <w:r w:rsidR="00F87112" w:rsidRPr="003470DB">
              <w:rPr>
                <w:rFonts w:ascii="Times New Roman" w:eastAsia="Times New Roman" w:hAnsi="Times New Roman" w:cs="Times New Roman"/>
                <w:color w:val="000000"/>
                <w:sz w:val="22"/>
                <w:szCs w:val="22"/>
              </w:rPr>
              <w:t xml:space="preserve">: The association of timing between vaccination and hospital admission (continuous) with pneumonia by season among 25-64 year </w:t>
            </w:r>
            <w:proofErr w:type="spellStart"/>
            <w:r w:rsidR="00F87112" w:rsidRPr="003470DB">
              <w:rPr>
                <w:rFonts w:ascii="Times New Roman" w:eastAsia="Times New Roman" w:hAnsi="Times New Roman" w:cs="Times New Roman"/>
                <w:color w:val="000000"/>
                <w:sz w:val="22"/>
                <w:szCs w:val="22"/>
              </w:rPr>
              <w:t>olds</w:t>
            </w:r>
            <w:proofErr w:type="spellEnd"/>
          </w:p>
        </w:tc>
      </w:tr>
      <w:tr w:rsidR="00F87112" w:rsidRPr="003470DB" w:rsidTr="00980EE3">
        <w:trPr>
          <w:trHeight w:val="315"/>
        </w:trPr>
        <w:tc>
          <w:tcPr>
            <w:tcW w:w="188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1953"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Overall</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1953"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2012-2013</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1953"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2013-2014</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1953"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2014-2015</w:t>
            </w:r>
          </w:p>
        </w:tc>
      </w:tr>
      <w:tr w:rsidR="00F87112" w:rsidRPr="003470DB" w:rsidTr="00980EE3">
        <w:trPr>
          <w:trHeight w:val="300"/>
        </w:trPr>
        <w:tc>
          <w:tcPr>
            <w:tcW w:w="1887"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2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2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2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1326"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r>
      <w:tr w:rsidR="00F87112" w:rsidRPr="003470DB" w:rsidTr="00980EE3">
        <w:trPr>
          <w:trHeight w:val="300"/>
        </w:trPr>
        <w:tc>
          <w:tcPr>
            <w:tcW w:w="1887" w:type="dxa"/>
            <w:tcBorders>
              <w:top w:val="nil"/>
              <w:left w:val="nil"/>
              <w:bottom w:val="nil"/>
              <w:right w:val="nil"/>
            </w:tcBorders>
            <w:shd w:val="clear" w:color="auto" w:fill="auto"/>
            <w:noWrap/>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1.02</w:t>
            </w:r>
          </w:p>
        </w:tc>
        <w:tc>
          <w:tcPr>
            <w:tcW w:w="132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0.98, 1.07</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0.92</w:t>
            </w:r>
          </w:p>
        </w:tc>
        <w:tc>
          <w:tcPr>
            <w:tcW w:w="132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0.81, 1.05</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1.01</w:t>
            </w:r>
          </w:p>
        </w:tc>
        <w:tc>
          <w:tcPr>
            <w:tcW w:w="132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0.94, 1.09</w:t>
            </w:r>
          </w:p>
        </w:tc>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627"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1.05</w:t>
            </w:r>
          </w:p>
        </w:tc>
        <w:tc>
          <w:tcPr>
            <w:tcW w:w="1326"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0.99, 1.11</w:t>
            </w:r>
          </w:p>
        </w:tc>
      </w:tr>
      <w:tr w:rsidR="00F87112" w:rsidRPr="003470DB" w:rsidTr="00980EE3">
        <w:trPr>
          <w:trHeight w:val="330"/>
        </w:trPr>
        <w:tc>
          <w:tcPr>
            <w:tcW w:w="188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Adjusted </w:t>
            </w:r>
            <w:r w:rsidR="000A2EAA" w:rsidRPr="003470DB">
              <w:rPr>
                <w:rFonts w:ascii="Times New Roman" w:eastAsia="Times New Roman" w:hAnsi="Times New Roman" w:cs="Times New Roman"/>
                <w:color w:val="000000"/>
                <w:sz w:val="22"/>
                <w:szCs w:val="22"/>
              </w:rPr>
              <w:t>*</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1.01</w:t>
            </w:r>
          </w:p>
        </w:tc>
        <w:tc>
          <w:tcPr>
            <w:tcW w:w="132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0.96, 1.07</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0.88</w:t>
            </w:r>
          </w:p>
        </w:tc>
        <w:tc>
          <w:tcPr>
            <w:tcW w:w="132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0.76, 1.02</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1.03</w:t>
            </w:r>
          </w:p>
        </w:tc>
        <w:tc>
          <w:tcPr>
            <w:tcW w:w="132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0.94, 1.13</w:t>
            </w:r>
          </w:p>
        </w:tc>
        <w:tc>
          <w:tcPr>
            <w:tcW w:w="265"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w:t>
            </w:r>
          </w:p>
        </w:tc>
        <w:tc>
          <w:tcPr>
            <w:tcW w:w="627"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1.04</w:t>
            </w:r>
          </w:p>
        </w:tc>
        <w:tc>
          <w:tcPr>
            <w:tcW w:w="1326" w:type="dxa"/>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0.97, 1.13</w:t>
            </w:r>
          </w:p>
        </w:tc>
      </w:tr>
      <w:tr w:rsidR="00F87112" w:rsidRPr="003470DB" w:rsidTr="00980EE3">
        <w:trPr>
          <w:trHeight w:val="300"/>
        </w:trPr>
        <w:tc>
          <w:tcPr>
            <w:tcW w:w="10494" w:type="dxa"/>
            <w:gridSpan w:val="12"/>
            <w:tcBorders>
              <w:top w:val="single" w:sz="8" w:space="0" w:color="auto"/>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 Time is modeled as a continuous variable.  The variable indicates how many weeks have occurred between vaccination and hospitalization. </w:t>
            </w:r>
            <w:r w:rsidR="000A2EAA" w:rsidRPr="003470DB">
              <w:rPr>
                <w:rFonts w:ascii="Times New Roman" w:eastAsia="Times New Roman" w:hAnsi="Times New Roman" w:cs="Times New Roman"/>
                <w:color w:val="000000"/>
                <w:sz w:val="22"/>
                <w:szCs w:val="22"/>
              </w:rPr>
              <w:t xml:space="preserve">An odds ratio &gt; 1 suggests that patients have increased odds of pneumonia, relative to patients with one week less between vaccination and hospitalization. </w:t>
            </w:r>
            <w:r w:rsidRPr="003470DB">
              <w:rPr>
                <w:rFonts w:ascii="Times New Roman" w:eastAsia="Times New Roman" w:hAnsi="Times New Roman" w:cs="Times New Roman"/>
                <w:color w:val="000000"/>
                <w:sz w:val="22"/>
                <w:szCs w:val="22"/>
              </w:rPr>
              <w:t xml:space="preserve">OR: odds ratio, 95% CI: 95% confidence interval.  </w:t>
            </w:r>
          </w:p>
        </w:tc>
      </w:tr>
      <w:tr w:rsidR="00F87112" w:rsidRPr="003470DB" w:rsidTr="00980EE3">
        <w:trPr>
          <w:trHeight w:val="300"/>
        </w:trPr>
        <w:tc>
          <w:tcPr>
            <w:tcW w:w="10494" w:type="dxa"/>
            <w:gridSpan w:val="12"/>
            <w:tcBorders>
              <w:left w:val="nil"/>
              <w:bottom w:val="nil"/>
              <w:right w:val="nil"/>
            </w:tcBorders>
            <w:shd w:val="clear" w:color="auto" w:fill="auto"/>
            <w:noWrap/>
            <w:vAlign w:val="bottom"/>
          </w:tcPr>
          <w:p w:rsidR="00F87112" w:rsidRPr="003470DB" w:rsidRDefault="000A2EAA"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w:t>
            </w:r>
            <w:r w:rsidR="00F87112" w:rsidRPr="003470DB">
              <w:rPr>
                <w:rFonts w:ascii="Times New Roman" w:eastAsia="Times New Roman" w:hAnsi="Times New Roman" w:cs="Times New Roman"/>
                <w:color w:val="000000"/>
                <w:sz w:val="22"/>
                <w:szCs w:val="22"/>
              </w:rPr>
              <w:t xml:space="preserve"> Adjusted for the following confounders: age (in years), prompt treatment with antivirals, race, sex, obesity, asthma, CVD, CLD, CMD, neurological disease, blood disorders, renal disease, liver disease, immunosuppression, alcohol abuse, smoking status, and virus type.</w:t>
            </w:r>
          </w:p>
        </w:tc>
      </w:tr>
    </w:tbl>
    <w:p w:rsidR="00F87112" w:rsidRPr="003470DB" w:rsidRDefault="00F87112" w:rsidP="00F87112">
      <w:pPr>
        <w:rPr>
          <w:rFonts w:ascii="Times New Roman" w:hAnsi="Times New Roman" w:cs="Times New Roman"/>
        </w:rPr>
      </w:pPr>
    </w:p>
    <w:p w:rsidR="00F87112" w:rsidRPr="003470DB" w:rsidRDefault="00F87112" w:rsidP="00F87112">
      <w:pPr>
        <w:rPr>
          <w:rFonts w:ascii="Times New Roman" w:hAnsi="Times New Roman" w:cs="Times New Roman"/>
        </w:rPr>
      </w:pPr>
      <w:r w:rsidRPr="003470DB">
        <w:rPr>
          <w:rFonts w:ascii="Times New Roman" w:hAnsi="Times New Roman" w:cs="Times New Roman"/>
        </w:rPr>
        <w:br w:type="page"/>
      </w:r>
    </w:p>
    <w:tbl>
      <w:tblPr>
        <w:tblW w:w="0" w:type="auto"/>
        <w:tblInd w:w="108" w:type="dxa"/>
        <w:tblLook w:val="04A0" w:firstRow="1" w:lastRow="0" w:firstColumn="1" w:lastColumn="0" w:noHBand="0" w:noVBand="1"/>
      </w:tblPr>
      <w:tblGrid>
        <w:gridCol w:w="1651"/>
        <w:gridCol w:w="929"/>
        <w:gridCol w:w="1506"/>
        <w:gridCol w:w="488"/>
        <w:gridCol w:w="928"/>
        <w:gridCol w:w="1506"/>
        <w:gridCol w:w="488"/>
        <w:gridCol w:w="928"/>
        <w:gridCol w:w="1506"/>
        <w:gridCol w:w="488"/>
        <w:gridCol w:w="928"/>
        <w:gridCol w:w="1506"/>
      </w:tblGrid>
      <w:tr w:rsidR="00F87112" w:rsidRPr="003470DB" w:rsidTr="00980EE3">
        <w:trPr>
          <w:trHeight w:val="300"/>
        </w:trPr>
        <w:tc>
          <w:tcPr>
            <w:tcW w:w="0" w:type="auto"/>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lastRenderedPageBreak/>
              <w:t xml:space="preserve">SUPPLEMENT TABLE </w:t>
            </w:r>
            <w:r w:rsidR="003470DB">
              <w:rPr>
                <w:rFonts w:ascii="Times New Roman" w:eastAsia="Times New Roman" w:hAnsi="Times New Roman" w:cs="Times New Roman"/>
                <w:color w:val="000000"/>
                <w:sz w:val="16"/>
                <w:szCs w:val="16"/>
              </w:rPr>
              <w:t>S</w:t>
            </w:r>
            <w:r w:rsidRPr="003470DB">
              <w:rPr>
                <w:rFonts w:ascii="Times New Roman" w:eastAsia="Times New Roman" w:hAnsi="Times New Roman" w:cs="Times New Roman"/>
                <w:color w:val="000000"/>
                <w:sz w:val="16"/>
                <w:szCs w:val="16"/>
              </w:rPr>
              <w:t>4a</w:t>
            </w:r>
            <w:r w:rsidR="00F87112" w:rsidRPr="003470DB">
              <w:rPr>
                <w:rFonts w:ascii="Times New Roman" w:eastAsia="Times New Roman" w:hAnsi="Times New Roman" w:cs="Times New Roman"/>
                <w:color w:val="000000"/>
                <w:sz w:val="16"/>
                <w:szCs w:val="16"/>
              </w:rPr>
              <w:t xml:space="preserve">: Odds of severe influenza with respect to vaccination status by influenza season, excluding those missing date of vaccination *, </w:t>
            </w:r>
            <w:r w:rsidR="00F87112" w:rsidRPr="003470DB">
              <w:rPr>
                <w:rFonts w:ascii="Times New Roman" w:eastAsia="Times New Roman" w:hAnsi="Times New Roman" w:cs="Times New Roman"/>
                <w:color w:val="000000"/>
                <w:sz w:val="16"/>
                <w:szCs w:val="18"/>
              </w:rPr>
              <w:t>†, ‡</w:t>
            </w:r>
          </w:p>
        </w:tc>
      </w:tr>
      <w:tr w:rsidR="00F87112"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Overall</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2012-2013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2013-2014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2014-2015</w:t>
            </w:r>
          </w:p>
        </w:tc>
      </w:tr>
      <w:tr w:rsidR="00F87112"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r>
      <w:tr w:rsidR="00F87112" w:rsidRPr="003470DB" w:rsidTr="00980EE3">
        <w:trPr>
          <w:trHeight w:val="116"/>
        </w:trPr>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0.77, 1.20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1.21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0.77, 1.89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0.57, 1.37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0.70, 1.35</w:t>
            </w:r>
          </w:p>
        </w:tc>
      </w:tr>
      <w:tr w:rsidR="00F87112" w:rsidRPr="003470DB" w:rsidTr="00980EE3">
        <w:trPr>
          <w:trHeight w:val="189"/>
        </w:trPr>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Adjusted </w:t>
            </w:r>
            <w:r w:rsidRPr="003470DB">
              <w:rPr>
                <w:rFonts w:ascii="Times New Roman" w:eastAsia="Times New Roman" w:hAnsi="Times New Roman" w:cs="Times New Roman"/>
                <w:color w:val="000000"/>
                <w:sz w:val="16"/>
                <w:szCs w:val="18"/>
              </w:rPr>
              <w:t>§</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0.72, 1.17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1.12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0.70, 1.78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0.47, 1.20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0.65, 1.30</w:t>
            </w:r>
          </w:p>
        </w:tc>
      </w:tr>
      <w:tr w:rsidR="00F87112" w:rsidRPr="003470DB" w:rsidTr="00980EE3">
        <w:trPr>
          <w:trHeight w:val="300"/>
        </w:trPr>
        <w:tc>
          <w:tcPr>
            <w:tcW w:w="0" w:type="auto"/>
            <w:gridSpan w:val="12"/>
            <w:tcBorders>
              <w:top w:val="single" w:sz="8" w:space="0" w:color="auto"/>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 * Those without recorded vaccination times were excluded to determine if bias was introduced by the assumption that those without recorded vaccination times received the vaccine at least fourteen days before hospitalization. </w:t>
            </w:r>
            <w:r w:rsidR="008330B4" w:rsidRPr="003470DB">
              <w:rPr>
                <w:rFonts w:ascii="Times New Roman" w:eastAsia="Times New Roman" w:hAnsi="Times New Roman" w:cs="Times New Roman"/>
                <w:color w:val="000000"/>
                <w:sz w:val="16"/>
                <w:szCs w:val="16"/>
              </w:rPr>
              <w:t xml:space="preserve">An odds ratio less than one implies that patients who received the influenza vaccine has decreased odds of severe influenza relative to patients who were not vaccinated. </w:t>
            </w:r>
            <w:r w:rsidRPr="003470DB">
              <w:rPr>
                <w:rFonts w:ascii="Times New Roman" w:hAnsi="Times New Roman" w:cs="Times New Roman"/>
                <w:color w:val="000000"/>
                <w:sz w:val="16"/>
                <w:szCs w:val="20"/>
              </w:rPr>
              <w:t>OR: odds ratio, 95% CI: 95% confidence interval</w:t>
            </w:r>
          </w:p>
        </w:tc>
      </w:tr>
      <w:tr w:rsidR="00F87112" w:rsidRPr="003470DB" w:rsidTr="00980EE3">
        <w:trPr>
          <w:trHeight w:val="100"/>
        </w:trPr>
        <w:tc>
          <w:tcPr>
            <w:tcW w:w="0" w:type="auto"/>
            <w:gridSpan w:val="12"/>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8"/>
              </w:rPr>
              <w:t>† Severe influenza is defined as admission to the ICU or death during hospitalization.</w:t>
            </w:r>
          </w:p>
        </w:tc>
      </w:tr>
      <w:tr w:rsidR="00F87112" w:rsidRPr="003470DB" w:rsidTr="00980EE3">
        <w:trPr>
          <w:trHeight w:val="100"/>
        </w:trPr>
        <w:tc>
          <w:tcPr>
            <w:tcW w:w="0" w:type="auto"/>
            <w:gridSpan w:val="12"/>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Age is modeled as a continuous variable.</w:t>
            </w:r>
          </w:p>
        </w:tc>
      </w:tr>
      <w:tr w:rsidR="00F87112" w:rsidRPr="003470DB" w:rsidTr="00980EE3">
        <w:trPr>
          <w:trHeight w:val="300"/>
        </w:trPr>
        <w:tc>
          <w:tcPr>
            <w:tcW w:w="0" w:type="auto"/>
            <w:gridSpan w:val="12"/>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xml:space="preserve">§ Adjusted by all factors (season-vaccine interaction term, prompt treatment with antivirals, age, race, sex, obesity, asthma, CVD, CLD, CMD, neurological disease, blood disorders, renal disease, liver disease, immunosuppression, alcohol abuse, smoking status, and virus type) and includes an interaction term between season and vaccine.  </w:t>
            </w:r>
          </w:p>
        </w:tc>
      </w:tr>
    </w:tbl>
    <w:p w:rsidR="00F87112" w:rsidRPr="003470DB" w:rsidRDefault="00F87112" w:rsidP="00F87112">
      <w:pPr>
        <w:rPr>
          <w:rFonts w:ascii="Times New Roman" w:hAnsi="Times New Roman" w:cs="Times New Roman"/>
          <w:sz w:val="16"/>
          <w:szCs w:val="16"/>
        </w:rPr>
      </w:pPr>
    </w:p>
    <w:tbl>
      <w:tblPr>
        <w:tblW w:w="0" w:type="auto"/>
        <w:tblInd w:w="108" w:type="dxa"/>
        <w:tblLook w:val="04A0" w:firstRow="1" w:lastRow="0" w:firstColumn="1" w:lastColumn="0" w:noHBand="0" w:noVBand="1"/>
      </w:tblPr>
      <w:tblGrid>
        <w:gridCol w:w="1326"/>
        <w:gridCol w:w="760"/>
        <w:gridCol w:w="1214"/>
        <w:gridCol w:w="414"/>
        <w:gridCol w:w="760"/>
        <w:gridCol w:w="1214"/>
        <w:gridCol w:w="414"/>
        <w:gridCol w:w="760"/>
        <w:gridCol w:w="1214"/>
        <w:gridCol w:w="414"/>
        <w:gridCol w:w="760"/>
        <w:gridCol w:w="1214"/>
        <w:gridCol w:w="414"/>
        <w:gridCol w:w="760"/>
        <w:gridCol w:w="1214"/>
      </w:tblGrid>
      <w:tr w:rsidR="00F87112" w:rsidRPr="003470DB" w:rsidTr="00980EE3">
        <w:trPr>
          <w:trHeight w:val="300"/>
        </w:trPr>
        <w:tc>
          <w:tcPr>
            <w:tcW w:w="0" w:type="auto"/>
            <w:gridSpan w:val="15"/>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SUPPLEMENT TABLE </w:t>
            </w:r>
            <w:r w:rsidR="003470DB">
              <w:rPr>
                <w:rFonts w:ascii="Times New Roman" w:eastAsia="Times New Roman" w:hAnsi="Times New Roman" w:cs="Times New Roman"/>
                <w:color w:val="000000"/>
                <w:sz w:val="16"/>
                <w:szCs w:val="16"/>
              </w:rPr>
              <w:t>S</w:t>
            </w:r>
            <w:r w:rsidRPr="003470DB">
              <w:rPr>
                <w:rFonts w:ascii="Times New Roman" w:eastAsia="Times New Roman" w:hAnsi="Times New Roman" w:cs="Times New Roman"/>
                <w:color w:val="000000"/>
                <w:sz w:val="16"/>
                <w:szCs w:val="16"/>
              </w:rPr>
              <w:t>4b</w:t>
            </w:r>
            <w:r w:rsidR="00F87112" w:rsidRPr="003470DB">
              <w:rPr>
                <w:rFonts w:ascii="Times New Roman" w:eastAsia="Times New Roman" w:hAnsi="Times New Roman" w:cs="Times New Roman"/>
                <w:color w:val="000000"/>
                <w:sz w:val="16"/>
                <w:szCs w:val="16"/>
              </w:rPr>
              <w:t xml:space="preserve">: Odds of severe influenza with respect to vaccination status by age categories, excluding those missing date of vaccination *, </w:t>
            </w:r>
            <w:r w:rsidR="00F87112" w:rsidRPr="003470DB">
              <w:rPr>
                <w:rFonts w:ascii="Times New Roman" w:eastAsia="Times New Roman" w:hAnsi="Times New Roman" w:cs="Times New Roman"/>
                <w:color w:val="000000"/>
                <w:sz w:val="16"/>
                <w:szCs w:val="18"/>
              </w:rPr>
              <w:t>†, ‡</w:t>
            </w:r>
          </w:p>
        </w:tc>
      </w:tr>
      <w:tr w:rsidR="00F87112"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Overall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5-24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25-64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65+ years old</w:t>
            </w:r>
          </w:p>
        </w:tc>
      </w:tr>
      <w:tr w:rsidR="00F87112"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r>
      <w:tr w:rsidR="00F87112" w:rsidRPr="003470DB" w:rsidTr="00980EE3">
        <w:trPr>
          <w:trHeight w:val="90"/>
        </w:trPr>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0.77, 1.20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1.33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0.52, 3.39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0.36, 1.55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0.72, 1.49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0.72, 1.48</w:t>
            </w:r>
          </w:p>
        </w:tc>
      </w:tr>
      <w:tr w:rsidR="00F87112" w:rsidRPr="003470DB" w:rsidTr="00980EE3">
        <w:trPr>
          <w:trHeight w:val="100"/>
        </w:trPr>
        <w:tc>
          <w:tcPr>
            <w:tcW w:w="0" w:type="auto"/>
            <w:tcBorders>
              <w:top w:val="nil"/>
              <w:left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Adjusted †</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0.90</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0.70, 1.15</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0.91</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0.34, 2.46</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0.65</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0.30, 1.38</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0.87</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0.59, 1.28</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1.00</w:t>
            </w:r>
          </w:p>
        </w:tc>
        <w:tc>
          <w:tcPr>
            <w:tcW w:w="0" w:type="auto"/>
            <w:tcBorders>
              <w:top w:val="nil"/>
              <w:left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0.68, 1.45</w:t>
            </w:r>
          </w:p>
        </w:tc>
      </w:tr>
      <w:tr w:rsidR="00F87112" w:rsidRPr="003470DB" w:rsidTr="00980EE3">
        <w:trPr>
          <w:trHeight w:val="300"/>
        </w:trPr>
        <w:tc>
          <w:tcPr>
            <w:tcW w:w="0" w:type="auto"/>
            <w:gridSpan w:val="15"/>
            <w:tcBorders>
              <w:top w:val="single" w:sz="4" w:space="0" w:color="auto"/>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 * Those without recorded vaccination times were excluded to determine if bias was introduced by the assumption that those without recorded vaccination times received the vaccine at least fourteen days before hospitalization. </w:t>
            </w:r>
            <w:r w:rsidR="008330B4" w:rsidRPr="003470DB">
              <w:rPr>
                <w:rFonts w:ascii="Times New Roman" w:eastAsia="Times New Roman" w:hAnsi="Times New Roman" w:cs="Times New Roman"/>
                <w:color w:val="000000"/>
                <w:sz w:val="16"/>
                <w:szCs w:val="16"/>
              </w:rPr>
              <w:t xml:space="preserve">An odds ratio less than one implies that patients who received the influenza vaccine has decreased odds of severe influenza relative to patients who were not vaccinated. </w:t>
            </w:r>
            <w:r w:rsidRPr="003470DB">
              <w:rPr>
                <w:rFonts w:ascii="Times New Roman" w:hAnsi="Times New Roman" w:cs="Times New Roman"/>
                <w:color w:val="000000"/>
                <w:sz w:val="16"/>
                <w:szCs w:val="20"/>
              </w:rPr>
              <w:t>OR: odds ratio, 95% CI: 95% confidence interval</w:t>
            </w:r>
          </w:p>
        </w:tc>
      </w:tr>
      <w:tr w:rsidR="00F87112" w:rsidRPr="003470DB" w:rsidTr="00980EE3">
        <w:trPr>
          <w:trHeight w:val="180"/>
        </w:trPr>
        <w:tc>
          <w:tcPr>
            <w:tcW w:w="0" w:type="auto"/>
            <w:gridSpan w:val="15"/>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8"/>
              </w:rPr>
              <w:t>† Severe influenza is defined as admission to the ICU or death during hospitalization.</w:t>
            </w:r>
          </w:p>
        </w:tc>
      </w:tr>
      <w:tr w:rsidR="00F87112" w:rsidRPr="003470DB" w:rsidTr="00980EE3">
        <w:trPr>
          <w:trHeight w:val="100"/>
        </w:trPr>
        <w:tc>
          <w:tcPr>
            <w:tcW w:w="0" w:type="auto"/>
            <w:gridSpan w:val="15"/>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Age is modeled as a categorical variable.</w:t>
            </w:r>
          </w:p>
        </w:tc>
      </w:tr>
      <w:tr w:rsidR="00F87112" w:rsidRPr="003470DB" w:rsidTr="00980EE3">
        <w:trPr>
          <w:trHeight w:val="300"/>
        </w:trPr>
        <w:tc>
          <w:tcPr>
            <w:tcW w:w="0" w:type="auto"/>
            <w:gridSpan w:val="15"/>
            <w:tcBorders>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xml:space="preserve">§ Adjusted by all factors (age category-vaccine interaction term, age category, prompt treatment with antivirals, race, sex, obesity, asthma, CVD, CLD, CMD, neurological disease, blood disorders, renal disease, liver disease, immunosuppression, alcohol abuse, smoking status, and virus type) and includes an interaction term between season and vaccine. </w:t>
            </w:r>
          </w:p>
        </w:tc>
      </w:tr>
    </w:tbl>
    <w:p w:rsidR="00F87112" w:rsidRPr="003470DB" w:rsidRDefault="00F87112" w:rsidP="00F87112">
      <w:pPr>
        <w:rPr>
          <w:rFonts w:ascii="Times New Roman" w:hAnsi="Times New Roman" w:cs="Times New Roman"/>
          <w:sz w:val="16"/>
          <w:szCs w:val="16"/>
        </w:rPr>
      </w:pPr>
    </w:p>
    <w:p w:rsidR="00F87112" w:rsidRPr="003470DB" w:rsidRDefault="00F87112" w:rsidP="00F87112">
      <w:pPr>
        <w:rPr>
          <w:rFonts w:ascii="Times New Roman" w:hAnsi="Times New Roman" w:cs="Times New Roman"/>
          <w:sz w:val="16"/>
          <w:szCs w:val="16"/>
        </w:rPr>
      </w:pPr>
      <w:r w:rsidRPr="003470DB">
        <w:rPr>
          <w:rFonts w:ascii="Times New Roman" w:hAnsi="Times New Roman" w:cs="Times New Roman"/>
          <w:sz w:val="16"/>
          <w:szCs w:val="16"/>
        </w:rPr>
        <w:br w:type="page"/>
      </w:r>
    </w:p>
    <w:p w:rsidR="00F87112" w:rsidRPr="003470DB" w:rsidRDefault="00F87112" w:rsidP="00F87112">
      <w:pPr>
        <w:rPr>
          <w:rFonts w:ascii="Times New Roman" w:hAnsi="Times New Roman" w:cs="Times New Roman"/>
          <w:sz w:val="16"/>
          <w:szCs w:val="16"/>
        </w:rPr>
      </w:pPr>
    </w:p>
    <w:tbl>
      <w:tblPr>
        <w:tblW w:w="0" w:type="auto"/>
        <w:tblInd w:w="108" w:type="dxa"/>
        <w:tblLook w:val="04A0" w:firstRow="1" w:lastRow="0" w:firstColumn="1" w:lastColumn="0" w:noHBand="0" w:noVBand="1"/>
      </w:tblPr>
      <w:tblGrid>
        <w:gridCol w:w="1731"/>
        <w:gridCol w:w="908"/>
        <w:gridCol w:w="1567"/>
        <w:gridCol w:w="407"/>
        <w:gridCol w:w="908"/>
        <w:gridCol w:w="1567"/>
        <w:gridCol w:w="407"/>
        <w:gridCol w:w="908"/>
        <w:gridCol w:w="1567"/>
        <w:gridCol w:w="407"/>
        <w:gridCol w:w="908"/>
        <w:gridCol w:w="1567"/>
      </w:tblGrid>
      <w:tr w:rsidR="00F87112" w:rsidRPr="003470DB" w:rsidTr="00980EE3">
        <w:trPr>
          <w:trHeight w:val="300"/>
        </w:trPr>
        <w:tc>
          <w:tcPr>
            <w:tcW w:w="0" w:type="auto"/>
            <w:gridSpan w:val="12"/>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SUPPLEMENT TABLE </w:t>
            </w:r>
            <w:r w:rsidR="003470DB">
              <w:rPr>
                <w:rFonts w:ascii="Times New Roman" w:eastAsia="Times New Roman" w:hAnsi="Times New Roman" w:cs="Times New Roman"/>
                <w:color w:val="000000"/>
                <w:sz w:val="16"/>
                <w:szCs w:val="16"/>
              </w:rPr>
              <w:t>S</w:t>
            </w:r>
            <w:r w:rsidRPr="003470DB">
              <w:rPr>
                <w:rFonts w:ascii="Times New Roman" w:eastAsia="Times New Roman" w:hAnsi="Times New Roman" w:cs="Times New Roman"/>
                <w:color w:val="000000"/>
                <w:sz w:val="16"/>
                <w:szCs w:val="16"/>
              </w:rPr>
              <w:t>4c</w:t>
            </w:r>
            <w:r w:rsidR="00F87112" w:rsidRPr="003470DB">
              <w:rPr>
                <w:rFonts w:ascii="Times New Roman" w:eastAsia="Times New Roman" w:hAnsi="Times New Roman" w:cs="Times New Roman"/>
                <w:color w:val="000000"/>
                <w:sz w:val="16"/>
                <w:szCs w:val="16"/>
              </w:rPr>
              <w:t xml:space="preserve">: Odds of pneumonia diagnosis with respect to vaccination status by influenza season, excluding those missing date of vaccination *, </w:t>
            </w:r>
            <w:r w:rsidR="00F87112" w:rsidRPr="003470DB">
              <w:rPr>
                <w:rFonts w:ascii="Times New Roman" w:eastAsia="Times New Roman" w:hAnsi="Times New Roman" w:cs="Times New Roman"/>
                <w:color w:val="000000"/>
                <w:sz w:val="16"/>
                <w:szCs w:val="18"/>
              </w:rPr>
              <w:t>†, ‡</w:t>
            </w:r>
          </w:p>
        </w:tc>
      </w:tr>
      <w:tr w:rsidR="00F87112"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Overall</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2012-2013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2013-2014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2014-2015</w:t>
            </w:r>
          </w:p>
        </w:tc>
      </w:tr>
      <w:tr w:rsidR="00F87112"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r>
      <w:tr w:rsidR="00F87112" w:rsidRPr="003470DB" w:rsidTr="00980EE3">
        <w:trPr>
          <w:trHeight w:val="90"/>
        </w:trPr>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0.83, 1.24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1.27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0.83, 1.94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0.50, 1.10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1.11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0.84, 1.47</w:t>
            </w:r>
          </w:p>
        </w:tc>
      </w:tr>
      <w:tr w:rsidR="00F87112" w:rsidRPr="003470DB" w:rsidTr="00980EE3">
        <w:trPr>
          <w:trHeight w:val="100"/>
        </w:trPr>
        <w:tc>
          <w:tcPr>
            <w:tcW w:w="0" w:type="auto"/>
            <w:tcBorders>
              <w:top w:val="nil"/>
              <w:left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Adjusted †</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0.89</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0.72, 1.11</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1.08</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0.69, 1.67</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0.57</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0.37, 0.87</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1.02</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0.76, 1.37</w:t>
            </w:r>
          </w:p>
        </w:tc>
      </w:tr>
      <w:tr w:rsidR="00F87112" w:rsidRPr="003470DB" w:rsidTr="00980EE3">
        <w:trPr>
          <w:trHeight w:val="179"/>
        </w:trPr>
        <w:tc>
          <w:tcPr>
            <w:tcW w:w="0" w:type="auto"/>
            <w:gridSpan w:val="12"/>
            <w:tcBorders>
              <w:top w:val="single" w:sz="4" w:space="0" w:color="auto"/>
              <w:left w:val="nil"/>
              <w:right w:val="nil"/>
            </w:tcBorders>
            <w:shd w:val="clear" w:color="auto" w:fill="auto"/>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hAnsi="Times New Roman" w:cs="Times New Roman"/>
                <w:color w:val="000000"/>
                <w:sz w:val="16"/>
                <w:szCs w:val="20"/>
              </w:rPr>
              <w:t>OR: odds ratio, 95% CI: 95% confidence interval</w:t>
            </w:r>
          </w:p>
        </w:tc>
      </w:tr>
      <w:tr w:rsidR="00F87112" w:rsidRPr="003470DB" w:rsidTr="00980EE3">
        <w:trPr>
          <w:trHeight w:val="269"/>
        </w:trPr>
        <w:tc>
          <w:tcPr>
            <w:tcW w:w="0" w:type="auto"/>
            <w:gridSpan w:val="12"/>
            <w:tcBorders>
              <w:top w:val="single" w:sz="4" w:space="0" w:color="auto"/>
              <w:left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 Those without recorded vaccination times were excluded to determine if bias was introduced by the assumption that those without recorded vaccination times received the vaccine at least fourteen days before hospitalization.</w:t>
            </w:r>
            <w:r w:rsidR="008330B4" w:rsidRPr="003470DB">
              <w:rPr>
                <w:rFonts w:ascii="Times New Roman" w:eastAsia="Times New Roman" w:hAnsi="Times New Roman" w:cs="Times New Roman"/>
                <w:color w:val="000000"/>
                <w:sz w:val="16"/>
                <w:szCs w:val="16"/>
              </w:rPr>
              <w:t xml:space="preserve"> An odds ratio less than one implies that patients who received the influenza vaccine has decreased odds of pneumonia relative to patients who were not vaccinated. </w:t>
            </w:r>
            <w:r w:rsidR="008330B4" w:rsidRPr="003470DB">
              <w:rPr>
                <w:rFonts w:ascii="Times New Roman" w:hAnsi="Times New Roman" w:cs="Times New Roman"/>
                <w:color w:val="000000"/>
                <w:sz w:val="16"/>
                <w:szCs w:val="20"/>
              </w:rPr>
              <w:t>OR: odds ratio, 95% CI: 95% confidence interval</w:t>
            </w:r>
          </w:p>
        </w:tc>
      </w:tr>
      <w:tr w:rsidR="00F87112" w:rsidRPr="003470DB" w:rsidTr="00980EE3">
        <w:trPr>
          <w:trHeight w:val="117"/>
        </w:trPr>
        <w:tc>
          <w:tcPr>
            <w:tcW w:w="0" w:type="auto"/>
            <w:gridSpan w:val="12"/>
            <w:tcBorders>
              <w:left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 </w:t>
            </w:r>
            <w:r w:rsidRPr="003470DB">
              <w:rPr>
                <w:rFonts w:ascii="Times New Roman" w:hAnsi="Times New Roman" w:cs="Times New Roman"/>
                <w:color w:val="000000"/>
                <w:sz w:val="16"/>
                <w:szCs w:val="16"/>
              </w:rPr>
              <w:t xml:space="preserve">Pneumonia is defined as a chest x-ray indicating pneumonia and either diagnosis of pneumonia at discharge or ICD-9 discharge code for pneumonia (480-487.0).   </w:t>
            </w:r>
          </w:p>
        </w:tc>
      </w:tr>
      <w:tr w:rsidR="00F87112" w:rsidRPr="003470DB" w:rsidTr="00980EE3">
        <w:trPr>
          <w:trHeight w:val="117"/>
        </w:trPr>
        <w:tc>
          <w:tcPr>
            <w:tcW w:w="0" w:type="auto"/>
            <w:gridSpan w:val="12"/>
            <w:tcBorders>
              <w:left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Age is modeled as a continuous variable.</w:t>
            </w:r>
          </w:p>
        </w:tc>
      </w:tr>
      <w:tr w:rsidR="00F87112" w:rsidRPr="003470DB" w:rsidTr="00980EE3">
        <w:trPr>
          <w:trHeight w:val="117"/>
        </w:trPr>
        <w:tc>
          <w:tcPr>
            <w:tcW w:w="0" w:type="auto"/>
            <w:gridSpan w:val="12"/>
            <w:tcBorders>
              <w:left w:val="nil"/>
              <w:right w:val="nil"/>
            </w:tcBorders>
            <w:shd w:val="clear" w:color="auto" w:fill="auto"/>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xml:space="preserve">§ Adjusted by all factors (season-vaccine interaction term, prompt treatment with antivirals, age, race, sex, obesity, asthma, CVD, CLD, CMD, neurological disease, blood disorders, renal disease, liver disease, immunosuppression, alcohol abuse, smoking status, and virus type) and includes an interaction term between season and vaccine. </w:t>
            </w:r>
          </w:p>
        </w:tc>
      </w:tr>
    </w:tbl>
    <w:p w:rsidR="00F87112" w:rsidRPr="003470DB" w:rsidRDefault="00F87112" w:rsidP="00F87112">
      <w:pPr>
        <w:rPr>
          <w:rFonts w:ascii="Times New Roman" w:hAnsi="Times New Roman" w:cs="Times New Roman"/>
          <w:sz w:val="16"/>
          <w:szCs w:val="16"/>
        </w:rPr>
      </w:pPr>
    </w:p>
    <w:p w:rsidR="00F87112" w:rsidRPr="003470DB" w:rsidRDefault="00F87112" w:rsidP="00F87112">
      <w:pPr>
        <w:rPr>
          <w:rFonts w:ascii="Times New Roman" w:hAnsi="Times New Roman" w:cs="Times New Roman"/>
          <w:sz w:val="16"/>
          <w:szCs w:val="16"/>
        </w:rPr>
      </w:pPr>
    </w:p>
    <w:p w:rsidR="00F87112" w:rsidRPr="003470DB" w:rsidRDefault="00F87112" w:rsidP="00F87112">
      <w:pPr>
        <w:rPr>
          <w:rFonts w:ascii="Times New Roman" w:hAnsi="Times New Roman" w:cs="Times New Roman"/>
          <w:sz w:val="16"/>
          <w:szCs w:val="16"/>
        </w:rPr>
      </w:pPr>
    </w:p>
    <w:tbl>
      <w:tblPr>
        <w:tblW w:w="0" w:type="auto"/>
        <w:tblInd w:w="108" w:type="dxa"/>
        <w:tblLook w:val="04A0" w:firstRow="1" w:lastRow="0" w:firstColumn="1" w:lastColumn="0" w:noHBand="0" w:noVBand="1"/>
      </w:tblPr>
      <w:tblGrid>
        <w:gridCol w:w="1150"/>
        <w:gridCol w:w="1190"/>
        <w:gridCol w:w="689"/>
        <w:gridCol w:w="1090"/>
        <w:gridCol w:w="382"/>
        <w:gridCol w:w="689"/>
        <w:gridCol w:w="1090"/>
        <w:gridCol w:w="382"/>
        <w:gridCol w:w="689"/>
        <w:gridCol w:w="1179"/>
        <w:gridCol w:w="382"/>
        <w:gridCol w:w="689"/>
        <w:gridCol w:w="1090"/>
        <w:gridCol w:w="382"/>
        <w:gridCol w:w="689"/>
        <w:gridCol w:w="1090"/>
      </w:tblGrid>
      <w:tr w:rsidR="00F87112" w:rsidRPr="003470DB" w:rsidTr="00980EE3">
        <w:trPr>
          <w:trHeight w:val="300"/>
        </w:trPr>
        <w:tc>
          <w:tcPr>
            <w:tcW w:w="0" w:type="auto"/>
            <w:gridSpan w:val="16"/>
            <w:tcBorders>
              <w:top w:val="nil"/>
              <w:left w:val="nil"/>
              <w:bottom w:val="nil"/>
              <w:right w:val="nil"/>
            </w:tcBorders>
            <w:shd w:val="clear" w:color="auto" w:fill="auto"/>
            <w:noWrap/>
            <w:vAlign w:val="bottom"/>
            <w:hideMark/>
          </w:tcPr>
          <w:p w:rsidR="00F87112" w:rsidRPr="003470DB" w:rsidRDefault="005C1501"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SUPPLEMENT TABLE </w:t>
            </w:r>
            <w:r w:rsidR="003470DB">
              <w:rPr>
                <w:rFonts w:ascii="Times New Roman" w:eastAsia="Times New Roman" w:hAnsi="Times New Roman" w:cs="Times New Roman"/>
                <w:color w:val="000000"/>
                <w:sz w:val="16"/>
                <w:szCs w:val="16"/>
              </w:rPr>
              <w:t>S</w:t>
            </w:r>
            <w:r w:rsidRPr="003470DB">
              <w:rPr>
                <w:rFonts w:ascii="Times New Roman" w:eastAsia="Times New Roman" w:hAnsi="Times New Roman" w:cs="Times New Roman"/>
                <w:color w:val="000000"/>
                <w:sz w:val="16"/>
                <w:szCs w:val="16"/>
              </w:rPr>
              <w:t>4d</w:t>
            </w:r>
            <w:r w:rsidR="00F87112" w:rsidRPr="003470DB">
              <w:rPr>
                <w:rFonts w:ascii="Times New Roman" w:eastAsia="Times New Roman" w:hAnsi="Times New Roman" w:cs="Times New Roman"/>
                <w:color w:val="000000"/>
                <w:sz w:val="16"/>
                <w:szCs w:val="16"/>
              </w:rPr>
              <w:t xml:space="preserve">: Odds of pneumonia with respect to vaccination status by age categories, excluding those missing date of vaccination *, </w:t>
            </w:r>
            <w:r w:rsidR="00F87112" w:rsidRPr="003470DB">
              <w:rPr>
                <w:rFonts w:ascii="Times New Roman" w:eastAsia="Times New Roman" w:hAnsi="Times New Roman" w:cs="Times New Roman"/>
                <w:color w:val="000000"/>
                <w:sz w:val="16"/>
                <w:szCs w:val="18"/>
              </w:rPr>
              <w:t>†, ‡</w:t>
            </w:r>
          </w:p>
        </w:tc>
      </w:tr>
      <w:tr w:rsidR="008330B4" w:rsidRPr="003470DB" w:rsidTr="00980EE3">
        <w:trPr>
          <w:trHeight w:val="315"/>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Overall</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5-24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25-64 years old</w:t>
            </w:r>
          </w:p>
        </w:tc>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65+ years old</w:t>
            </w:r>
          </w:p>
        </w:tc>
      </w:tr>
      <w:tr w:rsidR="008330B4"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OR</w:t>
            </w:r>
          </w:p>
        </w:tc>
        <w:tc>
          <w:tcPr>
            <w:tcW w:w="0" w:type="auto"/>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95% CI</w:t>
            </w:r>
          </w:p>
        </w:tc>
      </w:tr>
      <w:tr w:rsidR="008330B4" w:rsidRPr="003470DB" w:rsidTr="00980EE3">
        <w:trPr>
          <w:trHeight w:val="116"/>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2012-2013</w:t>
            </w:r>
          </w:p>
        </w:tc>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1.27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0.83, 1.94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0.03, 3.16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0.18, 6.32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1.37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0.64, 2.92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1.03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0.57, 1.87</w:t>
            </w:r>
          </w:p>
        </w:tc>
      </w:tr>
      <w:tr w:rsidR="008330B4" w:rsidRPr="003470DB" w:rsidTr="00980EE3">
        <w:trPr>
          <w:trHeight w:val="10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Adjusted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0.48, 1.31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0.19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0.02, 1.97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0.12, 5.02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0.38, 2.10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0.45, 1.65</w:t>
            </w:r>
          </w:p>
        </w:tc>
      </w:tr>
      <w:tr w:rsidR="008330B4"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r>
      <w:tr w:rsidR="008330B4" w:rsidRPr="003470DB" w:rsidTr="00980EE3">
        <w:trPr>
          <w:trHeight w:val="10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2013-2014</w:t>
            </w:r>
          </w:p>
        </w:tc>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0.75</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0.50, 1.10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0.28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0.03, 2.97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2.19</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0.45, 10.21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0.40, 1.24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0.35, 1.42</w:t>
            </w:r>
          </w:p>
        </w:tc>
      </w:tr>
      <w:tr w:rsidR="008330B4" w:rsidRPr="003470DB" w:rsidTr="00980EE3">
        <w:trPr>
          <w:trHeight w:val="10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Adjusted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0.41, 1.02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0.20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0.02, 2.40</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3.17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0.62, 16.28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0.57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0.30, 1.08</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0.29, 1.29</w:t>
            </w:r>
          </w:p>
        </w:tc>
      </w:tr>
      <w:tr w:rsidR="008330B4" w:rsidRPr="003470DB" w:rsidTr="00980EE3">
        <w:trPr>
          <w:trHeight w:val="300"/>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16"/>
                <w:szCs w:val="16"/>
              </w:rPr>
            </w:pPr>
          </w:p>
        </w:tc>
      </w:tr>
      <w:tr w:rsidR="008330B4" w:rsidRPr="003470DB" w:rsidTr="00980EE3">
        <w:trPr>
          <w:trHeight w:val="153"/>
        </w:trPr>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2014-2015</w:t>
            </w:r>
          </w:p>
        </w:tc>
        <w:tc>
          <w:tcPr>
            <w:tcW w:w="0" w:type="auto"/>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Unadjusted</w:t>
            </w:r>
            <w:r w:rsidR="00F87112" w:rsidRPr="003470DB">
              <w:rPr>
                <w:rFonts w:ascii="Times New Roman" w:eastAsia="Times New Roman" w:hAnsi="Times New Roman" w:cs="Times New Roman"/>
                <w:color w:val="000000"/>
                <w:sz w:val="16"/>
                <w:szCs w:val="16"/>
              </w:rPr>
              <w:t xml:space="preserve"> </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1.11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0.84, 1.47</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1.33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0.28, 6.26</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0.33, 2.64</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1.22</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0.74, 2.01</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0.93</w:t>
            </w:r>
          </w:p>
        </w:tc>
        <w:tc>
          <w:tcPr>
            <w:tcW w:w="0" w:type="auto"/>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0.63, 1.37</w:t>
            </w:r>
          </w:p>
        </w:tc>
      </w:tr>
      <w:tr w:rsidR="008330B4" w:rsidRPr="003470DB" w:rsidTr="00980EE3">
        <w:trPr>
          <w:trHeight w:val="100"/>
        </w:trPr>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Adjusted †</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1.10</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0.80, 1.51</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1.60</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0.31, 8.26</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0.76</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0.26, 2.24</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1.47</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0.87, 2.51</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0.96</w:t>
            </w:r>
          </w:p>
        </w:tc>
        <w:tc>
          <w:tcPr>
            <w:tcW w:w="0" w:type="auto"/>
            <w:tcBorders>
              <w:top w:val="nil"/>
              <w:left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0.63, 1.45</w:t>
            </w:r>
          </w:p>
        </w:tc>
      </w:tr>
      <w:tr w:rsidR="00F87112" w:rsidRPr="003470DB" w:rsidTr="00980EE3">
        <w:trPr>
          <w:trHeight w:val="100"/>
        </w:trPr>
        <w:tc>
          <w:tcPr>
            <w:tcW w:w="0" w:type="auto"/>
            <w:gridSpan w:val="16"/>
            <w:tcBorders>
              <w:top w:val="single" w:sz="4" w:space="0" w:color="auto"/>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 * Those without recorded vaccination times were excluded to determine if bias was introduced by the assumption that those without recorded vaccination times received the vaccine at least fourteen days before hospitalization. </w:t>
            </w:r>
            <w:r w:rsidR="008330B4" w:rsidRPr="003470DB">
              <w:rPr>
                <w:rFonts w:ascii="Times New Roman" w:eastAsia="Times New Roman" w:hAnsi="Times New Roman" w:cs="Times New Roman"/>
                <w:color w:val="000000"/>
                <w:sz w:val="16"/>
                <w:szCs w:val="16"/>
              </w:rPr>
              <w:t xml:space="preserve">An odds ratio less than one implies that patients who received the influenza vaccine has decreased odds of pneumonia relative to patients who were not vaccinated. </w:t>
            </w:r>
            <w:r w:rsidRPr="003470DB">
              <w:rPr>
                <w:rFonts w:ascii="Times New Roman" w:hAnsi="Times New Roman" w:cs="Times New Roman"/>
                <w:color w:val="000000"/>
                <w:sz w:val="16"/>
                <w:szCs w:val="20"/>
              </w:rPr>
              <w:t>OR: odds ratio, 95% CI: 95% confidence interval</w:t>
            </w:r>
          </w:p>
        </w:tc>
      </w:tr>
      <w:tr w:rsidR="00F87112" w:rsidRPr="003470DB" w:rsidTr="00980EE3">
        <w:trPr>
          <w:trHeight w:val="100"/>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6"/>
              </w:rPr>
              <w:t xml:space="preserve">† </w:t>
            </w:r>
            <w:r w:rsidRPr="003470DB">
              <w:rPr>
                <w:rFonts w:ascii="Times New Roman" w:hAnsi="Times New Roman" w:cs="Times New Roman"/>
                <w:color w:val="000000"/>
                <w:sz w:val="16"/>
                <w:szCs w:val="16"/>
              </w:rPr>
              <w:t xml:space="preserve">Pneumonia is defined as a chest x-ray indicating pneumonia and either diagnosis of pneumonia at discharge or ICD-9 discharge code for pneumonia (480-487.0).   </w:t>
            </w:r>
          </w:p>
        </w:tc>
      </w:tr>
      <w:tr w:rsidR="00F87112" w:rsidRPr="003470DB" w:rsidTr="00980EE3">
        <w:trPr>
          <w:trHeight w:val="100"/>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6"/>
              </w:rPr>
            </w:pPr>
            <w:r w:rsidRPr="003470DB">
              <w:rPr>
                <w:rFonts w:ascii="Times New Roman" w:eastAsia="Times New Roman" w:hAnsi="Times New Roman" w:cs="Times New Roman"/>
                <w:color w:val="000000"/>
                <w:sz w:val="16"/>
                <w:szCs w:val="18"/>
              </w:rPr>
              <w:t>‡ Age is modeled as a categorical variable.  Each season is modeled separately.</w:t>
            </w:r>
          </w:p>
        </w:tc>
      </w:tr>
      <w:tr w:rsidR="00F87112" w:rsidRPr="003470DB" w:rsidTr="00980EE3">
        <w:trPr>
          <w:trHeight w:val="100"/>
        </w:trPr>
        <w:tc>
          <w:tcPr>
            <w:tcW w:w="0" w:type="auto"/>
            <w:gridSpan w:val="16"/>
            <w:tcBorders>
              <w:left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16"/>
                <w:szCs w:val="18"/>
              </w:rPr>
            </w:pPr>
            <w:r w:rsidRPr="003470DB">
              <w:rPr>
                <w:rFonts w:ascii="Times New Roman" w:eastAsia="Times New Roman" w:hAnsi="Times New Roman" w:cs="Times New Roman"/>
                <w:color w:val="000000"/>
                <w:sz w:val="16"/>
                <w:szCs w:val="18"/>
              </w:rPr>
              <w:t xml:space="preserve">§ Adjusted by all factors (age category-vaccine interaction term, age category prompt treatment with antivirals, race, sex, obesity, asthma, CVD, CLD, CMD, neurological disease, blood disorders, renal disease, liver disease, immunosuppression, alcohol abuse, smoking status, and virus type) and includes an interaction term between season and vaccine. </w:t>
            </w:r>
          </w:p>
        </w:tc>
      </w:tr>
    </w:tbl>
    <w:p w:rsidR="00FF4E6D" w:rsidRPr="003470DB" w:rsidRDefault="00FF4E6D" w:rsidP="005C1501">
      <w:pPr>
        <w:spacing w:after="160" w:line="259" w:lineRule="auto"/>
        <w:rPr>
          <w:rFonts w:ascii="Times New Roman" w:hAnsi="Times New Roman" w:cs="Times New Roman"/>
        </w:rPr>
      </w:pPr>
      <w:r w:rsidRPr="003470DB">
        <w:rPr>
          <w:rFonts w:ascii="Times New Roman" w:hAnsi="Times New Roman" w:cs="Times New Roman"/>
        </w:rPr>
        <w:br w:type="page"/>
      </w:r>
    </w:p>
    <w:tbl>
      <w:tblPr>
        <w:tblW w:w="9335" w:type="dxa"/>
        <w:tblInd w:w="108" w:type="dxa"/>
        <w:tblLook w:val="04A0" w:firstRow="1" w:lastRow="0" w:firstColumn="1" w:lastColumn="0" w:noHBand="0" w:noVBand="1"/>
      </w:tblPr>
      <w:tblGrid>
        <w:gridCol w:w="222"/>
        <w:gridCol w:w="3491"/>
        <w:gridCol w:w="1388"/>
        <w:gridCol w:w="1524"/>
        <w:gridCol w:w="1717"/>
        <w:gridCol w:w="993"/>
      </w:tblGrid>
      <w:tr w:rsidR="00FF4E6D" w:rsidRPr="003470DB" w:rsidTr="00306750">
        <w:trPr>
          <w:trHeight w:val="300"/>
        </w:trPr>
        <w:tc>
          <w:tcPr>
            <w:tcW w:w="9335" w:type="dxa"/>
            <w:gridSpan w:val="6"/>
            <w:tcBorders>
              <w:top w:val="nil"/>
              <w:left w:val="nil"/>
              <w:bottom w:val="nil"/>
              <w:right w:val="nil"/>
            </w:tcBorders>
            <w:shd w:val="clear" w:color="auto" w:fill="auto"/>
            <w:noWrap/>
            <w:vAlign w:val="bottom"/>
            <w:hideMark/>
          </w:tcPr>
          <w:p w:rsidR="00FF4E6D" w:rsidRPr="003470DB" w:rsidRDefault="005C1501"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lastRenderedPageBreak/>
              <w:t xml:space="preserve">SUPPLEMENT TABLE </w:t>
            </w:r>
            <w:r w:rsidR="003470DB">
              <w:rPr>
                <w:rFonts w:ascii="Times New Roman" w:eastAsia="Times New Roman" w:hAnsi="Times New Roman" w:cs="Times New Roman"/>
                <w:color w:val="000000"/>
                <w:sz w:val="20"/>
                <w:szCs w:val="20"/>
              </w:rPr>
              <w:t>S</w:t>
            </w:r>
            <w:r w:rsidRPr="003470DB">
              <w:rPr>
                <w:rFonts w:ascii="Times New Roman" w:eastAsia="Times New Roman" w:hAnsi="Times New Roman" w:cs="Times New Roman"/>
                <w:color w:val="000000"/>
                <w:sz w:val="20"/>
                <w:szCs w:val="20"/>
              </w:rPr>
              <w:t>5</w:t>
            </w:r>
            <w:r w:rsidR="00FF4E6D" w:rsidRPr="003470DB">
              <w:rPr>
                <w:rFonts w:ascii="Times New Roman" w:eastAsia="Times New Roman" w:hAnsi="Times New Roman" w:cs="Times New Roman"/>
                <w:color w:val="000000"/>
                <w:sz w:val="20"/>
                <w:szCs w:val="20"/>
              </w:rPr>
              <w:t>: Characteristics of influenza-associated hospitalized patients who did not receive antivirals (Ohio, 2012-2015)</w:t>
            </w:r>
          </w:p>
        </w:tc>
      </w:tr>
      <w:tr w:rsidR="00FF4E6D" w:rsidRPr="003470DB" w:rsidTr="00306750">
        <w:trPr>
          <w:trHeight w:val="315"/>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5622" w:type="dxa"/>
            <w:gridSpan w:val="4"/>
            <w:tcBorders>
              <w:top w:val="nil"/>
              <w:left w:val="nil"/>
              <w:bottom w:val="single" w:sz="8" w:space="0" w:color="auto"/>
              <w:right w:val="nil"/>
            </w:tcBorders>
            <w:shd w:val="clear" w:color="auto" w:fill="auto"/>
            <w:noWrap/>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Overall</w:t>
            </w:r>
          </w:p>
        </w:tc>
      </w:tr>
      <w:tr w:rsidR="00FF4E6D" w:rsidRPr="003470DB" w:rsidTr="00306750">
        <w:trPr>
          <w:trHeight w:val="600"/>
        </w:trPr>
        <w:tc>
          <w:tcPr>
            <w:tcW w:w="222" w:type="dxa"/>
            <w:tcBorders>
              <w:top w:val="nil"/>
              <w:left w:val="nil"/>
              <w:bottom w:val="nil"/>
              <w:right w:val="nil"/>
            </w:tcBorders>
            <w:shd w:val="clear" w:color="auto" w:fill="auto"/>
            <w:noWrap/>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388" w:type="dxa"/>
            <w:tcBorders>
              <w:top w:val="nil"/>
              <w:left w:val="nil"/>
              <w:bottom w:val="single" w:sz="4" w:space="0" w:color="auto"/>
              <w:right w:val="nil"/>
            </w:tcBorders>
            <w:shd w:val="clear" w:color="auto" w:fill="auto"/>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Overall (n=221)</w:t>
            </w:r>
          </w:p>
        </w:tc>
        <w:tc>
          <w:tcPr>
            <w:tcW w:w="1524" w:type="dxa"/>
            <w:tcBorders>
              <w:top w:val="nil"/>
              <w:left w:val="nil"/>
              <w:bottom w:val="single" w:sz="4" w:space="0" w:color="auto"/>
              <w:right w:val="nil"/>
            </w:tcBorders>
            <w:shd w:val="clear" w:color="auto" w:fill="auto"/>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Vaccinated (n=90)</w:t>
            </w:r>
          </w:p>
        </w:tc>
        <w:tc>
          <w:tcPr>
            <w:tcW w:w="1717" w:type="dxa"/>
            <w:tcBorders>
              <w:top w:val="nil"/>
              <w:left w:val="nil"/>
              <w:bottom w:val="single" w:sz="4" w:space="0" w:color="auto"/>
              <w:right w:val="nil"/>
            </w:tcBorders>
            <w:shd w:val="clear" w:color="auto" w:fill="auto"/>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Unvaccinated (n=131)</w:t>
            </w:r>
          </w:p>
        </w:tc>
        <w:tc>
          <w:tcPr>
            <w:tcW w:w="993" w:type="dxa"/>
            <w:tcBorders>
              <w:top w:val="nil"/>
              <w:left w:val="nil"/>
              <w:bottom w:val="single" w:sz="4" w:space="0" w:color="auto"/>
              <w:right w:val="nil"/>
            </w:tcBorders>
            <w:shd w:val="clear" w:color="auto" w:fill="auto"/>
            <w:noWrap/>
            <w:vAlign w:val="bottom"/>
            <w:hideMark/>
          </w:tcPr>
          <w:p w:rsidR="00FF4E6D" w:rsidRPr="003470DB" w:rsidRDefault="00FF4E6D" w:rsidP="00306750">
            <w:pPr>
              <w:jc w:val="cente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p*</w:t>
            </w:r>
          </w:p>
        </w:tc>
      </w:tr>
      <w:tr w:rsidR="00FF4E6D" w:rsidRPr="003470DB" w:rsidTr="00306750">
        <w:trPr>
          <w:trHeight w:val="315"/>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Female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112 (50.7)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48 (53.3)</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64 (48.8)</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0.51</w:t>
            </w: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Age group</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0.5-4 years</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22 (9.9)</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 (5.6)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17 (13.0)</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0.0004</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5-24 years</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20 (9.0)</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 (6.7)</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14 (10.7)</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25-64 years</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104 (47.1)</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34 (37.8)</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70 (53.4)</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144"/>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65+ years</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75 (33.9)</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45 (50.0)</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30 (22.9)</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Race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White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144 (66.7)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73 (81.1)</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71 (56.3)</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0.0001</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Other</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72 (33.3)</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17 (18.9)</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55 (43.6)</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6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Missing</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BMI ‡</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Not obese (&lt;18.5 - 29.9 kg/m2)</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153 (70.2)</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58 (65.2)</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95 (73.6)</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0.36</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Obese (30.0 - 39.9 kg/m2)</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53 (24.3)</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26 (29.2)</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27 (20.9)</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Morbidly Obese (&gt;40 kg/m2)</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12 (5.5)</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 (5.6)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 (5.4)</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Missing</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Medical Condition</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Asthma</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43 (19.5)</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23 (25.6)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r w:rsidRPr="003470DB">
              <w:rPr>
                <w:rFonts w:ascii="Times New Roman" w:eastAsia="Times New Roman" w:hAnsi="Times New Roman" w:cs="Times New Roman"/>
                <w:sz w:val="20"/>
                <w:szCs w:val="20"/>
              </w:rPr>
              <w:t>20 (15.3)</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0.06</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Cardiovascular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112 (50.7)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56 (62.2)</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56 (42.7)</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0.0044</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Chronic lung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71 (32.1)</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30 (33.3)</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41 (31.3)</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0.75</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Chronic metabolic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79 (35.7)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43 (47.8)</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36 (27.5)</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0.0020</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Neurologic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78 (35.3)</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44 (48.9)</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34 (25.9)</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0.0005</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Immunosuppression</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51 (23.1)</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24 (26.7)</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27 (20.6)</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0.29</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Blood disorder</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38 (17.2)</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26 (28.9)</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12 (9.2)</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0.0001</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Renal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46 (20.8)</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25 (27.8)</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21 (16.0)</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0.035</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Liver disease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16 (7.2)</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 (5.6)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11 (8.4)</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0.42</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 1 condition</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194 (87.8)</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89 (98.9)</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105 (80.1)</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&lt;0.0001</w:t>
            </w: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Alcohol abuse §</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Current</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15 (6.8)</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 (1.1)</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14 (10.7)</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0.0207</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Former</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 (2.3)</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 (2.2)</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 (2.3)</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Never</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201 (90.9)</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87 (96.7)</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114 (87.0)</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Smoking status §</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Current</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61 (27.6)</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19 (21.1)</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42 (32.1)</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0.0119</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 xml:space="preserve">Former </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52 (23.5)</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30 (33.3)</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22 (16.8)</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Never</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108 (48.9)</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41 (45.6)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67 (51.1)</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Influenza virus type</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Influenza A</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152 (68.8)</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64 (71.1)</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88 (67.2)</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0.61</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Influenza B</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68 (30.8)</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26 (28.9)</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42 (32.1)</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Influenza A&amp;B</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 (0.4)</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 (0.0)</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 (0.8)</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Season</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2012-2013</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82 (37.1)</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23 (25.6)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59 (45.0)</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0.0100</w:t>
            </w: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2013-2014</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60 (27.1)</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31 (34.4)</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29 (22.1)</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222"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sz w:val="20"/>
                <w:szCs w:val="20"/>
              </w:rPr>
            </w:pPr>
          </w:p>
        </w:tc>
        <w:tc>
          <w:tcPr>
            <w:tcW w:w="3491"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2014-2015</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79 (35.7)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36 (40.0)</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43 (32.8)</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p>
        </w:tc>
      </w:tr>
      <w:tr w:rsidR="00FF4E6D" w:rsidRPr="003470DB" w:rsidTr="00306750">
        <w:trPr>
          <w:trHeight w:val="300"/>
        </w:trPr>
        <w:tc>
          <w:tcPr>
            <w:tcW w:w="3713" w:type="dxa"/>
            <w:gridSpan w:val="2"/>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Severe influenza †</w:t>
            </w:r>
          </w:p>
        </w:tc>
        <w:tc>
          <w:tcPr>
            <w:tcW w:w="1388"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28 (12.7)</w:t>
            </w:r>
          </w:p>
        </w:tc>
        <w:tc>
          <w:tcPr>
            <w:tcW w:w="1524"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14 (15.6)</w:t>
            </w:r>
          </w:p>
        </w:tc>
        <w:tc>
          <w:tcPr>
            <w:tcW w:w="1717"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14 (10.7)</w:t>
            </w:r>
          </w:p>
        </w:tc>
        <w:tc>
          <w:tcPr>
            <w:tcW w:w="993" w:type="dxa"/>
            <w:tcBorders>
              <w:top w:val="nil"/>
              <w:left w:val="nil"/>
              <w:bottom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0.29</w:t>
            </w:r>
          </w:p>
        </w:tc>
      </w:tr>
      <w:tr w:rsidR="00FF4E6D" w:rsidRPr="003470DB" w:rsidTr="00306750">
        <w:trPr>
          <w:trHeight w:val="315"/>
        </w:trPr>
        <w:tc>
          <w:tcPr>
            <w:tcW w:w="3713" w:type="dxa"/>
            <w:gridSpan w:val="2"/>
            <w:tcBorders>
              <w:top w:val="nil"/>
              <w:left w:val="nil"/>
              <w:bottom w:val="single" w:sz="8" w:space="0" w:color="auto"/>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Diagnosis of pneumonia ‡</w:t>
            </w:r>
          </w:p>
        </w:tc>
        <w:tc>
          <w:tcPr>
            <w:tcW w:w="1388" w:type="dxa"/>
            <w:tcBorders>
              <w:top w:val="nil"/>
              <w:left w:val="nil"/>
              <w:bottom w:val="single" w:sz="8" w:space="0" w:color="auto"/>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49 (22.2)</w:t>
            </w:r>
          </w:p>
        </w:tc>
        <w:tc>
          <w:tcPr>
            <w:tcW w:w="1524" w:type="dxa"/>
            <w:tcBorders>
              <w:top w:val="nil"/>
              <w:left w:val="nil"/>
              <w:bottom w:val="single" w:sz="8" w:space="0" w:color="auto"/>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18 (20.0)</w:t>
            </w:r>
          </w:p>
        </w:tc>
        <w:tc>
          <w:tcPr>
            <w:tcW w:w="1717" w:type="dxa"/>
            <w:tcBorders>
              <w:top w:val="nil"/>
              <w:left w:val="nil"/>
              <w:bottom w:val="single" w:sz="8" w:space="0" w:color="auto"/>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31 (23.7)</w:t>
            </w:r>
          </w:p>
        </w:tc>
        <w:tc>
          <w:tcPr>
            <w:tcW w:w="993" w:type="dxa"/>
            <w:tcBorders>
              <w:top w:val="nil"/>
              <w:left w:val="nil"/>
              <w:bottom w:val="single" w:sz="8" w:space="0" w:color="auto"/>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0.52</w:t>
            </w:r>
          </w:p>
        </w:tc>
      </w:tr>
      <w:tr w:rsidR="00FF4E6D" w:rsidRPr="003470DB" w:rsidTr="00306750">
        <w:trPr>
          <w:trHeight w:val="300"/>
        </w:trPr>
        <w:tc>
          <w:tcPr>
            <w:tcW w:w="9335" w:type="dxa"/>
            <w:gridSpan w:val="6"/>
            <w:tcBorders>
              <w:top w:val="single" w:sz="8" w:space="0" w:color="auto"/>
              <w:left w:val="nil"/>
              <w:right w:val="nil"/>
            </w:tcBorders>
            <w:shd w:val="clear" w:color="auto" w:fill="auto"/>
            <w:noWrap/>
            <w:vAlign w:val="bottom"/>
            <w:hideMark/>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 * Chi-squared test</w:t>
            </w:r>
          </w:p>
        </w:tc>
      </w:tr>
      <w:tr w:rsidR="00FF4E6D" w:rsidRPr="003470DB" w:rsidTr="00306750">
        <w:trPr>
          <w:trHeight w:val="300"/>
        </w:trPr>
        <w:tc>
          <w:tcPr>
            <w:tcW w:w="9335" w:type="dxa"/>
            <w:gridSpan w:val="6"/>
            <w:tcBorders>
              <w:left w:val="nil"/>
              <w:bottom w:val="nil"/>
              <w:right w:val="nil"/>
            </w:tcBorders>
            <w:shd w:val="clear" w:color="auto" w:fill="auto"/>
            <w:noWrap/>
            <w:vAlign w:val="bottom"/>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 Severe influenza is defined as either admission to the intensive care unit or death</w:t>
            </w:r>
          </w:p>
        </w:tc>
      </w:tr>
      <w:tr w:rsidR="00FF4E6D" w:rsidRPr="003470DB" w:rsidTr="00306750">
        <w:trPr>
          <w:trHeight w:val="300"/>
        </w:trPr>
        <w:tc>
          <w:tcPr>
            <w:tcW w:w="9335" w:type="dxa"/>
            <w:gridSpan w:val="6"/>
            <w:tcBorders>
              <w:left w:val="nil"/>
              <w:bottom w:val="nil"/>
              <w:right w:val="nil"/>
            </w:tcBorders>
            <w:shd w:val="clear" w:color="auto" w:fill="auto"/>
            <w:noWrap/>
            <w:vAlign w:val="bottom"/>
          </w:tcPr>
          <w:p w:rsidR="00FF4E6D" w:rsidRPr="003470DB" w:rsidRDefault="00FF4E6D" w:rsidP="00306750">
            <w:pPr>
              <w:rPr>
                <w:rFonts w:ascii="Times New Roman" w:eastAsia="Times New Roman" w:hAnsi="Times New Roman" w:cs="Times New Roman"/>
                <w:color w:val="000000"/>
                <w:sz w:val="20"/>
                <w:szCs w:val="20"/>
              </w:rPr>
            </w:pPr>
            <w:r w:rsidRPr="003470DB">
              <w:rPr>
                <w:rFonts w:ascii="Times New Roman" w:eastAsia="Times New Roman" w:hAnsi="Times New Roman" w:cs="Times New Roman"/>
                <w:color w:val="000000"/>
                <w:sz w:val="20"/>
                <w:szCs w:val="20"/>
              </w:rPr>
              <w:t>‡ Diagnosis of pneumonia is defined as</w:t>
            </w:r>
            <w:r w:rsidRPr="003470DB">
              <w:rPr>
                <w:rFonts w:ascii="Times New Roman" w:hAnsi="Times New Roman" w:cs="Times New Roman"/>
                <w:color w:val="000000"/>
                <w:sz w:val="20"/>
                <w:szCs w:val="20"/>
              </w:rPr>
              <w:t xml:space="preserve"> a chest x-ray indicating pneumonia and either diagnosis of pneumonia at discharge or ICD-9 discharge code for pneumonia (480-487.0).</w:t>
            </w:r>
          </w:p>
        </w:tc>
      </w:tr>
      <w:tr w:rsidR="00FF4E6D" w:rsidRPr="003470DB" w:rsidTr="00306750">
        <w:trPr>
          <w:trHeight w:val="300"/>
        </w:trPr>
        <w:tc>
          <w:tcPr>
            <w:tcW w:w="9335" w:type="dxa"/>
            <w:gridSpan w:val="6"/>
            <w:tcBorders>
              <w:left w:val="nil"/>
              <w:bottom w:val="nil"/>
              <w:right w:val="nil"/>
            </w:tcBorders>
            <w:shd w:val="clear" w:color="auto" w:fill="auto"/>
            <w:noWrap/>
            <w:vAlign w:val="bottom"/>
          </w:tcPr>
          <w:p w:rsidR="00FF4E6D" w:rsidRPr="003470DB" w:rsidRDefault="00FF4E6D" w:rsidP="00306750">
            <w:pPr>
              <w:rPr>
                <w:rFonts w:ascii="Times New Roman" w:eastAsia="Times New Roman" w:hAnsi="Times New Roman" w:cs="Times New Roman"/>
                <w:color w:val="000000"/>
                <w:sz w:val="20"/>
                <w:szCs w:val="20"/>
              </w:rPr>
            </w:pPr>
          </w:p>
        </w:tc>
      </w:tr>
    </w:tbl>
    <w:p w:rsidR="00F87112" w:rsidRPr="003470DB" w:rsidRDefault="00F87112" w:rsidP="00F87112">
      <w:pPr>
        <w:rPr>
          <w:rFonts w:ascii="Times New Roman" w:hAnsi="Times New Roman" w:cs="Times New Roman"/>
        </w:rPr>
      </w:pPr>
      <w:r w:rsidRPr="003470DB">
        <w:rPr>
          <w:rFonts w:ascii="Times New Roman" w:hAnsi="Times New Roman" w:cs="Times New Roman"/>
        </w:rPr>
        <w:br w:type="page"/>
      </w:r>
    </w:p>
    <w:tbl>
      <w:tblPr>
        <w:tblW w:w="8820" w:type="dxa"/>
        <w:tblInd w:w="108" w:type="dxa"/>
        <w:tblLayout w:type="fixed"/>
        <w:tblLook w:val="04A0" w:firstRow="1" w:lastRow="0" w:firstColumn="1" w:lastColumn="0" w:noHBand="0" w:noVBand="1"/>
      </w:tblPr>
      <w:tblGrid>
        <w:gridCol w:w="265"/>
        <w:gridCol w:w="4595"/>
        <w:gridCol w:w="1620"/>
        <w:gridCol w:w="2340"/>
      </w:tblGrid>
      <w:tr w:rsidR="00F87112" w:rsidRPr="003470DB" w:rsidTr="00980EE3">
        <w:trPr>
          <w:trHeight w:val="615"/>
        </w:trPr>
        <w:tc>
          <w:tcPr>
            <w:tcW w:w="8820" w:type="dxa"/>
            <w:gridSpan w:val="4"/>
            <w:tcBorders>
              <w:top w:val="nil"/>
              <w:left w:val="nil"/>
              <w:bottom w:val="single" w:sz="8"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lastRenderedPageBreak/>
              <w:t xml:space="preserve">SUPPLEMENT </w:t>
            </w:r>
            <w:r w:rsidR="00FF4E6D" w:rsidRPr="003470DB">
              <w:rPr>
                <w:rFonts w:ascii="Times New Roman" w:eastAsia="Times New Roman" w:hAnsi="Times New Roman" w:cs="Times New Roman"/>
                <w:color w:val="000000"/>
                <w:sz w:val="22"/>
                <w:szCs w:val="22"/>
              </w:rPr>
              <w:t xml:space="preserve">TABLE </w:t>
            </w:r>
            <w:r w:rsidR="003470DB">
              <w:rPr>
                <w:rFonts w:ascii="Times New Roman" w:eastAsia="Times New Roman" w:hAnsi="Times New Roman" w:cs="Times New Roman"/>
                <w:color w:val="000000"/>
                <w:sz w:val="22"/>
                <w:szCs w:val="22"/>
              </w:rPr>
              <w:t>S</w:t>
            </w:r>
            <w:r w:rsidR="005C1501" w:rsidRPr="003470DB">
              <w:rPr>
                <w:rFonts w:ascii="Times New Roman" w:eastAsia="Times New Roman" w:hAnsi="Times New Roman" w:cs="Times New Roman"/>
                <w:color w:val="000000"/>
                <w:sz w:val="22"/>
                <w:szCs w:val="22"/>
              </w:rPr>
              <w:t>6</w:t>
            </w:r>
            <w:r w:rsidRPr="003470DB">
              <w:rPr>
                <w:rFonts w:ascii="Times New Roman" w:eastAsia="Times New Roman" w:hAnsi="Times New Roman" w:cs="Times New Roman"/>
                <w:color w:val="000000"/>
                <w:sz w:val="22"/>
                <w:szCs w:val="22"/>
              </w:rPr>
              <w:t xml:space="preserve">: Odds of severe influenza and pneumonia with respect to vaccination status among patients not treated with antivirals (2012-2015, n=221), </w:t>
            </w:r>
            <w:r w:rsidRPr="003470DB">
              <w:rPr>
                <w:rFonts w:ascii="Times New Roman" w:eastAsia="Times New Roman" w:hAnsi="Times New Roman" w:cs="Times New Roman"/>
                <w:color w:val="000000"/>
                <w:sz w:val="22"/>
                <w:szCs w:val="16"/>
              </w:rPr>
              <w:t>†</w:t>
            </w:r>
          </w:p>
        </w:tc>
      </w:tr>
      <w:tr w:rsidR="00F87112" w:rsidRPr="003470DB" w:rsidTr="00980EE3">
        <w:trPr>
          <w:trHeight w:val="315"/>
        </w:trPr>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459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c>
          <w:tcPr>
            <w:tcW w:w="3960" w:type="dxa"/>
            <w:gridSpan w:val="2"/>
            <w:tcBorders>
              <w:top w:val="nil"/>
              <w:left w:val="nil"/>
              <w:bottom w:val="single" w:sz="8" w:space="0" w:color="auto"/>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Overall</w:t>
            </w:r>
          </w:p>
        </w:tc>
      </w:tr>
      <w:tr w:rsidR="00F87112" w:rsidRPr="003470DB" w:rsidTr="00980EE3">
        <w:trPr>
          <w:trHeight w:val="300"/>
        </w:trPr>
        <w:tc>
          <w:tcPr>
            <w:tcW w:w="265" w:type="dxa"/>
            <w:tcBorders>
              <w:top w:val="nil"/>
              <w:left w:val="nil"/>
              <w:bottom w:val="nil"/>
              <w:right w:val="nil"/>
            </w:tcBorders>
            <w:shd w:val="clear" w:color="auto" w:fill="auto"/>
            <w:noWrap/>
            <w:vAlign w:val="bottom"/>
            <w:hideMark/>
          </w:tcPr>
          <w:p w:rsidR="00F87112" w:rsidRPr="003470DB" w:rsidRDefault="00F87112" w:rsidP="00980EE3">
            <w:pPr>
              <w:jc w:val="center"/>
              <w:rPr>
                <w:rFonts w:ascii="Times New Roman" w:eastAsia="Times New Roman" w:hAnsi="Times New Roman" w:cs="Times New Roman"/>
                <w:color w:val="000000"/>
                <w:sz w:val="22"/>
                <w:szCs w:val="22"/>
              </w:rPr>
            </w:pPr>
          </w:p>
        </w:tc>
        <w:tc>
          <w:tcPr>
            <w:tcW w:w="459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c>
          <w:tcPr>
            <w:tcW w:w="1620"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OR</w:t>
            </w:r>
          </w:p>
        </w:tc>
        <w:tc>
          <w:tcPr>
            <w:tcW w:w="2340" w:type="dxa"/>
            <w:tcBorders>
              <w:top w:val="nil"/>
              <w:left w:val="nil"/>
              <w:bottom w:val="single" w:sz="4" w:space="0" w:color="auto"/>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95% CI</w:t>
            </w:r>
          </w:p>
        </w:tc>
      </w:tr>
      <w:tr w:rsidR="00F87112" w:rsidRPr="003470DB" w:rsidTr="00980EE3">
        <w:trPr>
          <w:trHeight w:val="300"/>
        </w:trPr>
        <w:tc>
          <w:tcPr>
            <w:tcW w:w="4860" w:type="dxa"/>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Severe Influenza </w:t>
            </w:r>
            <w:r w:rsidRPr="003470DB">
              <w:rPr>
                <w:rFonts w:ascii="Times New Roman" w:eastAsia="Times New Roman" w:hAnsi="Times New Roman" w:cs="Times New Roman"/>
                <w:color w:val="000000"/>
                <w:sz w:val="22"/>
                <w:szCs w:val="18"/>
              </w:rPr>
              <w:t>‡</w:t>
            </w:r>
          </w:p>
        </w:tc>
        <w:tc>
          <w:tcPr>
            <w:tcW w:w="162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234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r>
      <w:tr w:rsidR="00F87112" w:rsidRPr="003470DB" w:rsidTr="00980EE3">
        <w:trPr>
          <w:trHeight w:val="300"/>
        </w:trPr>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c>
          <w:tcPr>
            <w:tcW w:w="4595" w:type="dxa"/>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r w:rsidR="00F87112" w:rsidRPr="003470DB">
              <w:rPr>
                <w:rFonts w:ascii="Times New Roman" w:eastAsia="Times New Roman" w:hAnsi="Times New Roman" w:cs="Times New Roman"/>
                <w:color w:val="000000"/>
                <w:sz w:val="22"/>
                <w:szCs w:val="22"/>
              </w:rPr>
              <w:t xml:space="preserve"> </w:t>
            </w:r>
          </w:p>
        </w:tc>
        <w:tc>
          <w:tcPr>
            <w:tcW w:w="162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1.54</w:t>
            </w:r>
          </w:p>
        </w:tc>
        <w:tc>
          <w:tcPr>
            <w:tcW w:w="234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0.69, 3.41</w:t>
            </w:r>
          </w:p>
        </w:tc>
      </w:tr>
      <w:tr w:rsidR="00F87112" w:rsidRPr="003470DB" w:rsidTr="00980EE3">
        <w:trPr>
          <w:trHeight w:val="300"/>
        </w:trPr>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4595" w:type="dxa"/>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Adjusted #</w:t>
            </w:r>
          </w:p>
        </w:tc>
        <w:tc>
          <w:tcPr>
            <w:tcW w:w="1620" w:type="dxa"/>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1.26</w:t>
            </w:r>
          </w:p>
        </w:tc>
        <w:tc>
          <w:tcPr>
            <w:tcW w:w="2340" w:type="dxa"/>
            <w:tcBorders>
              <w:top w:val="nil"/>
              <w:left w:val="nil"/>
              <w:bottom w:val="nil"/>
              <w:right w:val="nil"/>
            </w:tcBorders>
            <w:shd w:val="clear" w:color="auto" w:fill="auto"/>
            <w:noWrap/>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0.44, 3.59</w:t>
            </w:r>
          </w:p>
        </w:tc>
      </w:tr>
      <w:tr w:rsidR="00F87112" w:rsidRPr="003470DB" w:rsidTr="00980EE3">
        <w:trPr>
          <w:trHeight w:val="300"/>
        </w:trPr>
        <w:tc>
          <w:tcPr>
            <w:tcW w:w="4860" w:type="dxa"/>
            <w:gridSpan w:val="2"/>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 xml:space="preserve">Pneumonia </w:t>
            </w:r>
            <w:r w:rsidRPr="003470DB">
              <w:rPr>
                <w:rFonts w:ascii="Times New Roman" w:eastAsia="Times New Roman" w:hAnsi="Times New Roman" w:cs="Times New Roman"/>
                <w:color w:val="000000"/>
                <w:sz w:val="22"/>
                <w:szCs w:val="18"/>
              </w:rPr>
              <w:t>§</w:t>
            </w:r>
          </w:p>
        </w:tc>
        <w:tc>
          <w:tcPr>
            <w:tcW w:w="162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234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r>
      <w:tr w:rsidR="00F87112" w:rsidRPr="003470DB" w:rsidTr="00980EE3">
        <w:trPr>
          <w:trHeight w:val="300"/>
        </w:trPr>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sz w:val="20"/>
                <w:szCs w:val="20"/>
              </w:rPr>
            </w:pPr>
          </w:p>
        </w:tc>
        <w:tc>
          <w:tcPr>
            <w:tcW w:w="4595" w:type="dxa"/>
            <w:tcBorders>
              <w:top w:val="nil"/>
              <w:left w:val="nil"/>
              <w:bottom w:val="nil"/>
              <w:right w:val="nil"/>
            </w:tcBorders>
            <w:shd w:val="clear" w:color="auto" w:fill="auto"/>
            <w:vAlign w:val="bottom"/>
            <w:hideMark/>
          </w:tcPr>
          <w:p w:rsidR="00F87112" w:rsidRPr="003470DB" w:rsidRDefault="00C51A3C"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Unadjusted</w:t>
            </w:r>
            <w:r w:rsidR="00F87112" w:rsidRPr="003470DB">
              <w:rPr>
                <w:rFonts w:ascii="Times New Roman" w:eastAsia="Times New Roman" w:hAnsi="Times New Roman" w:cs="Times New Roman"/>
                <w:color w:val="000000"/>
                <w:sz w:val="22"/>
                <w:szCs w:val="22"/>
              </w:rPr>
              <w:t xml:space="preserve"> </w:t>
            </w:r>
          </w:p>
        </w:tc>
        <w:tc>
          <w:tcPr>
            <w:tcW w:w="162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0.81</w:t>
            </w:r>
          </w:p>
        </w:tc>
        <w:tc>
          <w:tcPr>
            <w:tcW w:w="234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0.42, 1.55</w:t>
            </w:r>
          </w:p>
        </w:tc>
      </w:tr>
      <w:tr w:rsidR="00F87112" w:rsidRPr="003470DB" w:rsidTr="00980EE3">
        <w:trPr>
          <w:trHeight w:val="300"/>
        </w:trPr>
        <w:tc>
          <w:tcPr>
            <w:tcW w:w="265"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p>
        </w:tc>
        <w:tc>
          <w:tcPr>
            <w:tcW w:w="4595" w:type="dxa"/>
            <w:tcBorders>
              <w:top w:val="nil"/>
              <w:left w:val="nil"/>
              <w:bottom w:val="nil"/>
              <w:right w:val="nil"/>
            </w:tcBorders>
            <w:shd w:val="clear" w:color="auto" w:fill="auto"/>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Adjusted #</w:t>
            </w:r>
          </w:p>
        </w:tc>
        <w:tc>
          <w:tcPr>
            <w:tcW w:w="162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0.60</w:t>
            </w:r>
          </w:p>
        </w:tc>
        <w:tc>
          <w:tcPr>
            <w:tcW w:w="2340" w:type="dxa"/>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22"/>
              </w:rPr>
              <w:t>0.25, 1.41</w:t>
            </w:r>
          </w:p>
        </w:tc>
      </w:tr>
      <w:tr w:rsidR="00F87112" w:rsidRPr="003470DB" w:rsidTr="00980EE3">
        <w:trPr>
          <w:trHeight w:val="300"/>
        </w:trPr>
        <w:tc>
          <w:tcPr>
            <w:tcW w:w="8820" w:type="dxa"/>
            <w:gridSpan w:val="4"/>
            <w:tcBorders>
              <w:top w:val="nil"/>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22"/>
                <w:szCs w:val="16"/>
              </w:rPr>
            </w:pPr>
            <w:r w:rsidRPr="003470DB">
              <w:rPr>
                <w:rFonts w:ascii="Times New Roman" w:eastAsia="Times New Roman" w:hAnsi="Times New Roman" w:cs="Times New Roman"/>
                <w:color w:val="000000"/>
                <w:sz w:val="22"/>
                <w:szCs w:val="16"/>
              </w:rPr>
              <w:t xml:space="preserve">* Only patients who were not treated with antivirals are included in this analysis.  There were as 221 patients who were not treated with antivirals from 2012-2015. </w:t>
            </w:r>
            <w:r w:rsidR="008330B4" w:rsidRPr="003470DB">
              <w:rPr>
                <w:rFonts w:ascii="Times New Roman" w:eastAsia="Times New Roman" w:hAnsi="Times New Roman" w:cs="Times New Roman"/>
                <w:color w:val="000000"/>
                <w:sz w:val="22"/>
                <w:szCs w:val="16"/>
              </w:rPr>
              <w:t xml:space="preserve">An odds ratio less than one suggests that vaccinated patients have decreased odds of the outcome, relative to unvaccinated patients. </w:t>
            </w:r>
            <w:r w:rsidRPr="003470DB">
              <w:rPr>
                <w:rFonts w:ascii="Times New Roman" w:hAnsi="Times New Roman" w:cs="Times New Roman"/>
                <w:color w:val="000000"/>
                <w:sz w:val="22"/>
                <w:szCs w:val="20"/>
              </w:rPr>
              <w:t>OR: odds ratio, 95% CI: 95% confidence interval</w:t>
            </w:r>
          </w:p>
        </w:tc>
      </w:tr>
      <w:tr w:rsidR="00F87112" w:rsidRPr="003470DB" w:rsidTr="00980EE3">
        <w:trPr>
          <w:trHeight w:val="300"/>
        </w:trPr>
        <w:tc>
          <w:tcPr>
            <w:tcW w:w="8820" w:type="dxa"/>
            <w:gridSpan w:val="4"/>
            <w:tcBorders>
              <w:top w:val="nil"/>
              <w:left w:val="nil"/>
              <w:bottom w:val="nil"/>
              <w:right w:val="nil"/>
            </w:tcBorders>
            <w:shd w:val="clear" w:color="auto" w:fill="auto"/>
            <w:noWrap/>
          </w:tcPr>
          <w:p w:rsidR="00F87112" w:rsidRPr="003470DB" w:rsidRDefault="00F87112" w:rsidP="00980EE3">
            <w:pPr>
              <w:rPr>
                <w:rFonts w:ascii="Times New Roman" w:eastAsia="Times New Roman" w:hAnsi="Times New Roman" w:cs="Times New Roman"/>
                <w:color w:val="000000"/>
                <w:sz w:val="22"/>
                <w:szCs w:val="16"/>
              </w:rPr>
            </w:pPr>
            <w:r w:rsidRPr="003470DB">
              <w:rPr>
                <w:rFonts w:ascii="Times New Roman" w:eastAsia="Times New Roman" w:hAnsi="Times New Roman" w:cs="Times New Roman"/>
                <w:color w:val="000000"/>
                <w:sz w:val="22"/>
                <w:szCs w:val="16"/>
              </w:rPr>
              <w:t xml:space="preserve">† </w:t>
            </w:r>
            <w:r w:rsidRPr="003470DB">
              <w:rPr>
                <w:rFonts w:ascii="Times New Roman" w:eastAsia="Times New Roman" w:hAnsi="Times New Roman" w:cs="Times New Roman"/>
                <w:color w:val="000000"/>
                <w:sz w:val="22"/>
                <w:szCs w:val="18"/>
              </w:rPr>
              <w:t>Age is modeled as a continuous variable.</w:t>
            </w:r>
          </w:p>
        </w:tc>
      </w:tr>
      <w:tr w:rsidR="00F87112" w:rsidRPr="003470DB" w:rsidTr="00980EE3">
        <w:trPr>
          <w:trHeight w:val="300"/>
        </w:trPr>
        <w:tc>
          <w:tcPr>
            <w:tcW w:w="8820" w:type="dxa"/>
            <w:gridSpan w:val="4"/>
            <w:tcBorders>
              <w:top w:val="nil"/>
              <w:left w:val="nil"/>
              <w:bottom w:val="nil"/>
              <w:right w:val="nil"/>
            </w:tcBorders>
            <w:shd w:val="clear" w:color="auto" w:fill="auto"/>
            <w:noWrap/>
            <w:vAlign w:val="bottom"/>
            <w:hideMark/>
          </w:tcPr>
          <w:p w:rsidR="00F87112" w:rsidRPr="003470DB" w:rsidRDefault="00F87112" w:rsidP="00980EE3">
            <w:pPr>
              <w:rPr>
                <w:rFonts w:ascii="Times New Roman" w:eastAsia="Times New Roman" w:hAnsi="Times New Roman" w:cs="Times New Roman"/>
                <w:color w:val="000000"/>
                <w:sz w:val="22"/>
                <w:szCs w:val="22"/>
              </w:rPr>
            </w:pPr>
            <w:r w:rsidRPr="003470DB">
              <w:rPr>
                <w:rFonts w:ascii="Times New Roman" w:eastAsia="Times New Roman" w:hAnsi="Times New Roman" w:cs="Times New Roman"/>
                <w:color w:val="000000"/>
                <w:sz w:val="22"/>
                <w:szCs w:val="18"/>
              </w:rPr>
              <w:t xml:space="preserve">‡ </w:t>
            </w:r>
            <w:r w:rsidRPr="003470DB">
              <w:rPr>
                <w:rFonts w:ascii="Times New Roman" w:eastAsia="Times New Roman" w:hAnsi="Times New Roman" w:cs="Times New Roman"/>
                <w:color w:val="000000"/>
                <w:sz w:val="22"/>
                <w:szCs w:val="16"/>
              </w:rPr>
              <w:t xml:space="preserve"> Severe influenza is defined as </w:t>
            </w:r>
            <w:r w:rsidRPr="003470DB">
              <w:rPr>
                <w:rFonts w:ascii="Times New Roman" w:eastAsia="Times New Roman" w:hAnsi="Times New Roman" w:cs="Times New Roman"/>
                <w:color w:val="000000"/>
                <w:sz w:val="22"/>
                <w:szCs w:val="18"/>
              </w:rPr>
              <w:t>admission to the ICU or death during hospitalization.</w:t>
            </w:r>
          </w:p>
        </w:tc>
      </w:tr>
      <w:tr w:rsidR="00F87112" w:rsidRPr="003470DB" w:rsidTr="00980EE3">
        <w:trPr>
          <w:trHeight w:val="300"/>
        </w:trPr>
        <w:tc>
          <w:tcPr>
            <w:tcW w:w="8820" w:type="dxa"/>
            <w:gridSpan w:val="4"/>
            <w:tcBorders>
              <w:top w:val="nil"/>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22"/>
                <w:szCs w:val="16"/>
              </w:rPr>
            </w:pPr>
            <w:r w:rsidRPr="003470DB">
              <w:rPr>
                <w:rFonts w:ascii="Times New Roman" w:eastAsia="Times New Roman" w:hAnsi="Times New Roman" w:cs="Times New Roman"/>
                <w:color w:val="000000"/>
                <w:sz w:val="22"/>
                <w:szCs w:val="18"/>
              </w:rPr>
              <w:t>§</w:t>
            </w:r>
            <w:r w:rsidRPr="003470DB">
              <w:rPr>
                <w:rFonts w:ascii="Times New Roman" w:eastAsia="Times New Roman" w:hAnsi="Times New Roman" w:cs="Times New Roman"/>
                <w:color w:val="000000"/>
                <w:sz w:val="22"/>
                <w:szCs w:val="16"/>
              </w:rPr>
              <w:t xml:space="preserve"> </w:t>
            </w:r>
            <w:r w:rsidRPr="003470DB">
              <w:rPr>
                <w:rFonts w:ascii="Times New Roman" w:hAnsi="Times New Roman" w:cs="Times New Roman"/>
                <w:color w:val="000000"/>
                <w:sz w:val="22"/>
                <w:szCs w:val="16"/>
              </w:rPr>
              <w:t xml:space="preserve">Pneumonia is defined as a chest x-ray indicating pneumonia and either diagnosis of pneumonia at discharge or ICD-9 discharge code for pneumonia (480-487.0).   </w:t>
            </w:r>
          </w:p>
        </w:tc>
      </w:tr>
      <w:tr w:rsidR="00F87112" w:rsidRPr="003470DB" w:rsidTr="00980EE3">
        <w:trPr>
          <w:trHeight w:val="300"/>
        </w:trPr>
        <w:tc>
          <w:tcPr>
            <w:tcW w:w="8820" w:type="dxa"/>
            <w:gridSpan w:val="4"/>
            <w:tcBorders>
              <w:top w:val="nil"/>
              <w:left w:val="nil"/>
              <w:bottom w:val="nil"/>
              <w:right w:val="nil"/>
            </w:tcBorders>
            <w:shd w:val="clear" w:color="auto" w:fill="auto"/>
            <w:noWrap/>
            <w:vAlign w:val="bottom"/>
          </w:tcPr>
          <w:p w:rsidR="00F87112" w:rsidRPr="003470DB" w:rsidRDefault="00F87112" w:rsidP="00980EE3">
            <w:pPr>
              <w:rPr>
                <w:rFonts w:ascii="Times New Roman" w:eastAsia="Times New Roman" w:hAnsi="Times New Roman" w:cs="Times New Roman"/>
                <w:color w:val="000000"/>
                <w:sz w:val="22"/>
                <w:szCs w:val="18"/>
              </w:rPr>
            </w:pPr>
            <w:r w:rsidRPr="003470DB">
              <w:rPr>
                <w:rFonts w:ascii="Times New Roman" w:eastAsia="Times New Roman" w:hAnsi="Times New Roman" w:cs="Times New Roman"/>
                <w:color w:val="000000"/>
                <w:sz w:val="22"/>
                <w:szCs w:val="18"/>
              </w:rPr>
              <w:t xml:space="preserve"># Adjusted by all factors (prompt treatment with antivirals, age, race, sex, obesity, asthma, CVD, CLD, CMD, neurological disease, blood disorders, renal disease, liver disease, immunosuppression, alcohol abuse, smoking status, and virus type) and includes an interaction term between season and vaccine. </w:t>
            </w:r>
          </w:p>
        </w:tc>
      </w:tr>
    </w:tbl>
    <w:p w:rsidR="009B06AB" w:rsidRPr="003470DB" w:rsidRDefault="009B06AB">
      <w:pPr>
        <w:rPr>
          <w:rFonts w:ascii="Times New Roman" w:hAnsi="Times New Roman" w:cs="Times New Roman"/>
        </w:rPr>
      </w:pPr>
    </w:p>
    <w:sectPr w:rsidR="009B06AB" w:rsidRPr="003470DB" w:rsidSect="00980EE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Yu Gothic"/>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2057"/>
    <w:multiLevelType w:val="hybridMultilevel"/>
    <w:tmpl w:val="AB26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12"/>
    <w:rsid w:val="000A2EAA"/>
    <w:rsid w:val="000E16BA"/>
    <w:rsid w:val="00100C0B"/>
    <w:rsid w:val="00113827"/>
    <w:rsid w:val="00204F44"/>
    <w:rsid w:val="00282D0F"/>
    <w:rsid w:val="002E6105"/>
    <w:rsid w:val="003470DB"/>
    <w:rsid w:val="005C1501"/>
    <w:rsid w:val="007077EE"/>
    <w:rsid w:val="008330B4"/>
    <w:rsid w:val="00980EE3"/>
    <w:rsid w:val="009B06AB"/>
    <w:rsid w:val="00AF6F6F"/>
    <w:rsid w:val="00C51A3C"/>
    <w:rsid w:val="00E50CB8"/>
    <w:rsid w:val="00EF4957"/>
    <w:rsid w:val="00F82214"/>
    <w:rsid w:val="00F87112"/>
    <w:rsid w:val="00FF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936E"/>
  <w15:chartTrackingRefBased/>
  <w15:docId w15:val="{71E303E5-BF26-4CDC-9297-8B817295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71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F87112"/>
  </w:style>
  <w:style w:type="paragraph" w:styleId="ListParagraph">
    <w:name w:val="List Paragraph"/>
    <w:basedOn w:val="Normal"/>
    <w:uiPriority w:val="34"/>
    <w:qFormat/>
    <w:rsid w:val="00F87112"/>
    <w:pPr>
      <w:ind w:left="720"/>
      <w:contextualSpacing/>
    </w:pPr>
  </w:style>
  <w:style w:type="paragraph" w:styleId="BalloonText">
    <w:name w:val="Balloon Text"/>
    <w:basedOn w:val="Normal"/>
    <w:link w:val="BalloonTextChar"/>
    <w:uiPriority w:val="99"/>
    <w:semiHidden/>
    <w:unhideWhenUsed/>
    <w:rsid w:val="00F87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112"/>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F87112"/>
    <w:rPr>
      <w:sz w:val="18"/>
      <w:szCs w:val="18"/>
    </w:rPr>
  </w:style>
  <w:style w:type="paragraph" w:styleId="CommentText">
    <w:name w:val="annotation text"/>
    <w:basedOn w:val="Normal"/>
    <w:link w:val="CommentTextChar"/>
    <w:uiPriority w:val="99"/>
    <w:semiHidden/>
    <w:unhideWhenUsed/>
    <w:rsid w:val="00F87112"/>
  </w:style>
  <w:style w:type="character" w:customStyle="1" w:styleId="CommentTextChar">
    <w:name w:val="Comment Text Char"/>
    <w:basedOn w:val="DefaultParagraphFont"/>
    <w:link w:val="CommentText"/>
    <w:uiPriority w:val="99"/>
    <w:semiHidden/>
    <w:rsid w:val="00F8711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87112"/>
    <w:rPr>
      <w:b/>
      <w:bCs/>
      <w:sz w:val="20"/>
      <w:szCs w:val="20"/>
    </w:rPr>
  </w:style>
  <w:style w:type="character" w:customStyle="1" w:styleId="CommentSubjectChar">
    <w:name w:val="Comment Subject Char"/>
    <w:basedOn w:val="CommentTextChar"/>
    <w:link w:val="CommentSubject"/>
    <w:uiPriority w:val="99"/>
    <w:semiHidden/>
    <w:rsid w:val="00F87112"/>
    <w:rPr>
      <w:rFonts w:eastAsiaTheme="minorEastAsia"/>
      <w:b/>
      <w:bCs/>
      <w:sz w:val="20"/>
      <w:szCs w:val="20"/>
    </w:rPr>
  </w:style>
  <w:style w:type="paragraph" w:styleId="Revision">
    <w:name w:val="Revision"/>
    <w:hidden/>
    <w:uiPriority w:val="99"/>
    <w:semiHidden/>
    <w:rsid w:val="00F8711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3311</Words>
  <Characters>18875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Zivich</dc:creator>
  <cp:keywords/>
  <dc:description/>
  <cp:lastModifiedBy>Paul Zivich</cp:lastModifiedBy>
  <cp:revision>3</cp:revision>
  <dcterms:created xsi:type="dcterms:W3CDTF">2017-03-27T13:04:00Z</dcterms:created>
  <dcterms:modified xsi:type="dcterms:W3CDTF">2017-03-27T13:05:00Z</dcterms:modified>
</cp:coreProperties>
</file>