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3" w:rsidRPr="00A85CB2" w:rsidRDefault="004A76D3" w:rsidP="004A76D3">
      <w:pPr>
        <w:rPr>
          <w:rFonts w:ascii="Times New Roman" w:hAnsi="Times New Roman" w:cs="Times New Roman"/>
          <w:b/>
        </w:rPr>
      </w:pPr>
      <w:r w:rsidRPr="00A85CB2">
        <w:rPr>
          <w:rFonts w:ascii="Times New Roman" w:hAnsi="Times New Roman" w:cs="Times New Roman"/>
          <w:b/>
        </w:rPr>
        <w:t>Supplementary information</w:t>
      </w:r>
    </w:p>
    <w:p w:rsidR="004A76D3" w:rsidRPr="00A85CB2" w:rsidRDefault="004A76D3" w:rsidP="004A76D3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Ref434999715"/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t>Figure S1. The frequency distribution and map of the proportion of MMR1 vaccinated population across 2020 area unit levels in New Zealand (top inset and map), with a close up of the Auckland region also shown (bottom), for the year 2006.</w:t>
      </w:r>
    </w:p>
    <w:p w:rsidR="004A76D3" w:rsidRPr="00A85CB2" w:rsidRDefault="004A76D3" w:rsidP="004A76D3">
      <w:pPr>
        <w:jc w:val="center"/>
        <w:rPr>
          <w:rFonts w:ascii="Times New Roman" w:hAnsi="Times New Roman" w:cs="Times New Roman"/>
        </w:rPr>
      </w:pPr>
      <w:r w:rsidRPr="00A85CB2">
        <w:rPr>
          <w:rFonts w:ascii="Times New Roman" w:hAnsi="Times New Roman" w:cs="Times New Roman"/>
          <w:noProof/>
          <w:lang w:val="en-NZ" w:eastAsia="en-NZ"/>
        </w:rPr>
        <w:drawing>
          <wp:inline distT="0" distB="0" distL="0" distR="0" wp14:anchorId="725D12B7" wp14:editId="77A3FB2D">
            <wp:extent cx="3757613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_census_MMR1_NIR_20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1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5CB2">
        <w:rPr>
          <w:rFonts w:ascii="Times New Roman" w:hAnsi="Times New Roman" w:cs="Times New Roman"/>
          <w:noProof/>
          <w:lang w:val="en-NZ" w:eastAsia="en-NZ"/>
        </w:rPr>
        <w:drawing>
          <wp:inline distT="0" distB="0" distL="0" distR="0" wp14:anchorId="68E7E18F" wp14:editId="22C520AA">
            <wp:extent cx="3175020" cy="2721494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_census_MMR1_NIR_Auk_20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18" cy="272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F1" w:rsidRPr="002243F1" w:rsidRDefault="002243F1" w:rsidP="002243F1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243F1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Figure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S2</w:t>
      </w:r>
      <w:r w:rsidRPr="002243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Global trend in measles incidence. The main figure shows the recent trends and the incidence the global trend since 1990.</w:t>
      </w:r>
    </w:p>
    <w:p w:rsidR="002243F1" w:rsidRPr="002243F1" w:rsidRDefault="002243F1" w:rsidP="002243F1">
      <w:pPr>
        <w:pStyle w:val="Caption"/>
        <w:keepNext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color w:val="auto"/>
          <w:sz w:val="22"/>
          <w:szCs w:val="22"/>
          <w:lang w:val="en-NZ" w:eastAsia="en-NZ"/>
        </w:rPr>
        <w:drawing>
          <wp:inline distT="0" distB="0" distL="0" distR="0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2_Measles_incidenc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F1" w:rsidRDefault="002243F1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 w:type="page"/>
      </w:r>
    </w:p>
    <w:p w:rsidR="002243F1" w:rsidRPr="002243F1" w:rsidRDefault="002243F1" w:rsidP="002243F1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Figure S3</w:t>
      </w:r>
      <w:r w:rsidRPr="002243F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Trends in international travel, determined by immigration and non-New Zealander arrival data and New Zealander travel departure destinations. Note this is for all age categories.</w:t>
      </w:r>
    </w:p>
    <w:p w:rsidR="002243F1" w:rsidRDefault="002243F1" w:rsidP="002243F1">
      <w:pPr>
        <w:pStyle w:val="Caption"/>
        <w:keepNext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color w:val="auto"/>
          <w:sz w:val="22"/>
          <w:szCs w:val="22"/>
          <w:lang w:val="en-NZ" w:eastAsia="en-NZ"/>
        </w:rPr>
        <w:drawing>
          <wp:inline distT="0" distB="0" distL="0" distR="0">
            <wp:extent cx="45720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3_Travel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BBF" w:rsidRDefault="00925BBF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 w:type="page"/>
      </w:r>
    </w:p>
    <w:p w:rsidR="004A76D3" w:rsidRPr="00A85CB2" w:rsidRDefault="004A76D3" w:rsidP="004A76D3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" w:name="_GoBack"/>
      <w:bookmarkEnd w:id="1"/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Table S1 Measles cases (Cases), population sizes (Population) and per 10,000 of measles in specific age (Age), ethnicity (Ethnicity) and socio-economic deprivation (</w:t>
      </w:r>
      <w:proofErr w:type="spellStart"/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t>NZDep</w:t>
      </w:r>
      <w:proofErr w:type="spellEnd"/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t>) categories from 2007-2014. MELAA is Middle Eastern/Latin American/African.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730"/>
        <w:gridCol w:w="1059"/>
        <w:gridCol w:w="1170"/>
        <w:gridCol w:w="730"/>
        <w:gridCol w:w="1170"/>
      </w:tblGrid>
      <w:tr w:rsidR="004A76D3" w:rsidRPr="00A85CB2" w:rsidTr="005B0EF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85CB2">
              <w:rPr>
                <w:rFonts w:ascii="Times New Roman" w:hAnsi="Times New Roman" w:cs="Times New Roman"/>
              </w:rPr>
              <w:t>NZDep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Per 10,000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2269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26.44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3748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26.68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2583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11.61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3403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2.94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5623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3874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20625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2.91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29721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2.69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16777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1.19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12057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1.66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23904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1.25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21063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1.42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54258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0.74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86055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1.28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54759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1.46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23961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16.69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28051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20.68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16866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14.23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35942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10.29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42076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5.23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25299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2.37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180875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8.85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194100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6.08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106731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3.75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63051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3.81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94422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2.75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68016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2.94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619698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0.87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734550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0.63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European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371985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0.78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3265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27.57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8378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15.52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15094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21.20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4897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8.17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12568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9.55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22642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4.42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21750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3.68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53963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6.12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94758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7.81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7329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4.09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lastRenderedPageBreak/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20862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0.96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35664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2.24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35934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0.28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87192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0.34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Māori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140820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0.28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38.54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18.08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12.05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3121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3.08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2076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9.63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4569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7452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6.71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MELAA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6342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1.58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15.55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28.40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7389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64.96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3169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3.16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11084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9.02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4212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4.75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13419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2.98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47165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4.45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6174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6.48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18189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2.75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8580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1.17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26688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1.12</w:t>
            </w:r>
          </w:p>
        </w:tc>
      </w:tr>
      <w:tr w:rsidR="004A76D3" w:rsidRPr="00A85CB2" w:rsidTr="005B0EF6">
        <w:trPr>
          <w:trHeight w:val="288"/>
          <w:jc w:val="center"/>
        </w:trPr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25+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Pacific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74757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A76D3" w:rsidRPr="00A85CB2" w:rsidRDefault="004A76D3" w:rsidP="004A76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1.20</w:t>
            </w:r>
          </w:p>
        </w:tc>
      </w:tr>
    </w:tbl>
    <w:p w:rsidR="004A76D3" w:rsidRPr="00A85CB2" w:rsidRDefault="004A76D3" w:rsidP="004A76D3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4A76D3" w:rsidRPr="00A85CB2" w:rsidRDefault="004A76D3" w:rsidP="004A76D3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t>Table S2 Summary of the proportion of 2006-2014 birth cohorts vaccinated against measles-mumps-rubella (MMR) dose 1 and MMR2 across 2020 area units in New Zealand, as on 10 July 2014.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6"/>
        <w:gridCol w:w="937"/>
        <w:gridCol w:w="711"/>
        <w:gridCol w:w="717"/>
        <w:gridCol w:w="821"/>
      </w:tblGrid>
      <w:tr w:rsidR="004A76D3" w:rsidRPr="00A85CB2" w:rsidTr="005B0EF6">
        <w:trPr>
          <w:trHeight w:hRule="exact" w:val="29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Vaccine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1st Q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3rd Q</w:t>
            </w:r>
          </w:p>
        </w:tc>
      </w:tr>
      <w:tr w:rsidR="004A76D3" w:rsidRPr="00A85CB2" w:rsidTr="005B0EF6">
        <w:trPr>
          <w:trHeight w:hRule="exact" w:val="23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center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92.31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94.57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100.00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86.11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90.29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97.14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center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92.86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94.99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100.00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85.92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89.90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96.43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center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93.65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95.69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100.00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84.51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89.08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95.83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93.90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95.75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100.00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83.02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87.73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94.44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93.26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95.57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100.00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62.50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69.74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77.91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92.86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94.92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100.00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8.93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93.33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95.27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100.00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4.76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55.56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62.76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70.00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2.63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MMR1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  <w:tr w:rsidR="004A76D3" w:rsidRPr="00A85CB2" w:rsidTr="005B0EF6">
        <w:trPr>
          <w:trHeight w:hRule="exact" w:val="24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MMR2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0.00</w:t>
            </w:r>
          </w:p>
        </w:tc>
      </w:tr>
    </w:tbl>
    <w:p w:rsidR="004A76D3" w:rsidRPr="00A85CB2" w:rsidRDefault="004A76D3" w:rsidP="004A76D3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bookmarkEnd w:id="0"/>
    <w:p w:rsidR="004A76D3" w:rsidRPr="00A85CB2" w:rsidRDefault="004A76D3" w:rsidP="004A76D3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Table S3 Highest measles incidence per million in 2013 according to WHO published data </w:t>
      </w:r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ADDIN EN.CITE &lt;EndNote&gt;&lt;Cite&gt;&lt;Author&gt;World Health Organization&lt;/Author&gt;&lt;Year&gt;2016&lt;/Year&gt;&lt;RecNum&gt;565&lt;/RecNum&gt;&lt;DisplayText&gt;(12)&lt;/DisplayText&gt;&lt;record&gt;&lt;rec-number&gt;565&lt;/rec-number&gt;&lt;foreign-keys&gt;&lt;key app="EN" db-id="9dvff2923rpeeue5rsw52xtnfzaz9vwv55z0" timestamp="1454991996"&gt;565&lt;/key&gt;&lt;/foreign-keys&gt;&lt;ref-type name="Web Page"&gt;12&lt;/ref-type&gt;&lt;contributors&gt;&lt;authors&gt;&lt;author&gt;World Health Organization,&lt;/author&gt;&lt;/authors&gt;&lt;/contributors&gt;&lt;titles&gt;&lt;title&gt;Measles monthly data&lt;/title&gt;&lt;/titles&gt;&lt;volume&gt;2016&lt;/volume&gt;&lt;number&gt;9 February&lt;/number&gt;&lt;dates&gt;&lt;year&gt;2016&lt;/year&gt;&lt;/dates&gt;&lt;urls&gt;&lt;related-urls&gt;&lt;url&gt;http://www.who.int/immunization/monitoring_surveillance/burden/vpd/surveillance_type/active/measles_monthlydata/en/&lt;/url&gt;&lt;/related-urls&gt;&lt;/urls&gt;&lt;/record&gt;&lt;/Cite&gt;&lt;/EndNote&gt;</w:instrText>
      </w:r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Pr="00A85CB2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(</w:t>
      </w:r>
      <w:hyperlink w:anchor="_ENREF_12" w:tooltip="World Health Organization, 2016 #565" w:history="1">
        <w:r w:rsidRPr="00A85CB2">
          <w:rPr>
            <w:rFonts w:ascii="Times New Roman" w:hAnsi="Times New Roman" w:cs="Times New Roman"/>
            <w:b w:val="0"/>
            <w:noProof/>
            <w:color w:val="auto"/>
            <w:sz w:val="22"/>
            <w:szCs w:val="22"/>
          </w:rPr>
          <w:t>12</w:t>
        </w:r>
      </w:hyperlink>
      <w:r w:rsidRPr="00A85CB2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)</w:t>
      </w:r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40"/>
        <w:gridCol w:w="1071"/>
      </w:tblGrid>
      <w:tr w:rsidR="004A76D3" w:rsidRPr="00A85CB2" w:rsidTr="005B0EF6">
        <w:trPr>
          <w:trHeight w:hRule="exact" w:val="24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Incidence</w:t>
            </w:r>
          </w:p>
        </w:tc>
      </w:tr>
      <w:tr w:rsidR="004A76D3" w:rsidRPr="00A85CB2" w:rsidTr="005B0EF6">
        <w:trPr>
          <w:trHeight w:hRule="exact" w:val="237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1806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Namibia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455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Equatorial Guinea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436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Angola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409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Lebanon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379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Nigeria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313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Somalia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311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Sudan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260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Lesotho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251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217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159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Central African Republic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132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Sri Lanka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100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Togo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85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Sudan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76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Gabon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75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Niger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71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Nepal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68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Benin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63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57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Romania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51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Pakistan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49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40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39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Qatar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36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Cameroon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35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Syrian Arab Republic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34</w:t>
            </w:r>
          </w:p>
        </w:tc>
      </w:tr>
      <w:tr w:rsidR="004A76D3" w:rsidRPr="00A85CB2" w:rsidTr="005B0EF6">
        <w:trPr>
          <w:trHeight w:hRule="exact" w:val="239"/>
          <w:jc w:val="center"/>
        </w:trPr>
        <w:tc>
          <w:tcPr>
            <w:tcW w:w="0" w:type="auto"/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Djibouti</w:t>
            </w:r>
          </w:p>
        </w:tc>
        <w:tc>
          <w:tcPr>
            <w:tcW w:w="0" w:type="auto"/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33</w:t>
            </w:r>
          </w:p>
        </w:tc>
      </w:tr>
      <w:tr w:rsidR="004A76D3" w:rsidRPr="00A85CB2" w:rsidTr="005B0EF6">
        <w:trPr>
          <w:trHeight w:hRule="exact" w:val="24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76D3" w:rsidRPr="00A85CB2" w:rsidRDefault="004A76D3" w:rsidP="005B0EF6">
            <w:pPr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76D3" w:rsidRPr="00A85CB2" w:rsidRDefault="004A76D3" w:rsidP="005B0EF6">
            <w:pPr>
              <w:jc w:val="right"/>
              <w:rPr>
                <w:rFonts w:ascii="Times New Roman" w:hAnsi="Times New Roman" w:cs="Times New Roman"/>
              </w:rPr>
            </w:pPr>
            <w:r w:rsidRPr="00A85CB2">
              <w:rPr>
                <w:rFonts w:ascii="Times New Roman" w:hAnsi="Times New Roman" w:cs="Times New Roman"/>
              </w:rPr>
              <w:t>31</w:t>
            </w:r>
          </w:p>
        </w:tc>
      </w:tr>
    </w:tbl>
    <w:p w:rsidR="004A76D3" w:rsidRPr="00A85CB2" w:rsidRDefault="004A76D3" w:rsidP="004A76D3">
      <w:pPr>
        <w:rPr>
          <w:rFonts w:ascii="Times New Roman" w:hAnsi="Times New Roman" w:cs="Times New Roman"/>
        </w:rPr>
      </w:pPr>
    </w:p>
    <w:p w:rsidR="004A76D3" w:rsidRPr="00A85CB2" w:rsidRDefault="004A76D3" w:rsidP="004A76D3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" w:name="_Ref434608193"/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Table </w:t>
      </w:r>
      <w:bookmarkEnd w:id="2"/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S4 Foreign national arrival numbers by nationality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for 0-19-</w:t>
      </w:r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t>year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Pr="00A85CB2">
        <w:rPr>
          <w:rFonts w:ascii="Times New Roman" w:hAnsi="Times New Roman" w:cs="Times New Roman"/>
          <w:b w:val="0"/>
          <w:color w:val="auto"/>
          <w:sz w:val="22"/>
          <w:szCs w:val="22"/>
        </w:rPr>
        <w:t>olds (Foreign nationals), New Zealander departure numbers by country of destination (New Zealanders), and the sum of traveler numbers by country (Total), in 2013.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9"/>
        <w:gridCol w:w="1711"/>
        <w:gridCol w:w="1606"/>
        <w:gridCol w:w="951"/>
      </w:tblGrid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  <w:color w:val="000000"/>
                <w:lang w:val="en-NZ"/>
              </w:rPr>
              <w:t>Country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  <w:color w:val="000000"/>
                <w:lang w:val="en-NZ"/>
              </w:rPr>
              <w:t>Foreign nationals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  <w:color w:val="000000"/>
                <w:lang w:val="en-NZ"/>
              </w:rPr>
              <w:t>New Zealanders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  <w:color w:val="000000"/>
                <w:lang w:val="en-NZ"/>
              </w:rPr>
              <w:t>Total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130703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1017540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1148243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United States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20247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142200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162447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United Kingdom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25155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96680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121835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Fiji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6040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112260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118300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26380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73340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99720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Samoa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4047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44060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48107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7013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40760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47773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5233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42060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47293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20534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21840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42374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12173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15980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28153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25100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27680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14793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27593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5013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21720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26733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Korea, Republic of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10398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13980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24378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Tonga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3477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20120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23597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5981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17480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23461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Singapore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4887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23187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Hong Kong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3281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21281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3147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17260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20407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3763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17763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Vanuatu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15580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15748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13620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14617</w:t>
            </w:r>
          </w:p>
        </w:tc>
      </w:tr>
      <w:tr w:rsidR="004A76D3" w:rsidRPr="00A85CB2" w:rsidTr="005B0EF6">
        <w:trPr>
          <w:trHeight w:val="290"/>
          <w:jc w:val="center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Viet Nam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12640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D3" w:rsidRPr="00A85CB2" w:rsidRDefault="004A76D3" w:rsidP="005B0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NZ"/>
              </w:rPr>
            </w:pPr>
            <w:r w:rsidRPr="00A85CB2">
              <w:rPr>
                <w:rFonts w:ascii="Times New Roman" w:hAnsi="Times New Roman" w:cs="Times New Roman"/>
              </w:rPr>
              <w:t>13680</w:t>
            </w:r>
          </w:p>
        </w:tc>
      </w:tr>
    </w:tbl>
    <w:p w:rsidR="004A76D3" w:rsidRPr="00A85CB2" w:rsidRDefault="004A76D3" w:rsidP="004A76D3">
      <w:pPr>
        <w:rPr>
          <w:rFonts w:ascii="Times New Roman" w:hAnsi="Times New Roman" w:cs="Times New Roman"/>
        </w:rPr>
      </w:pPr>
    </w:p>
    <w:p w:rsidR="004E7018" w:rsidRDefault="00374469"/>
    <w:sectPr w:rsidR="004E7018" w:rsidSect="00090ADE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69" w:rsidRDefault="00374469">
      <w:pPr>
        <w:spacing w:after="0" w:line="240" w:lineRule="auto"/>
      </w:pPr>
      <w:r>
        <w:separator/>
      </w:r>
    </w:p>
  </w:endnote>
  <w:endnote w:type="continuationSeparator" w:id="0">
    <w:p w:rsidR="00374469" w:rsidRDefault="0037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5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DB2" w:rsidRDefault="004A76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B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5DB2" w:rsidRDefault="00374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69" w:rsidRDefault="00374469">
      <w:pPr>
        <w:spacing w:after="0" w:line="240" w:lineRule="auto"/>
      </w:pPr>
      <w:r>
        <w:separator/>
      </w:r>
    </w:p>
  </w:footnote>
  <w:footnote w:type="continuationSeparator" w:id="0">
    <w:p w:rsidR="00374469" w:rsidRDefault="0037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D3"/>
    <w:rsid w:val="002243F1"/>
    <w:rsid w:val="00374469"/>
    <w:rsid w:val="004A76D3"/>
    <w:rsid w:val="006D1A3F"/>
    <w:rsid w:val="007F6C53"/>
    <w:rsid w:val="009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76D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A76D3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4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NZ"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6D3"/>
    <w:rPr>
      <w:rFonts w:ascii="Courier New" w:eastAsia="Times New Roman" w:hAnsi="Courier New" w:cs="Courier New"/>
      <w:sz w:val="20"/>
      <w:szCs w:val="20"/>
      <w:lang w:val="en-NZ" w:eastAsia="en-NZ"/>
    </w:rPr>
  </w:style>
  <w:style w:type="paragraph" w:customStyle="1" w:styleId="TableParagraph">
    <w:name w:val="Table Paragraph"/>
    <w:basedOn w:val="Normal"/>
    <w:uiPriority w:val="1"/>
    <w:qFormat/>
    <w:rsid w:val="004A76D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D3"/>
  </w:style>
  <w:style w:type="paragraph" w:styleId="Footer">
    <w:name w:val="footer"/>
    <w:basedOn w:val="Normal"/>
    <w:link w:val="FooterChar"/>
    <w:uiPriority w:val="99"/>
    <w:unhideWhenUsed/>
    <w:rsid w:val="004A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D3"/>
  </w:style>
  <w:style w:type="character" w:styleId="LineNumber">
    <w:name w:val="line number"/>
    <w:basedOn w:val="DefaultParagraphFont"/>
    <w:uiPriority w:val="99"/>
    <w:semiHidden/>
    <w:unhideWhenUsed/>
    <w:rsid w:val="004A76D3"/>
  </w:style>
  <w:style w:type="table" w:styleId="LightShading">
    <w:name w:val="Light Shading"/>
    <w:basedOn w:val="TableNormal"/>
    <w:uiPriority w:val="60"/>
    <w:rsid w:val="004A7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7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6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6D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4A76D3"/>
  </w:style>
  <w:style w:type="paragraph" w:styleId="FootnoteText">
    <w:name w:val="footnote text"/>
    <w:basedOn w:val="Normal"/>
    <w:link w:val="FootnoteTextChar"/>
    <w:uiPriority w:val="99"/>
    <w:semiHidden/>
    <w:unhideWhenUsed/>
    <w:rsid w:val="004A7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6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76D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A76D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76D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A76D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A76D3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76D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A76D3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4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7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NZ"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76D3"/>
    <w:rPr>
      <w:rFonts w:ascii="Courier New" w:eastAsia="Times New Roman" w:hAnsi="Courier New" w:cs="Courier New"/>
      <w:sz w:val="20"/>
      <w:szCs w:val="20"/>
      <w:lang w:val="en-NZ" w:eastAsia="en-NZ"/>
    </w:rPr>
  </w:style>
  <w:style w:type="paragraph" w:customStyle="1" w:styleId="TableParagraph">
    <w:name w:val="Table Paragraph"/>
    <w:basedOn w:val="Normal"/>
    <w:uiPriority w:val="1"/>
    <w:qFormat/>
    <w:rsid w:val="004A76D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D3"/>
  </w:style>
  <w:style w:type="paragraph" w:styleId="Footer">
    <w:name w:val="footer"/>
    <w:basedOn w:val="Normal"/>
    <w:link w:val="FooterChar"/>
    <w:uiPriority w:val="99"/>
    <w:unhideWhenUsed/>
    <w:rsid w:val="004A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D3"/>
  </w:style>
  <w:style w:type="character" w:styleId="LineNumber">
    <w:name w:val="line number"/>
    <w:basedOn w:val="DefaultParagraphFont"/>
    <w:uiPriority w:val="99"/>
    <w:semiHidden/>
    <w:unhideWhenUsed/>
    <w:rsid w:val="004A76D3"/>
  </w:style>
  <w:style w:type="table" w:styleId="LightShading">
    <w:name w:val="Light Shading"/>
    <w:basedOn w:val="TableNormal"/>
    <w:uiPriority w:val="60"/>
    <w:rsid w:val="004A7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7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6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6D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4A76D3"/>
  </w:style>
  <w:style w:type="paragraph" w:styleId="FootnoteText">
    <w:name w:val="footnote text"/>
    <w:basedOn w:val="Normal"/>
    <w:link w:val="FootnoteTextChar"/>
    <w:uiPriority w:val="99"/>
    <w:semiHidden/>
    <w:unhideWhenUsed/>
    <w:rsid w:val="004A7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6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A76D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A76D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76D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A76D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A76D3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"/><Relationship Id="rId4" Type="http://schemas.openxmlformats.org/officeDocument/2006/relationships/webSettings" Target="webSetting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Hayman</dc:creator>
  <cp:keywords/>
  <dc:description/>
  <cp:lastModifiedBy>Hayman, David</cp:lastModifiedBy>
  <cp:revision>3</cp:revision>
  <dcterms:created xsi:type="dcterms:W3CDTF">2016-10-17T20:37:00Z</dcterms:created>
  <dcterms:modified xsi:type="dcterms:W3CDTF">2016-11-07T02:01:00Z</dcterms:modified>
</cp:coreProperties>
</file>