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384" w:rsidRDefault="00271384" w:rsidP="009527CF">
      <w:pPr>
        <w:spacing w:line="240" w:lineRule="auto"/>
        <w:rPr>
          <w:b/>
          <w:lang w:val="en-GB" w:eastAsia="fr-FR"/>
        </w:rPr>
      </w:pPr>
      <w:r>
        <w:rPr>
          <w:b/>
          <w:lang w:val="en-GB" w:eastAsia="fr-FR"/>
        </w:rPr>
        <w:t>SUPPLEMENTARY MATERIAL</w:t>
      </w:r>
    </w:p>
    <w:p w:rsidR="00271384" w:rsidRDefault="00271384" w:rsidP="009527CF">
      <w:pPr>
        <w:spacing w:line="240" w:lineRule="auto"/>
        <w:rPr>
          <w:b/>
          <w:lang w:val="en-GB" w:eastAsia="fr-FR"/>
        </w:rPr>
      </w:pPr>
    </w:p>
    <w:p w:rsidR="009527CF" w:rsidRDefault="009527CF" w:rsidP="009527CF">
      <w:pPr>
        <w:spacing w:line="240" w:lineRule="auto"/>
        <w:rPr>
          <w:b/>
          <w:lang w:val="en-GB" w:eastAsia="fr-FR"/>
        </w:rPr>
      </w:pPr>
      <w:r w:rsidRPr="007F0EF9">
        <w:rPr>
          <w:b/>
          <w:lang w:val="en-GB" w:eastAsia="fr-FR"/>
        </w:rPr>
        <w:t>APPENDIX</w:t>
      </w:r>
      <w:r>
        <w:rPr>
          <w:b/>
          <w:lang w:val="en-GB" w:eastAsia="fr-FR"/>
        </w:rPr>
        <w:t xml:space="preserve"> 1</w:t>
      </w:r>
      <w:r w:rsidRPr="007F0EF9">
        <w:rPr>
          <w:b/>
          <w:lang w:val="en-GB" w:eastAsia="fr-FR"/>
        </w:rPr>
        <w:t xml:space="preserve"> – </w:t>
      </w:r>
      <w:r>
        <w:rPr>
          <w:b/>
          <w:lang w:val="en-GB" w:eastAsia="fr-FR"/>
        </w:rPr>
        <w:t>DETAILS ON LABORATORY DATA</w:t>
      </w:r>
    </w:p>
    <w:p w:rsidR="009527CF" w:rsidRPr="00A517D9" w:rsidRDefault="009527CF" w:rsidP="009527CF">
      <w:pPr>
        <w:spacing w:line="480" w:lineRule="auto"/>
        <w:jc w:val="both"/>
        <w:rPr>
          <w:lang w:val="en-GB" w:eastAsia="fr-FR"/>
        </w:rPr>
      </w:pPr>
      <w:bookmarkStart w:id="0" w:name="_GoBack"/>
      <w:bookmarkEnd w:id="0"/>
      <w:r w:rsidRPr="00A517D9">
        <w:rPr>
          <w:lang w:val="en-GB" w:eastAsia="fr-FR"/>
        </w:rPr>
        <w:t>Fingerstick whole blood was collected on dried blood spot</w:t>
      </w:r>
      <w:r w:rsidR="00AE007A">
        <w:rPr>
          <w:lang w:val="en-GB" w:eastAsia="fr-FR"/>
        </w:rPr>
        <w:t>s</w:t>
      </w:r>
      <w:r w:rsidRPr="00A517D9">
        <w:rPr>
          <w:lang w:val="en-GB" w:eastAsia="fr-FR"/>
        </w:rPr>
        <w:t xml:space="preserve"> (DBS). Six drops</w:t>
      </w:r>
      <w:r w:rsidR="00AE007A">
        <w:rPr>
          <w:lang w:val="en-GB" w:eastAsia="fr-FR"/>
        </w:rPr>
        <w:t>,</w:t>
      </w:r>
      <w:r w:rsidRPr="00A517D9">
        <w:rPr>
          <w:lang w:val="en-GB" w:eastAsia="fr-FR"/>
        </w:rPr>
        <w:t xml:space="preserve"> corresponding to a</w:t>
      </w:r>
      <w:r w:rsidR="00C04DED">
        <w:rPr>
          <w:lang w:val="en-GB" w:eastAsia="fr-FR"/>
        </w:rPr>
        <w:t>pproximately</w:t>
      </w:r>
      <w:r w:rsidRPr="00A517D9">
        <w:rPr>
          <w:lang w:val="en-GB" w:eastAsia="fr-FR"/>
        </w:rPr>
        <w:t xml:space="preserve"> 50 µL of capillary whole blood</w:t>
      </w:r>
      <w:r w:rsidR="00AE007A">
        <w:rPr>
          <w:lang w:val="en-GB" w:eastAsia="fr-FR"/>
        </w:rPr>
        <w:t>,</w:t>
      </w:r>
      <w:r w:rsidRPr="00A517D9">
        <w:rPr>
          <w:lang w:val="en-GB" w:eastAsia="fr-FR"/>
        </w:rPr>
        <w:t xml:space="preserve"> </w:t>
      </w:r>
      <w:r w:rsidR="009F7DAE" w:rsidRPr="00A517D9">
        <w:rPr>
          <w:lang w:val="en-GB" w:eastAsia="fr-FR"/>
        </w:rPr>
        <w:t>w</w:t>
      </w:r>
      <w:r w:rsidR="009F7DAE">
        <w:rPr>
          <w:lang w:val="en-GB" w:eastAsia="fr-FR"/>
        </w:rPr>
        <w:t>ere</w:t>
      </w:r>
      <w:r w:rsidRPr="00A517D9">
        <w:rPr>
          <w:lang w:val="en-GB" w:eastAsia="fr-FR"/>
        </w:rPr>
        <w:t xml:space="preserve"> spotted onto filter paper card (Whatman 903™, GE Healthcare Europe GmbH, Freiburg, Germany), The filter paper was then placed onto a horizontal clean dry surface to air dry for at least 1 hour. Each dried DBS was then stored in an individual sealed plastic bag with a </w:t>
      </w:r>
      <w:r w:rsidR="00C04DED" w:rsidRPr="00A517D9">
        <w:rPr>
          <w:lang w:val="en-GB" w:eastAsia="fr-FR"/>
        </w:rPr>
        <w:t>des</w:t>
      </w:r>
      <w:r w:rsidR="00C04DED">
        <w:rPr>
          <w:lang w:val="en-GB" w:eastAsia="fr-FR"/>
        </w:rPr>
        <w:t>i</w:t>
      </w:r>
      <w:r w:rsidR="00C04DED" w:rsidRPr="00A517D9">
        <w:rPr>
          <w:lang w:val="en-GB" w:eastAsia="fr-FR"/>
        </w:rPr>
        <w:t>ccant</w:t>
      </w:r>
      <w:r w:rsidRPr="00A517D9">
        <w:rPr>
          <w:lang w:val="en-GB" w:eastAsia="fr-FR"/>
        </w:rPr>
        <w:t xml:space="preserve"> package at -80°C until analysis.</w:t>
      </w:r>
    </w:p>
    <w:p w:rsidR="009527CF" w:rsidRDefault="009527CF" w:rsidP="009527CF">
      <w:pPr>
        <w:pStyle w:val="NoSpacing"/>
        <w:spacing w:line="480" w:lineRule="auto"/>
        <w:jc w:val="both"/>
        <w:rPr>
          <w:rStyle w:val="hps"/>
          <w:rFonts w:ascii="Times New Roman" w:hAnsi="Times New Roman" w:cs="Times New Roman"/>
          <w:lang w:val="en-US"/>
        </w:rPr>
      </w:pPr>
      <w:r w:rsidRPr="00A517D9">
        <w:rPr>
          <w:rFonts w:ascii="Times New Roman" w:hAnsi="Times New Roman" w:cs="Times New Roman"/>
          <w:sz w:val="24"/>
          <w:szCs w:val="24"/>
          <w:lang w:val="en-GB" w:eastAsia="fr-FR"/>
        </w:rPr>
        <w:t>Screening for antibod</w:t>
      </w:r>
      <w:r w:rsidR="00C04DED">
        <w:rPr>
          <w:rFonts w:ascii="Times New Roman" w:hAnsi="Times New Roman" w:cs="Times New Roman"/>
          <w:sz w:val="24"/>
          <w:szCs w:val="24"/>
          <w:lang w:val="en-GB" w:eastAsia="fr-FR"/>
        </w:rPr>
        <w:t>ies</w:t>
      </w:r>
      <w:r w:rsidRPr="00A517D9">
        <w:rPr>
          <w:rFonts w:ascii="Times New Roman" w:hAnsi="Times New Roman" w:cs="Times New Roman"/>
          <w:sz w:val="24"/>
          <w:szCs w:val="24"/>
          <w:lang w:val="en-GB" w:eastAsia="fr-FR"/>
        </w:rPr>
        <w:t xml:space="preserve"> to HCV was performed by ELISA using the HCV 3.0 Ortho assay </w:t>
      </w:r>
      <w:r w:rsidR="0018712B" w:rsidRPr="0018712B">
        <w:rPr>
          <w:rFonts w:ascii="Times New Roman" w:hAnsi="Times New Roman" w:cs="Times New Roman"/>
          <w:sz w:val="24"/>
          <w:szCs w:val="24"/>
          <w:lang w:val="en-GB" w:eastAsia="fr-FR"/>
        </w:rPr>
        <w:t xml:space="preserve">(Ortho-Clinical-Diagnostics, </w:t>
      </w:r>
      <w:r w:rsidRPr="00A517D9">
        <w:rPr>
          <w:rFonts w:ascii="Times New Roman" w:hAnsi="Times New Roman" w:cs="Times New Roman"/>
          <w:sz w:val="24"/>
          <w:szCs w:val="24"/>
          <w:lang w:val="en-GB" w:eastAsia="fr-FR"/>
        </w:rPr>
        <w:t>Raritan, NJ)</w:t>
      </w:r>
      <w:r w:rsidR="006E2FDE">
        <w:rPr>
          <w:rFonts w:ascii="Times New Roman" w:hAnsi="Times New Roman" w:cs="Times New Roman"/>
          <w:sz w:val="24"/>
          <w:szCs w:val="24"/>
          <w:lang w:val="en-GB" w:eastAsia="fr-FR"/>
        </w:rPr>
        <w:t xml:space="preserve"> </w:t>
      </w:r>
      <w:r w:rsidR="006E2FDE" w:rsidRPr="00496B12">
        <w:rPr>
          <w:rFonts w:ascii="Times New Roman" w:hAnsi="Times New Roman" w:cs="Times New Roman"/>
          <w:sz w:val="24"/>
          <w:szCs w:val="24"/>
          <w:lang w:val="en-GB" w:eastAsia="fr-FR"/>
        </w:rPr>
        <w:t>with a sensitivity of 99.1% (95%CI 97.4 - 99.8) and a specificity of 98.2% (95%CI 94.9 - 99.6)</w:t>
      </w:r>
      <w:r w:rsidR="007E6F7F" w:rsidRPr="00496B12">
        <w:rPr>
          <w:rFonts w:ascii="Times New Roman" w:hAnsi="Times New Roman" w:cs="Times New Roman"/>
          <w:sz w:val="24"/>
          <w:szCs w:val="24"/>
          <w:lang w:val="en-GB" w:eastAsia="fr-FR"/>
        </w:rPr>
        <w:t xml:space="preserve"> </w:t>
      </w:r>
      <w:r w:rsidR="007E6F7F" w:rsidRPr="00496B12">
        <w:rPr>
          <w:rFonts w:ascii="Times New Roman" w:hAnsi="Times New Roman" w:cs="Times New Roman"/>
          <w:sz w:val="24"/>
          <w:szCs w:val="24"/>
          <w:lang w:val="en-GB" w:eastAsia="fr-FR"/>
        </w:rPr>
        <w:fldChar w:fldCharType="begin"/>
      </w:r>
      <w:r w:rsidR="007E6F7F" w:rsidRPr="00496B12">
        <w:rPr>
          <w:rFonts w:ascii="Times New Roman" w:hAnsi="Times New Roman" w:cs="Times New Roman"/>
          <w:sz w:val="24"/>
          <w:szCs w:val="24"/>
          <w:lang w:val="en-GB" w:eastAsia="fr-FR"/>
        </w:rPr>
        <w:instrText xml:space="preserve"> ADDIN EN.CITE &lt;EndNote&gt;&lt;Cite&gt;&lt;Author&gt;Soulier&lt;/Author&gt;&lt;Year&gt;2015&lt;/Year&gt;&lt;RecNum&gt;204&lt;/RecNum&gt;&lt;DisplayText&gt;[1]&lt;/DisplayText&gt;&lt;record&gt;&lt;rec-number&gt;204&lt;/rec-number&gt;&lt;foreign-keys&gt;&lt;key app="EN" db-id="50sr9azwuav55ie55e2p5veeee0rsxsp0202" timestamp="1471524849"&gt;204&lt;/key&gt;&lt;/foreign-keys&gt;&lt;ref-type name="Journal Article"&gt;17&lt;/ref-type&gt;&lt;contributors&gt;&lt;authors&gt;&lt;author&gt;Soulier, Alexandre&lt;/author&gt;&lt;author&gt;Poiteau, Lila&lt;/author&gt;&lt;author&gt;Rosa, Isabelle&lt;/author&gt;&lt;author&gt;Hézode, Christophe&lt;/author&gt;&lt;author&gt;Roudot-Thoraval, Françoise&lt;/author&gt;&lt;author&gt;Pawlotsky, Jean-Michel&lt;/author&gt;&lt;author&gt;Chevaliez, Stéphane&lt;/author&gt;&lt;/authors&gt;&lt;/contributors&gt;&lt;titles&gt;&lt;title&gt;Dried blood spots: a tool to ensure broad access to hepatitis C screening, diagnosis and treatment monitoring&lt;/title&gt;&lt;secondary-title&gt;Journal of Infectious Diseases&lt;/secondary-title&gt;&lt;/titles&gt;&lt;periodical&gt;&lt;full-title&gt;Journal of Infectious Diseases&lt;/full-title&gt;&lt;abbr-1&gt;J. Infect. Dis.&lt;/abbr-1&gt;&lt;abbr-2&gt;J Infect Dis&lt;/abbr-2&gt;&lt;/periodical&gt;&lt;pages&gt;jiv423&lt;/pages&gt;&lt;dates&gt;&lt;year&gt;2015&lt;/year&gt;&lt;/dates&gt;&lt;isbn&gt;0022-1899&lt;/isbn&gt;&lt;urls&gt;&lt;/urls&gt;&lt;/record&gt;&lt;/Cite&gt;&lt;/EndNote&gt;</w:instrText>
      </w:r>
      <w:r w:rsidR="007E6F7F" w:rsidRPr="00496B12">
        <w:rPr>
          <w:rFonts w:ascii="Times New Roman" w:hAnsi="Times New Roman" w:cs="Times New Roman"/>
          <w:sz w:val="24"/>
          <w:szCs w:val="24"/>
          <w:lang w:val="en-GB" w:eastAsia="fr-FR"/>
        </w:rPr>
        <w:fldChar w:fldCharType="separate"/>
      </w:r>
      <w:r w:rsidR="007E6F7F" w:rsidRPr="00496B12">
        <w:rPr>
          <w:rFonts w:ascii="Times New Roman" w:hAnsi="Times New Roman" w:cs="Times New Roman"/>
          <w:noProof/>
          <w:sz w:val="24"/>
          <w:szCs w:val="24"/>
          <w:lang w:val="en-GB" w:eastAsia="fr-FR"/>
        </w:rPr>
        <w:t>[1]</w:t>
      </w:r>
      <w:r w:rsidR="007E6F7F" w:rsidRPr="00496B12">
        <w:rPr>
          <w:rFonts w:ascii="Times New Roman" w:hAnsi="Times New Roman" w:cs="Times New Roman"/>
          <w:sz w:val="24"/>
          <w:szCs w:val="24"/>
          <w:lang w:val="en-GB" w:eastAsia="fr-FR"/>
        </w:rPr>
        <w:fldChar w:fldCharType="end"/>
      </w:r>
      <w:r w:rsidRPr="00496B12">
        <w:rPr>
          <w:rFonts w:ascii="Times New Roman" w:hAnsi="Times New Roman" w:cs="Times New Roman"/>
          <w:sz w:val="24"/>
          <w:szCs w:val="24"/>
          <w:lang w:val="en-GB" w:eastAsia="fr-FR"/>
        </w:rPr>
        <w:t>.</w:t>
      </w:r>
      <w:r w:rsidRPr="00A517D9">
        <w:rPr>
          <w:rFonts w:ascii="Times New Roman" w:hAnsi="Times New Roman" w:cs="Times New Roman"/>
          <w:sz w:val="24"/>
          <w:szCs w:val="24"/>
          <w:lang w:val="en-GB" w:eastAsia="fr-FR"/>
        </w:rPr>
        <w:t xml:space="preserve"> The DBS were cut out with a punch to obtain a circle 6 mm </w:t>
      </w:r>
      <w:r w:rsidR="00C04DED">
        <w:rPr>
          <w:rFonts w:ascii="Times New Roman" w:hAnsi="Times New Roman" w:cs="Times New Roman"/>
          <w:sz w:val="24"/>
          <w:szCs w:val="24"/>
          <w:lang w:val="en-GB" w:eastAsia="fr-FR"/>
        </w:rPr>
        <w:t xml:space="preserve">in </w:t>
      </w:r>
      <w:r w:rsidRPr="00A517D9">
        <w:rPr>
          <w:rFonts w:ascii="Times New Roman" w:hAnsi="Times New Roman" w:cs="Times New Roman"/>
          <w:sz w:val="24"/>
          <w:szCs w:val="24"/>
          <w:lang w:val="en-GB" w:eastAsia="fr-FR"/>
        </w:rPr>
        <w:t>diameter, which was placed in 250 µl of 0.01 M sodium phosphate buffer containing 10% bovine serum albumin and 0.05% Tween 20, then incubated at room temperature for one hour in an ultrasonic cleaner. The eluted serum samples were directly used to fill the wells of ELISA microplates (200 µL per well). Subsequent steps were carried out in strict compliance with the manufacturer’s recommendations</w:t>
      </w:r>
      <w:r>
        <w:rPr>
          <w:rFonts w:ascii="Times New Roman" w:hAnsi="Times New Roman" w:cs="Times New Roman"/>
          <w:sz w:val="24"/>
          <w:szCs w:val="24"/>
          <w:lang w:val="en-GB" w:eastAsia="fr-FR"/>
        </w:rPr>
        <w:t>.</w:t>
      </w:r>
    </w:p>
    <w:p w:rsidR="002C1AF1" w:rsidRDefault="002C1AF1">
      <w:pPr>
        <w:rPr>
          <w:b/>
          <w:lang w:val="en-US" w:eastAsia="fr-FR"/>
        </w:rPr>
      </w:pPr>
    </w:p>
    <w:p w:rsidR="006A5232" w:rsidRDefault="006A5232" w:rsidP="002C1AF1">
      <w:pPr>
        <w:rPr>
          <w:b/>
          <w:lang w:val="en-US" w:eastAsia="fr-FR"/>
        </w:rPr>
      </w:pPr>
      <w:r>
        <w:rPr>
          <w:b/>
          <w:lang w:val="en-US" w:eastAsia="fr-FR"/>
        </w:rPr>
        <w:br w:type="page"/>
      </w:r>
    </w:p>
    <w:p w:rsidR="009527CF" w:rsidRPr="007F0EF9" w:rsidRDefault="009527CF" w:rsidP="009527CF">
      <w:pPr>
        <w:spacing w:line="240" w:lineRule="auto"/>
        <w:rPr>
          <w:b/>
          <w:lang w:val="en-GB" w:eastAsia="fr-FR"/>
        </w:rPr>
      </w:pPr>
      <w:r w:rsidRPr="007F0EF9">
        <w:rPr>
          <w:b/>
          <w:lang w:val="en-GB" w:eastAsia="fr-FR"/>
        </w:rPr>
        <w:lastRenderedPageBreak/>
        <w:t>APPENDIX</w:t>
      </w:r>
      <w:r>
        <w:rPr>
          <w:b/>
          <w:lang w:val="en-GB" w:eastAsia="fr-FR"/>
        </w:rPr>
        <w:t xml:space="preserve"> 2</w:t>
      </w:r>
      <w:r w:rsidRPr="007F0EF9">
        <w:rPr>
          <w:b/>
          <w:lang w:val="en-GB" w:eastAsia="fr-FR"/>
        </w:rPr>
        <w:t xml:space="preserve"> – DESCRIPTION </w:t>
      </w:r>
      <w:r>
        <w:rPr>
          <w:b/>
          <w:lang w:val="en-GB" w:eastAsia="fr-FR"/>
        </w:rPr>
        <w:t xml:space="preserve">AND CHOICE </w:t>
      </w:r>
      <w:r w:rsidRPr="007F0EF9">
        <w:rPr>
          <w:b/>
          <w:lang w:val="en-GB" w:eastAsia="fr-FR"/>
        </w:rPr>
        <w:t>OF THE MIXTURE MODEL</w:t>
      </w:r>
    </w:p>
    <w:p w:rsidR="00F75EA9" w:rsidRDefault="00F75EA9" w:rsidP="00F75EA9">
      <w:pPr>
        <w:spacing w:line="480" w:lineRule="auto"/>
        <w:jc w:val="both"/>
        <w:rPr>
          <w:lang w:val="en-GB" w:eastAsia="fr-FR"/>
        </w:rPr>
      </w:pPr>
      <w:r>
        <w:rPr>
          <w:lang w:val="en-GB" w:eastAsia="fr-FR"/>
        </w:rPr>
        <w:t xml:space="preserve">We </w:t>
      </w:r>
      <w:r w:rsidR="00C04DED">
        <w:rPr>
          <w:lang w:val="en-GB" w:eastAsia="fr-FR"/>
        </w:rPr>
        <w:t>investigated whether</w:t>
      </w:r>
      <w:r w:rsidR="00044EA4">
        <w:rPr>
          <w:lang w:val="en-GB" w:eastAsia="fr-FR"/>
        </w:rPr>
        <w:t xml:space="preserve"> </w:t>
      </w:r>
      <w:r>
        <w:rPr>
          <w:lang w:val="en-GB" w:eastAsia="fr-FR"/>
        </w:rPr>
        <w:t xml:space="preserve">the distribution of the </w:t>
      </w:r>
      <w:r w:rsidRPr="0016097B">
        <w:rPr>
          <w:lang w:val="en-GB" w:eastAsia="fr-FR"/>
        </w:rPr>
        <w:t>quantitative results of anti-HCV antibody tests</w:t>
      </w:r>
      <w:r>
        <w:rPr>
          <w:lang w:val="en-GB" w:eastAsia="fr-FR"/>
        </w:rPr>
        <w:t xml:space="preserve"> </w:t>
      </w:r>
      <w:r w:rsidR="00044EA4">
        <w:rPr>
          <w:lang w:val="en-GB" w:eastAsia="fr-FR"/>
        </w:rPr>
        <w:t>depend</w:t>
      </w:r>
      <w:r w:rsidR="00C04DED">
        <w:rPr>
          <w:lang w:val="en-GB" w:eastAsia="fr-FR"/>
        </w:rPr>
        <w:t>ed</w:t>
      </w:r>
      <w:r w:rsidR="00044EA4">
        <w:rPr>
          <w:lang w:val="en-GB" w:eastAsia="fr-FR"/>
        </w:rPr>
        <w:t xml:space="preserve"> on </w:t>
      </w:r>
      <w:r>
        <w:rPr>
          <w:lang w:val="en-GB" w:eastAsia="fr-FR"/>
        </w:rPr>
        <w:t xml:space="preserve">HIV serostatus, gender, blotting paper quality and </w:t>
      </w:r>
      <w:r w:rsidR="00C04DED">
        <w:rPr>
          <w:lang w:val="en-GB" w:eastAsia="fr-FR"/>
        </w:rPr>
        <w:t>year of each survey</w:t>
      </w:r>
      <w:r>
        <w:rPr>
          <w:lang w:val="en-GB" w:eastAsia="fr-FR"/>
        </w:rPr>
        <w:t xml:space="preserve">. </w:t>
      </w:r>
      <w:r w:rsidR="00C04DED">
        <w:rPr>
          <w:lang w:val="en-GB" w:eastAsia="fr-FR"/>
        </w:rPr>
        <w:t>D</w:t>
      </w:r>
      <w:r>
        <w:rPr>
          <w:lang w:val="en-GB" w:eastAsia="fr-FR"/>
        </w:rPr>
        <w:t xml:space="preserve">istribution </w:t>
      </w:r>
      <w:r w:rsidR="0018712B">
        <w:rPr>
          <w:lang w:val="en-GB" w:eastAsia="fr-FR"/>
        </w:rPr>
        <w:t xml:space="preserve">was </w:t>
      </w:r>
      <w:r w:rsidR="00F705C0">
        <w:rPr>
          <w:lang w:val="en-GB" w:eastAsia="fr-FR"/>
        </w:rPr>
        <w:t xml:space="preserve">only associated with </w:t>
      </w:r>
      <w:r w:rsidR="00C04DED">
        <w:rPr>
          <w:lang w:val="en-GB" w:eastAsia="fr-FR"/>
        </w:rPr>
        <w:t xml:space="preserve">year of each </w:t>
      </w:r>
      <w:r w:rsidR="00F705C0">
        <w:rPr>
          <w:lang w:val="en-GB" w:eastAsia="fr-FR"/>
        </w:rPr>
        <w:t xml:space="preserve">survey. </w:t>
      </w:r>
      <w:r w:rsidR="00C04DED">
        <w:rPr>
          <w:lang w:val="en-GB" w:eastAsia="fr-FR"/>
        </w:rPr>
        <w:t xml:space="preserve">We then </w:t>
      </w:r>
      <w:r>
        <w:rPr>
          <w:lang w:val="en-GB" w:eastAsia="fr-FR"/>
        </w:rPr>
        <w:t xml:space="preserve">decided to apply a mixture model for </w:t>
      </w:r>
      <w:r w:rsidR="00F705C0">
        <w:rPr>
          <w:lang w:val="en-GB" w:eastAsia="fr-FR"/>
        </w:rPr>
        <w:t>the distributions in 2004 and 2011</w:t>
      </w:r>
      <w:r>
        <w:rPr>
          <w:lang w:val="en-GB" w:eastAsia="fr-FR"/>
        </w:rPr>
        <w:t xml:space="preserve">.  </w:t>
      </w:r>
    </w:p>
    <w:p w:rsidR="00F75EA9" w:rsidRDefault="00F75EA9" w:rsidP="00F75EA9">
      <w:pPr>
        <w:spacing w:line="480" w:lineRule="auto"/>
        <w:jc w:val="both"/>
        <w:rPr>
          <w:rFonts w:eastAsiaTheme="minorEastAsia"/>
          <w:lang w:val="en-GB" w:eastAsia="fr-FR"/>
        </w:rPr>
      </w:pPr>
      <w:r>
        <w:rPr>
          <w:lang w:val="en-GB" w:eastAsia="fr-FR"/>
        </w:rPr>
        <w:t xml:space="preserve">In a </w:t>
      </w:r>
      <w:r w:rsidRPr="0075594C">
        <w:rPr>
          <w:i/>
          <w:lang w:val="en-GB" w:eastAsia="fr-FR"/>
        </w:rPr>
        <w:t>c</w:t>
      </w:r>
      <w:r>
        <w:rPr>
          <w:lang w:val="en-GB" w:eastAsia="fr-FR"/>
        </w:rPr>
        <w:t xml:space="preserve">-component mixture model, </w:t>
      </w:r>
      <m:oMath>
        <m:sSub>
          <m:sSubPr>
            <m:ctrlPr>
              <w:rPr>
                <w:rFonts w:ascii="Cambria Math" w:hAnsi="Cambria Math"/>
                <w:i/>
                <w:lang w:val="en-GB" w:eastAsia="fr-FR"/>
              </w:rPr>
            </m:ctrlPr>
          </m:sSubPr>
          <m:e>
            <m:r>
              <w:rPr>
                <w:rFonts w:ascii="Cambria Math" w:hAnsi="Cambria Math"/>
                <w:lang w:val="en-GB" w:eastAsia="fr-FR"/>
              </w:rPr>
              <m:t>f</m:t>
            </m:r>
          </m:e>
          <m:sub>
            <m:r>
              <w:rPr>
                <w:rFonts w:ascii="Cambria Math" w:hAnsi="Cambria Math"/>
                <w:lang w:val="en-GB" w:eastAsia="fr-FR"/>
              </w:rPr>
              <m:t>i</m:t>
            </m:r>
          </m:sub>
        </m:sSub>
        <m:d>
          <m:dPr>
            <m:ctrlPr>
              <w:rPr>
                <w:rFonts w:ascii="Cambria Math" w:hAnsi="Cambria Math"/>
                <w:i/>
                <w:lang w:val="en-GB" w:eastAsia="fr-FR"/>
              </w:rPr>
            </m:ctrlPr>
          </m:dPr>
          <m:e>
            <m:r>
              <w:rPr>
                <w:rFonts w:ascii="Cambria Math" w:hAnsi="Cambria Math"/>
                <w:lang w:val="en-GB" w:eastAsia="fr-FR"/>
              </w:rPr>
              <m:t>x</m:t>
            </m:r>
          </m:e>
        </m:d>
      </m:oMath>
      <w:r>
        <w:rPr>
          <w:rFonts w:eastAsiaTheme="minorEastAsia"/>
          <w:lang w:val="en-GB" w:eastAsia="fr-FR"/>
        </w:rPr>
        <w:t xml:space="preserve"> </w:t>
      </w:r>
      <w:r w:rsidR="00C24C82">
        <w:rPr>
          <w:rFonts w:eastAsiaTheme="minorEastAsia"/>
          <w:lang w:val="en-GB" w:eastAsia="fr-FR"/>
        </w:rPr>
        <w:t xml:space="preserve">is </w:t>
      </w:r>
      <w:r>
        <w:rPr>
          <w:rFonts w:eastAsiaTheme="minorEastAsia"/>
          <w:lang w:val="en-GB" w:eastAsia="fr-FR"/>
        </w:rPr>
        <w:t xml:space="preserve">the distribution for the ith component and </w:t>
      </w:r>
      <m:oMath>
        <m:sSub>
          <m:sSubPr>
            <m:ctrlPr>
              <w:rPr>
                <w:rFonts w:ascii="Cambria Math" w:hAnsi="Cambria Math"/>
                <w:i/>
                <w:lang w:val="en-GB" w:eastAsia="fr-FR"/>
              </w:rPr>
            </m:ctrlPr>
          </m:sSubPr>
          <m:e>
            <m:r>
              <w:rPr>
                <w:rFonts w:ascii="Cambria Math" w:hAnsi="Cambria Math"/>
                <w:lang w:val="en-GB" w:eastAsia="fr-FR"/>
              </w:rPr>
              <m:t>p</m:t>
            </m:r>
          </m:e>
          <m:sub>
            <m:r>
              <w:rPr>
                <w:rFonts w:ascii="Cambria Math" w:hAnsi="Cambria Math"/>
                <w:lang w:val="en-GB" w:eastAsia="fr-FR"/>
              </w:rPr>
              <m:t>i</m:t>
            </m:r>
          </m:sub>
        </m:sSub>
      </m:oMath>
      <w:r>
        <w:rPr>
          <w:rFonts w:eastAsiaTheme="minorEastAsia"/>
          <w:lang w:val="en-GB" w:eastAsia="fr-FR"/>
        </w:rPr>
        <w:t xml:space="preserve"> </w:t>
      </w:r>
      <w:r w:rsidR="00C24C82">
        <w:rPr>
          <w:rFonts w:eastAsiaTheme="minorEastAsia"/>
          <w:lang w:val="en-GB" w:eastAsia="fr-FR"/>
        </w:rPr>
        <w:t xml:space="preserve">is </w:t>
      </w:r>
      <w:r>
        <w:rPr>
          <w:rFonts w:eastAsiaTheme="minorEastAsia"/>
          <w:lang w:val="en-GB" w:eastAsia="fr-FR"/>
        </w:rPr>
        <w:t>the proportion of samples from the ith component. The overall density of results,</w:t>
      </w:r>
      <w:r w:rsidR="00044EA4">
        <w:rPr>
          <w:rFonts w:eastAsiaTheme="minorEastAsia"/>
          <w:lang w:val="en-GB" w:eastAsia="fr-FR"/>
        </w:rPr>
        <w:t xml:space="preserve"> </w:t>
      </w:r>
      <m:oMath>
        <m:r>
          <w:rPr>
            <w:rFonts w:ascii="Cambria Math" w:hAnsi="Cambria Math"/>
            <w:lang w:val="en-GB" w:eastAsia="fr-FR"/>
          </w:rPr>
          <m:t>F</m:t>
        </m:r>
      </m:oMath>
      <w:r>
        <w:rPr>
          <w:rFonts w:eastAsiaTheme="minorEastAsia"/>
          <w:lang w:val="en-GB" w:eastAsia="fr-FR"/>
        </w:rPr>
        <w:t xml:space="preserve">, is a mixture of the </w:t>
      </w:r>
      <w:r w:rsidRPr="0075594C">
        <w:rPr>
          <w:rFonts w:eastAsiaTheme="minorEastAsia"/>
          <w:i/>
          <w:lang w:val="en-GB" w:eastAsia="fr-FR"/>
        </w:rPr>
        <w:t>c</w:t>
      </w:r>
      <w:r>
        <w:rPr>
          <w:rFonts w:eastAsiaTheme="minorEastAsia"/>
          <w:lang w:val="en-GB" w:eastAsia="fr-FR"/>
        </w:rPr>
        <w:t xml:space="preserve"> component densities,</w:t>
      </w:r>
    </w:p>
    <w:p w:rsidR="00F75EA9" w:rsidRDefault="00044EA4" w:rsidP="00F75EA9">
      <w:pPr>
        <w:spacing w:line="480" w:lineRule="auto"/>
        <w:jc w:val="center"/>
        <w:rPr>
          <w:lang w:val="en-GB" w:eastAsia="fr-FR"/>
        </w:rPr>
      </w:pPr>
      <m:oMathPara>
        <m:oMath>
          <m:r>
            <w:rPr>
              <w:rFonts w:ascii="Cambria Math" w:hAnsi="Cambria Math"/>
              <w:lang w:val="en-GB" w:eastAsia="fr-FR"/>
            </w:rPr>
            <m:t>F</m:t>
          </m:r>
          <m:d>
            <m:dPr>
              <m:ctrlPr>
                <w:rPr>
                  <w:rFonts w:ascii="Cambria Math" w:hAnsi="Cambria Math"/>
                  <w:i/>
                  <w:lang w:val="en-GB" w:eastAsia="fr-FR"/>
                </w:rPr>
              </m:ctrlPr>
            </m:dPr>
            <m:e>
              <m:r>
                <w:rPr>
                  <w:rFonts w:ascii="Cambria Math" w:hAnsi="Cambria Math"/>
                  <w:lang w:val="en-GB" w:eastAsia="fr-FR"/>
                </w:rPr>
                <m:t>x</m:t>
              </m:r>
            </m:e>
          </m:d>
          <m:r>
            <w:rPr>
              <w:rFonts w:ascii="Cambria Math" w:hAnsi="Cambria Math"/>
              <w:lang w:val="en-GB" w:eastAsia="fr-FR"/>
            </w:rPr>
            <m:t>=</m:t>
          </m:r>
          <m:nary>
            <m:naryPr>
              <m:chr m:val="∑"/>
              <m:limLoc m:val="undOvr"/>
              <m:ctrlPr>
                <w:rPr>
                  <w:rFonts w:ascii="Cambria Math" w:hAnsi="Cambria Math"/>
                  <w:i/>
                  <w:lang w:val="en-GB" w:eastAsia="fr-FR"/>
                </w:rPr>
              </m:ctrlPr>
            </m:naryPr>
            <m:sub>
              <m:r>
                <w:rPr>
                  <w:rFonts w:ascii="Cambria Math" w:hAnsi="Cambria Math"/>
                  <w:lang w:val="en-GB" w:eastAsia="fr-FR"/>
                </w:rPr>
                <m:t>i</m:t>
              </m:r>
            </m:sub>
            <m:sup>
              <m:r>
                <w:rPr>
                  <w:rFonts w:ascii="Cambria Math" w:hAnsi="Cambria Math"/>
                  <w:lang w:val="en-GB" w:eastAsia="fr-FR"/>
                </w:rPr>
                <m:t>c</m:t>
              </m:r>
            </m:sup>
            <m:e>
              <m:sSub>
                <m:sSubPr>
                  <m:ctrlPr>
                    <w:rPr>
                      <w:rFonts w:ascii="Cambria Math" w:hAnsi="Cambria Math"/>
                      <w:i/>
                      <w:lang w:val="en-GB" w:eastAsia="fr-FR"/>
                    </w:rPr>
                  </m:ctrlPr>
                </m:sSubPr>
                <m:e>
                  <m:r>
                    <w:rPr>
                      <w:rFonts w:ascii="Cambria Math" w:hAnsi="Cambria Math"/>
                      <w:lang w:val="en-GB" w:eastAsia="fr-FR"/>
                    </w:rPr>
                    <m:t>p</m:t>
                  </m:r>
                </m:e>
                <m:sub>
                  <m:r>
                    <w:rPr>
                      <w:rFonts w:ascii="Cambria Math" w:hAnsi="Cambria Math"/>
                      <w:lang w:val="en-GB" w:eastAsia="fr-FR"/>
                    </w:rPr>
                    <m:t>i</m:t>
                  </m:r>
                </m:sub>
              </m:sSub>
              <m:sSub>
                <m:sSubPr>
                  <m:ctrlPr>
                    <w:rPr>
                      <w:rFonts w:ascii="Cambria Math" w:hAnsi="Cambria Math"/>
                      <w:i/>
                      <w:lang w:val="en-GB" w:eastAsia="fr-FR"/>
                    </w:rPr>
                  </m:ctrlPr>
                </m:sSubPr>
                <m:e>
                  <m:r>
                    <w:rPr>
                      <w:rFonts w:ascii="Cambria Math" w:hAnsi="Cambria Math"/>
                      <w:lang w:val="en-GB" w:eastAsia="fr-FR"/>
                    </w:rPr>
                    <m:t>f</m:t>
                  </m:r>
                </m:e>
                <m:sub>
                  <m:r>
                    <w:rPr>
                      <w:rFonts w:ascii="Cambria Math" w:hAnsi="Cambria Math"/>
                      <w:lang w:val="en-GB" w:eastAsia="fr-FR"/>
                    </w:rPr>
                    <m:t>i</m:t>
                  </m:r>
                </m:sub>
              </m:sSub>
              <m:r>
                <w:rPr>
                  <w:rFonts w:ascii="Cambria Math" w:hAnsi="Cambria Math"/>
                  <w:lang w:val="en-GB" w:eastAsia="fr-FR"/>
                </w:rPr>
                <m:t>(x)</m:t>
              </m:r>
            </m:e>
          </m:nary>
          <m:r>
            <w:rPr>
              <w:rFonts w:ascii="Cambria Math" w:hAnsi="Cambria Math"/>
              <w:lang w:val="en-GB" w:eastAsia="fr-FR"/>
            </w:rPr>
            <m:t>.</m:t>
          </m:r>
        </m:oMath>
      </m:oMathPara>
    </w:p>
    <w:p w:rsidR="00F75EA9" w:rsidRDefault="00F75EA9" w:rsidP="00F75EA9">
      <w:pPr>
        <w:spacing w:line="480" w:lineRule="auto"/>
        <w:jc w:val="both"/>
        <w:rPr>
          <w:lang w:val="en-GB" w:eastAsia="fr-FR"/>
        </w:rPr>
      </w:pPr>
      <w:r>
        <w:rPr>
          <w:lang w:val="en-GB" w:eastAsia="fr-FR"/>
        </w:rPr>
        <w:t xml:space="preserve">Each </w:t>
      </w:r>
      <m:oMath>
        <m:sSub>
          <m:sSubPr>
            <m:ctrlPr>
              <w:rPr>
                <w:rFonts w:ascii="Cambria Math" w:hAnsi="Cambria Math"/>
                <w:i/>
                <w:lang w:val="en-GB" w:eastAsia="fr-FR"/>
              </w:rPr>
            </m:ctrlPr>
          </m:sSubPr>
          <m:e>
            <m:r>
              <w:rPr>
                <w:rFonts w:ascii="Cambria Math" w:hAnsi="Cambria Math"/>
                <w:lang w:val="en-GB" w:eastAsia="fr-FR"/>
              </w:rPr>
              <m:t>f</m:t>
            </m:r>
          </m:e>
          <m:sub>
            <m:r>
              <w:rPr>
                <w:rFonts w:ascii="Cambria Math" w:hAnsi="Cambria Math"/>
                <w:lang w:val="en-GB" w:eastAsia="fr-FR"/>
              </w:rPr>
              <m:t>i</m:t>
            </m:r>
          </m:sub>
        </m:sSub>
        <m:d>
          <m:dPr>
            <m:ctrlPr>
              <w:rPr>
                <w:rFonts w:ascii="Cambria Math" w:hAnsi="Cambria Math"/>
                <w:i/>
                <w:lang w:val="en-GB" w:eastAsia="fr-FR"/>
              </w:rPr>
            </m:ctrlPr>
          </m:dPr>
          <m:e>
            <m:r>
              <w:rPr>
                <w:rFonts w:ascii="Cambria Math" w:hAnsi="Cambria Math"/>
                <w:lang w:val="en-GB" w:eastAsia="fr-FR"/>
              </w:rPr>
              <m:t>x</m:t>
            </m:r>
          </m:e>
        </m:d>
      </m:oMath>
      <w:r>
        <w:rPr>
          <w:rFonts w:eastAsiaTheme="minorEastAsia"/>
          <w:lang w:val="en-GB" w:eastAsia="fr-FR"/>
        </w:rPr>
        <w:t xml:space="preserve"> is a </w:t>
      </w:r>
      <w:r w:rsidR="00044EA4">
        <w:rPr>
          <w:rFonts w:eastAsiaTheme="minorEastAsia"/>
          <w:lang w:val="en-GB" w:eastAsia="fr-FR"/>
        </w:rPr>
        <w:t xml:space="preserve">normal </w:t>
      </w:r>
      <w:r>
        <w:rPr>
          <w:rFonts w:eastAsiaTheme="minorEastAsia"/>
          <w:lang w:val="en-GB" w:eastAsia="fr-FR"/>
        </w:rPr>
        <w:t>distribution</w:t>
      </w:r>
      <w:r>
        <w:rPr>
          <w:lang w:val="en-GB" w:eastAsia="fr-FR"/>
        </w:rPr>
        <w:t xml:space="preserve"> with mean </w:t>
      </w:r>
      <m:oMath>
        <m:sSub>
          <m:sSubPr>
            <m:ctrlPr>
              <w:rPr>
                <w:rFonts w:ascii="Cambria Math" w:hAnsi="Cambria Math"/>
                <w:i/>
                <w:lang w:val="en-GB" w:eastAsia="fr-FR"/>
              </w:rPr>
            </m:ctrlPr>
          </m:sSubPr>
          <m:e>
            <m:r>
              <w:rPr>
                <w:rFonts w:ascii="Cambria Math" w:hAnsi="Cambria Math"/>
                <w:lang w:val="en-GB" w:eastAsia="fr-FR"/>
              </w:rPr>
              <m:t>μ</m:t>
            </m:r>
          </m:e>
          <m:sub>
            <m:r>
              <w:rPr>
                <w:rFonts w:ascii="Cambria Math" w:hAnsi="Cambria Math"/>
                <w:lang w:val="en-GB" w:eastAsia="fr-FR"/>
              </w:rPr>
              <m:t>i</m:t>
            </m:r>
          </m:sub>
        </m:sSub>
      </m:oMath>
      <w:r>
        <w:rPr>
          <w:lang w:val="en-GB" w:eastAsia="fr-FR"/>
        </w:rPr>
        <w:t xml:space="preserve"> and standard deviation </w:t>
      </w:r>
      <m:oMath>
        <m:sSub>
          <m:sSubPr>
            <m:ctrlPr>
              <w:rPr>
                <w:rFonts w:ascii="Cambria Math" w:hAnsi="Cambria Math"/>
                <w:i/>
                <w:lang w:val="en-GB" w:eastAsia="fr-FR"/>
              </w:rPr>
            </m:ctrlPr>
          </m:sSubPr>
          <m:e>
            <m:r>
              <w:rPr>
                <w:rFonts w:ascii="Cambria Math" w:hAnsi="Cambria Math"/>
                <w:lang w:val="en-GB" w:eastAsia="fr-FR"/>
              </w:rPr>
              <m:t>σ</m:t>
            </m:r>
          </m:e>
          <m:sub>
            <m:r>
              <w:rPr>
                <w:rFonts w:ascii="Cambria Math" w:hAnsi="Cambria Math"/>
                <w:lang w:val="en-GB" w:eastAsia="fr-FR"/>
              </w:rPr>
              <m:t>i</m:t>
            </m:r>
          </m:sub>
        </m:sSub>
      </m:oMath>
      <w:r>
        <w:rPr>
          <w:lang w:val="en-GB" w:eastAsia="fr-FR"/>
        </w:rPr>
        <w:t xml:space="preserve">. </w:t>
      </w:r>
    </w:p>
    <w:p w:rsidR="00F75EA9" w:rsidRDefault="00F75EA9" w:rsidP="00F75EA9">
      <w:pPr>
        <w:spacing w:line="480" w:lineRule="auto"/>
        <w:jc w:val="both"/>
        <w:rPr>
          <w:lang w:val="en-GB" w:eastAsia="fr-FR"/>
        </w:rPr>
      </w:pPr>
      <w:r>
        <w:rPr>
          <w:lang w:val="en-GB" w:eastAsia="fr-FR"/>
        </w:rPr>
        <w:t xml:space="preserve">The simplest model (also called a 2-component mixture model) </w:t>
      </w:r>
      <w:r w:rsidR="00976AC2">
        <w:rPr>
          <w:lang w:val="en-GB" w:eastAsia="fr-FR"/>
        </w:rPr>
        <w:t>include</w:t>
      </w:r>
      <w:r>
        <w:rPr>
          <w:lang w:val="en-GB" w:eastAsia="fr-FR"/>
        </w:rPr>
        <w:t xml:space="preserve">s two states, </w:t>
      </w:r>
      <w:r w:rsidR="00976AC2">
        <w:rPr>
          <w:lang w:val="en-GB" w:eastAsia="fr-FR"/>
        </w:rPr>
        <w:t>interpreted</w:t>
      </w:r>
      <w:r w:rsidR="00C04DED">
        <w:rPr>
          <w:lang w:val="en-GB" w:eastAsia="fr-FR"/>
        </w:rPr>
        <w:t xml:space="preserve"> in this case </w:t>
      </w:r>
      <w:r w:rsidR="00976AC2">
        <w:rPr>
          <w:lang w:val="en-GB" w:eastAsia="fr-FR"/>
        </w:rPr>
        <w:t xml:space="preserve">as </w:t>
      </w:r>
      <w:r w:rsidR="00C04DED">
        <w:rPr>
          <w:lang w:val="en-GB" w:eastAsia="fr-FR"/>
        </w:rPr>
        <w:t xml:space="preserve">individuals </w:t>
      </w:r>
      <w:r>
        <w:rPr>
          <w:lang w:val="en-GB" w:eastAsia="fr-FR"/>
        </w:rPr>
        <w:t xml:space="preserve">with </w:t>
      </w:r>
      <w:r w:rsidR="00C04DED">
        <w:rPr>
          <w:lang w:val="en-GB" w:eastAsia="fr-FR"/>
        </w:rPr>
        <w:t xml:space="preserve">and individuals </w:t>
      </w:r>
      <w:r>
        <w:rPr>
          <w:lang w:val="en-GB" w:eastAsia="fr-FR"/>
        </w:rPr>
        <w:t>without HCV infection. Due to the poor fit of this simples</w:t>
      </w:r>
      <w:r w:rsidR="00976AC2">
        <w:rPr>
          <w:lang w:val="en-GB" w:eastAsia="fr-FR"/>
        </w:rPr>
        <w:t>t mixture model, we applied different</w:t>
      </w:r>
      <w:r>
        <w:rPr>
          <w:lang w:val="en-GB" w:eastAsia="fr-FR"/>
        </w:rPr>
        <w:t xml:space="preserve"> mixture models with a </w:t>
      </w:r>
      <w:r w:rsidR="00976AC2">
        <w:rPr>
          <w:lang w:val="en-GB" w:eastAsia="fr-FR"/>
        </w:rPr>
        <w:t xml:space="preserve">varying </w:t>
      </w:r>
      <w:r>
        <w:rPr>
          <w:lang w:val="en-GB" w:eastAsia="fr-FR"/>
        </w:rPr>
        <w:t xml:space="preserve">number of components </w:t>
      </w:r>
      <w:r w:rsidR="00976AC2">
        <w:rPr>
          <w:lang w:val="en-GB" w:eastAsia="fr-FR"/>
        </w:rPr>
        <w:t>(from 2 to 6)</w:t>
      </w:r>
      <w:r>
        <w:rPr>
          <w:lang w:val="en-GB" w:eastAsia="fr-FR"/>
        </w:rPr>
        <w:t xml:space="preserve">. The model with the lowest </w:t>
      </w:r>
      <w:r w:rsidRPr="00496B12">
        <w:rPr>
          <w:lang w:val="en-GB" w:eastAsia="fr-FR"/>
        </w:rPr>
        <w:t>Bayesian information criterion</w:t>
      </w:r>
      <w:r>
        <w:rPr>
          <w:lang w:val="en-GB" w:eastAsia="fr-FR"/>
        </w:rPr>
        <w:t xml:space="preserve"> </w:t>
      </w:r>
      <w:r w:rsidR="00044EA4">
        <w:rPr>
          <w:lang w:val="en-GB" w:eastAsia="fr-FR"/>
        </w:rPr>
        <w:t>was chosen</w:t>
      </w:r>
      <w:r w:rsidR="00976AC2">
        <w:rPr>
          <w:lang w:val="en-GB" w:eastAsia="fr-FR"/>
        </w:rPr>
        <w:t xml:space="preserve"> and </w:t>
      </w:r>
      <w:r w:rsidR="00C04DED">
        <w:rPr>
          <w:lang w:val="en-GB" w:eastAsia="fr-FR"/>
        </w:rPr>
        <w:t xml:space="preserve">is </w:t>
      </w:r>
      <w:r w:rsidR="00976AC2">
        <w:rPr>
          <w:lang w:val="en-GB" w:eastAsia="fr-FR"/>
        </w:rPr>
        <w:t xml:space="preserve">represented in bold in </w:t>
      </w:r>
      <w:r>
        <w:rPr>
          <w:lang w:val="en-GB" w:eastAsia="fr-FR"/>
        </w:rPr>
        <w:t xml:space="preserve">Table </w:t>
      </w:r>
      <w:r w:rsidR="00670F48">
        <w:rPr>
          <w:lang w:val="en-GB" w:eastAsia="fr-FR"/>
        </w:rPr>
        <w:t>A1</w:t>
      </w:r>
      <w:r>
        <w:rPr>
          <w:lang w:val="en-GB" w:eastAsia="fr-FR"/>
        </w:rPr>
        <w:t>.</w:t>
      </w:r>
    </w:p>
    <w:p w:rsidR="00F75EA9" w:rsidRDefault="00F75EA9" w:rsidP="00F75EA9">
      <w:pPr>
        <w:spacing w:line="240" w:lineRule="auto"/>
        <w:rPr>
          <w:lang w:val="en-US" w:eastAsia="fr-FR"/>
        </w:rPr>
      </w:pPr>
      <w:r w:rsidRPr="0070713C">
        <w:rPr>
          <w:b/>
          <w:lang w:val="en-US" w:eastAsia="fr-FR"/>
        </w:rPr>
        <w:t xml:space="preserve">Table </w:t>
      </w:r>
      <w:r w:rsidR="00670F48">
        <w:rPr>
          <w:b/>
          <w:lang w:val="en-US" w:eastAsia="fr-FR"/>
        </w:rPr>
        <w:t>A1</w:t>
      </w:r>
      <w:r w:rsidRPr="0070713C">
        <w:rPr>
          <w:lang w:val="en-US" w:eastAsia="fr-FR"/>
        </w:rPr>
        <w:t xml:space="preserve">. </w:t>
      </w:r>
      <w:r>
        <w:rPr>
          <w:lang w:val="en-US" w:eastAsia="fr-FR"/>
        </w:rPr>
        <w:t>Model selection procedure for mixture models</w:t>
      </w:r>
      <w:r w:rsidRPr="0070713C">
        <w:rPr>
          <w:lang w:val="en-US" w:eastAsia="fr-FR"/>
        </w:rPr>
        <w:t>, France, 2004 and 2011.</w:t>
      </w:r>
    </w:p>
    <w:tbl>
      <w:tblPr>
        <w:tblW w:w="6188" w:type="dxa"/>
        <w:jc w:val="center"/>
        <w:tblCellMar>
          <w:left w:w="70" w:type="dxa"/>
          <w:right w:w="70" w:type="dxa"/>
        </w:tblCellMar>
        <w:tblLook w:val="04A0" w:firstRow="1" w:lastRow="0" w:firstColumn="1" w:lastColumn="0" w:noHBand="0" w:noVBand="1"/>
      </w:tblPr>
      <w:tblGrid>
        <w:gridCol w:w="2000"/>
        <w:gridCol w:w="865"/>
        <w:gridCol w:w="865"/>
        <w:gridCol w:w="380"/>
        <w:gridCol w:w="1025"/>
        <w:gridCol w:w="1055"/>
      </w:tblGrid>
      <w:tr w:rsidR="00F75EA9" w:rsidRPr="00E62F6B" w:rsidTr="00230AF4">
        <w:trPr>
          <w:trHeight w:val="841"/>
          <w:jc w:val="center"/>
        </w:trPr>
        <w:tc>
          <w:tcPr>
            <w:tcW w:w="2000" w:type="dxa"/>
            <w:vMerge w:val="restart"/>
            <w:tcBorders>
              <w:top w:val="single" w:sz="4" w:space="0" w:color="auto"/>
              <w:left w:val="nil"/>
              <w:bottom w:val="single" w:sz="4" w:space="0" w:color="000000"/>
              <w:right w:val="nil"/>
            </w:tcBorders>
            <w:shd w:val="clear" w:color="000000" w:fill="FFFFFF"/>
            <w:hideMark/>
          </w:tcPr>
          <w:p w:rsidR="00F75EA9" w:rsidRPr="00E62F6B" w:rsidRDefault="00044EA4" w:rsidP="00044EA4">
            <w:pPr>
              <w:spacing w:after="0" w:line="240" w:lineRule="auto"/>
              <w:rPr>
                <w:rFonts w:ascii="Calibri" w:eastAsia="Times New Roman" w:hAnsi="Calibri"/>
                <w:b/>
                <w:bCs/>
                <w:color w:val="000000"/>
                <w:lang w:val="en-US" w:eastAsia="fr-FR"/>
              </w:rPr>
            </w:pPr>
            <w:r w:rsidRPr="00E62F6B">
              <w:rPr>
                <w:rFonts w:ascii="Calibri" w:eastAsia="Times New Roman" w:hAnsi="Calibri"/>
                <w:b/>
                <w:bCs/>
                <w:color w:val="000000"/>
                <w:sz w:val="22"/>
                <w:szCs w:val="22"/>
                <w:lang w:val="en-US" w:eastAsia="fr-FR"/>
              </w:rPr>
              <w:t>N</w:t>
            </w:r>
            <w:r>
              <w:rPr>
                <w:rFonts w:ascii="Calibri" w:eastAsia="Times New Roman" w:hAnsi="Calibri"/>
                <w:b/>
                <w:bCs/>
                <w:color w:val="000000"/>
                <w:sz w:val="22"/>
                <w:szCs w:val="22"/>
                <w:lang w:val="en-US" w:eastAsia="fr-FR"/>
              </w:rPr>
              <w:t xml:space="preserve">umber </w:t>
            </w:r>
            <w:r w:rsidR="00F75EA9" w:rsidRPr="00E62F6B">
              <w:rPr>
                <w:rFonts w:ascii="Calibri" w:eastAsia="Times New Roman" w:hAnsi="Calibri"/>
                <w:b/>
                <w:bCs/>
                <w:color w:val="000000"/>
                <w:sz w:val="22"/>
                <w:szCs w:val="22"/>
                <w:lang w:val="en-US" w:eastAsia="fr-FR"/>
              </w:rPr>
              <w:t xml:space="preserve"> of </w:t>
            </w:r>
            <w:r>
              <w:rPr>
                <w:rFonts w:ascii="Calibri" w:eastAsia="Times New Roman" w:hAnsi="Calibri"/>
                <w:b/>
                <w:bCs/>
                <w:color w:val="000000"/>
                <w:sz w:val="22"/>
                <w:szCs w:val="22"/>
                <w:lang w:val="en-US" w:eastAsia="fr-FR"/>
              </w:rPr>
              <w:t>n</w:t>
            </w:r>
            <w:r w:rsidR="00F75EA9" w:rsidRPr="00E62F6B">
              <w:rPr>
                <w:rFonts w:ascii="Calibri" w:eastAsia="Times New Roman" w:hAnsi="Calibri"/>
                <w:b/>
                <w:bCs/>
                <w:color w:val="000000"/>
                <w:sz w:val="22"/>
                <w:szCs w:val="22"/>
                <w:lang w:val="en-US" w:eastAsia="fr-FR"/>
              </w:rPr>
              <w:t>ormal components in</w:t>
            </w:r>
            <w:r>
              <w:rPr>
                <w:rFonts w:ascii="Calibri" w:eastAsia="Times New Roman" w:hAnsi="Calibri"/>
                <w:b/>
                <w:bCs/>
                <w:color w:val="000000"/>
                <w:sz w:val="22"/>
                <w:szCs w:val="22"/>
                <w:lang w:val="en-US" w:eastAsia="fr-FR"/>
              </w:rPr>
              <w:t xml:space="preserve"> the mixture</w:t>
            </w:r>
          </w:p>
        </w:tc>
        <w:tc>
          <w:tcPr>
            <w:tcW w:w="1728" w:type="dxa"/>
            <w:gridSpan w:val="2"/>
            <w:tcBorders>
              <w:top w:val="single" w:sz="4" w:space="0" w:color="auto"/>
              <w:left w:val="nil"/>
              <w:bottom w:val="single" w:sz="4" w:space="0" w:color="auto"/>
              <w:right w:val="nil"/>
            </w:tcBorders>
            <w:shd w:val="clear" w:color="000000" w:fill="FFFFFF"/>
            <w:noWrap/>
            <w:hideMark/>
          </w:tcPr>
          <w:p w:rsidR="00F75EA9" w:rsidRPr="00E62F6B" w:rsidRDefault="00F75EA9" w:rsidP="008E776E">
            <w:pPr>
              <w:spacing w:after="0" w:line="240" w:lineRule="auto"/>
              <w:jc w:val="center"/>
              <w:rPr>
                <w:rFonts w:ascii="Calibri" w:eastAsia="Times New Roman" w:hAnsi="Calibri"/>
                <w:b/>
                <w:bCs/>
                <w:color w:val="000000"/>
                <w:lang w:eastAsia="fr-FR"/>
              </w:rPr>
            </w:pPr>
            <w:r w:rsidRPr="00E62F6B">
              <w:rPr>
                <w:rFonts w:ascii="Calibri" w:eastAsia="Times New Roman" w:hAnsi="Calibri"/>
                <w:b/>
                <w:bCs/>
                <w:color w:val="000000"/>
                <w:sz w:val="22"/>
                <w:szCs w:val="22"/>
                <w:lang w:eastAsia="fr-FR"/>
              </w:rPr>
              <w:t>2004</w:t>
            </w:r>
          </w:p>
        </w:tc>
        <w:tc>
          <w:tcPr>
            <w:tcW w:w="380" w:type="dxa"/>
            <w:tcBorders>
              <w:top w:val="single" w:sz="4" w:space="0" w:color="auto"/>
              <w:left w:val="nil"/>
              <w:bottom w:val="nil"/>
              <w:right w:val="nil"/>
            </w:tcBorders>
            <w:shd w:val="clear" w:color="000000" w:fill="FFFFFF"/>
            <w:noWrap/>
            <w:hideMark/>
          </w:tcPr>
          <w:p w:rsidR="00F75EA9" w:rsidRPr="00E62F6B" w:rsidRDefault="00F75EA9" w:rsidP="008E776E">
            <w:pPr>
              <w:spacing w:after="0" w:line="240" w:lineRule="auto"/>
              <w:jc w:val="center"/>
              <w:rPr>
                <w:rFonts w:ascii="Calibri" w:eastAsia="Times New Roman" w:hAnsi="Calibri"/>
                <w:b/>
                <w:bCs/>
                <w:color w:val="000000"/>
                <w:lang w:eastAsia="fr-FR"/>
              </w:rPr>
            </w:pPr>
            <w:r w:rsidRPr="00E62F6B">
              <w:rPr>
                <w:rFonts w:ascii="Calibri" w:eastAsia="Times New Roman" w:hAnsi="Calibri"/>
                <w:b/>
                <w:bCs/>
                <w:color w:val="000000"/>
                <w:sz w:val="22"/>
                <w:szCs w:val="22"/>
                <w:lang w:eastAsia="fr-FR"/>
              </w:rPr>
              <w:t> </w:t>
            </w:r>
          </w:p>
        </w:tc>
        <w:tc>
          <w:tcPr>
            <w:tcW w:w="2080" w:type="dxa"/>
            <w:gridSpan w:val="2"/>
            <w:tcBorders>
              <w:top w:val="single" w:sz="4" w:space="0" w:color="auto"/>
              <w:left w:val="nil"/>
              <w:bottom w:val="single" w:sz="4" w:space="0" w:color="auto"/>
              <w:right w:val="nil"/>
            </w:tcBorders>
            <w:shd w:val="clear" w:color="000000" w:fill="FFFFFF"/>
            <w:noWrap/>
            <w:hideMark/>
          </w:tcPr>
          <w:p w:rsidR="00F75EA9" w:rsidRPr="00E62F6B" w:rsidRDefault="00F75EA9" w:rsidP="008E776E">
            <w:pPr>
              <w:spacing w:after="0" w:line="240" w:lineRule="auto"/>
              <w:jc w:val="center"/>
              <w:rPr>
                <w:rFonts w:ascii="Calibri" w:eastAsia="Times New Roman" w:hAnsi="Calibri"/>
                <w:b/>
                <w:bCs/>
                <w:color w:val="000000"/>
                <w:lang w:eastAsia="fr-FR"/>
              </w:rPr>
            </w:pPr>
            <w:r w:rsidRPr="00E62F6B">
              <w:rPr>
                <w:rFonts w:ascii="Calibri" w:eastAsia="Times New Roman" w:hAnsi="Calibri"/>
                <w:b/>
                <w:bCs/>
                <w:color w:val="000000"/>
                <w:sz w:val="22"/>
                <w:szCs w:val="22"/>
                <w:lang w:eastAsia="fr-FR"/>
              </w:rPr>
              <w:t>2011</w:t>
            </w:r>
          </w:p>
        </w:tc>
      </w:tr>
      <w:tr w:rsidR="00F75EA9" w:rsidRPr="00E62F6B" w:rsidTr="00230AF4">
        <w:trPr>
          <w:trHeight w:val="300"/>
          <w:jc w:val="center"/>
        </w:trPr>
        <w:tc>
          <w:tcPr>
            <w:tcW w:w="2000" w:type="dxa"/>
            <w:vMerge/>
            <w:tcBorders>
              <w:top w:val="single" w:sz="4" w:space="0" w:color="auto"/>
              <w:left w:val="nil"/>
              <w:bottom w:val="single" w:sz="4" w:space="0" w:color="000000"/>
              <w:right w:val="nil"/>
            </w:tcBorders>
            <w:vAlign w:val="center"/>
            <w:hideMark/>
          </w:tcPr>
          <w:p w:rsidR="00F75EA9" w:rsidRPr="00E62F6B" w:rsidRDefault="00F75EA9" w:rsidP="008E776E">
            <w:pPr>
              <w:spacing w:after="0" w:line="240" w:lineRule="auto"/>
              <w:rPr>
                <w:rFonts w:ascii="Calibri" w:eastAsia="Times New Roman" w:hAnsi="Calibri"/>
                <w:b/>
                <w:bCs/>
                <w:color w:val="000000"/>
                <w:lang w:eastAsia="fr-FR"/>
              </w:rPr>
            </w:pPr>
          </w:p>
        </w:tc>
        <w:tc>
          <w:tcPr>
            <w:tcW w:w="864" w:type="dxa"/>
            <w:tcBorders>
              <w:top w:val="nil"/>
              <w:left w:val="nil"/>
              <w:bottom w:val="single" w:sz="4" w:space="0" w:color="auto"/>
              <w:right w:val="nil"/>
            </w:tcBorders>
            <w:shd w:val="clear" w:color="000000" w:fill="FFFFFF"/>
            <w:noWrap/>
            <w:vAlign w:val="bottom"/>
            <w:hideMark/>
          </w:tcPr>
          <w:p w:rsidR="00F75EA9" w:rsidRPr="00E62F6B" w:rsidRDefault="00F75EA9" w:rsidP="008E776E">
            <w:pPr>
              <w:spacing w:after="0" w:line="240" w:lineRule="auto"/>
              <w:jc w:val="right"/>
              <w:rPr>
                <w:rFonts w:ascii="Calibri" w:eastAsia="Times New Roman" w:hAnsi="Calibri"/>
                <w:b/>
                <w:bCs/>
                <w:color w:val="000000"/>
                <w:lang w:eastAsia="fr-FR"/>
              </w:rPr>
            </w:pPr>
            <w:r w:rsidRPr="00E62F6B">
              <w:rPr>
                <w:rFonts w:ascii="Calibri" w:eastAsia="Times New Roman" w:hAnsi="Calibri"/>
                <w:b/>
                <w:bCs/>
                <w:color w:val="000000"/>
                <w:sz w:val="22"/>
                <w:szCs w:val="22"/>
                <w:lang w:eastAsia="fr-FR"/>
              </w:rPr>
              <w:t xml:space="preserve">AIC </w:t>
            </w:r>
          </w:p>
        </w:tc>
        <w:tc>
          <w:tcPr>
            <w:tcW w:w="864" w:type="dxa"/>
            <w:tcBorders>
              <w:top w:val="nil"/>
              <w:left w:val="nil"/>
              <w:bottom w:val="single" w:sz="4" w:space="0" w:color="auto"/>
              <w:right w:val="nil"/>
            </w:tcBorders>
            <w:shd w:val="clear" w:color="000000" w:fill="FFFFFF"/>
            <w:noWrap/>
            <w:vAlign w:val="bottom"/>
            <w:hideMark/>
          </w:tcPr>
          <w:p w:rsidR="00F75EA9" w:rsidRPr="00E62F6B" w:rsidRDefault="00F75EA9" w:rsidP="008E776E">
            <w:pPr>
              <w:spacing w:after="0" w:line="240" w:lineRule="auto"/>
              <w:jc w:val="right"/>
              <w:rPr>
                <w:rFonts w:ascii="Calibri" w:eastAsia="Times New Roman" w:hAnsi="Calibri"/>
                <w:b/>
                <w:bCs/>
                <w:color w:val="000000"/>
                <w:lang w:eastAsia="fr-FR"/>
              </w:rPr>
            </w:pPr>
            <w:r w:rsidRPr="00E62F6B">
              <w:rPr>
                <w:rFonts w:ascii="Calibri" w:eastAsia="Times New Roman" w:hAnsi="Calibri"/>
                <w:b/>
                <w:bCs/>
                <w:color w:val="000000"/>
                <w:sz w:val="22"/>
                <w:szCs w:val="22"/>
                <w:lang w:eastAsia="fr-FR"/>
              </w:rPr>
              <w:t>BIC</w:t>
            </w:r>
          </w:p>
        </w:tc>
        <w:tc>
          <w:tcPr>
            <w:tcW w:w="380" w:type="dxa"/>
            <w:tcBorders>
              <w:top w:val="nil"/>
              <w:left w:val="nil"/>
              <w:bottom w:val="single" w:sz="4" w:space="0" w:color="auto"/>
              <w:right w:val="nil"/>
            </w:tcBorders>
            <w:shd w:val="clear" w:color="000000" w:fill="FFFFFF"/>
            <w:noWrap/>
            <w:vAlign w:val="bottom"/>
            <w:hideMark/>
          </w:tcPr>
          <w:p w:rsidR="00F75EA9" w:rsidRPr="00E62F6B" w:rsidRDefault="00F75EA9" w:rsidP="008E776E">
            <w:pPr>
              <w:spacing w:after="0" w:line="240" w:lineRule="auto"/>
              <w:rPr>
                <w:rFonts w:ascii="Calibri" w:eastAsia="Times New Roman" w:hAnsi="Calibri"/>
                <w:b/>
                <w:bCs/>
                <w:color w:val="000000"/>
                <w:lang w:eastAsia="fr-FR"/>
              </w:rPr>
            </w:pPr>
            <w:r w:rsidRPr="00E62F6B">
              <w:rPr>
                <w:rFonts w:ascii="Calibri" w:eastAsia="Times New Roman" w:hAnsi="Calibri"/>
                <w:b/>
                <w:bCs/>
                <w:color w:val="000000"/>
                <w:sz w:val="22"/>
                <w:szCs w:val="22"/>
                <w:lang w:eastAsia="fr-FR"/>
              </w:rPr>
              <w:t> </w:t>
            </w:r>
          </w:p>
        </w:tc>
        <w:tc>
          <w:tcPr>
            <w:tcW w:w="1025" w:type="dxa"/>
            <w:tcBorders>
              <w:top w:val="nil"/>
              <w:left w:val="nil"/>
              <w:bottom w:val="single" w:sz="4" w:space="0" w:color="auto"/>
              <w:right w:val="nil"/>
            </w:tcBorders>
            <w:shd w:val="clear" w:color="000000" w:fill="FFFFFF"/>
            <w:noWrap/>
            <w:vAlign w:val="bottom"/>
            <w:hideMark/>
          </w:tcPr>
          <w:p w:rsidR="00F75EA9" w:rsidRPr="00E62F6B" w:rsidRDefault="00F75EA9" w:rsidP="008E776E">
            <w:pPr>
              <w:spacing w:after="0" w:line="240" w:lineRule="auto"/>
              <w:jc w:val="right"/>
              <w:rPr>
                <w:rFonts w:ascii="Calibri" w:eastAsia="Times New Roman" w:hAnsi="Calibri"/>
                <w:b/>
                <w:bCs/>
                <w:color w:val="000000"/>
                <w:lang w:eastAsia="fr-FR"/>
              </w:rPr>
            </w:pPr>
            <w:r w:rsidRPr="00E62F6B">
              <w:rPr>
                <w:rFonts w:ascii="Calibri" w:eastAsia="Times New Roman" w:hAnsi="Calibri"/>
                <w:b/>
                <w:bCs/>
                <w:color w:val="000000"/>
                <w:sz w:val="22"/>
                <w:szCs w:val="22"/>
                <w:lang w:eastAsia="fr-FR"/>
              </w:rPr>
              <w:t xml:space="preserve">AIC </w:t>
            </w:r>
          </w:p>
        </w:tc>
        <w:tc>
          <w:tcPr>
            <w:tcW w:w="1055" w:type="dxa"/>
            <w:tcBorders>
              <w:top w:val="nil"/>
              <w:left w:val="nil"/>
              <w:bottom w:val="single" w:sz="4" w:space="0" w:color="auto"/>
              <w:right w:val="nil"/>
            </w:tcBorders>
            <w:shd w:val="clear" w:color="000000" w:fill="FFFFFF"/>
            <w:noWrap/>
            <w:vAlign w:val="bottom"/>
            <w:hideMark/>
          </w:tcPr>
          <w:p w:rsidR="00F75EA9" w:rsidRPr="00E62F6B" w:rsidRDefault="00F75EA9" w:rsidP="008E776E">
            <w:pPr>
              <w:spacing w:after="0" w:line="240" w:lineRule="auto"/>
              <w:jc w:val="right"/>
              <w:rPr>
                <w:rFonts w:ascii="Calibri" w:eastAsia="Times New Roman" w:hAnsi="Calibri"/>
                <w:b/>
                <w:bCs/>
                <w:color w:val="000000"/>
                <w:lang w:eastAsia="fr-FR"/>
              </w:rPr>
            </w:pPr>
            <w:r w:rsidRPr="00E62F6B">
              <w:rPr>
                <w:rFonts w:ascii="Calibri" w:eastAsia="Times New Roman" w:hAnsi="Calibri"/>
                <w:b/>
                <w:bCs/>
                <w:color w:val="000000"/>
                <w:sz w:val="22"/>
                <w:szCs w:val="22"/>
                <w:lang w:eastAsia="fr-FR"/>
              </w:rPr>
              <w:t>BIC</w:t>
            </w:r>
          </w:p>
        </w:tc>
      </w:tr>
      <w:tr w:rsidR="00F75EA9" w:rsidRPr="00E62F6B" w:rsidTr="00230AF4">
        <w:trPr>
          <w:trHeight w:val="300"/>
          <w:jc w:val="center"/>
        </w:trPr>
        <w:tc>
          <w:tcPr>
            <w:tcW w:w="2000" w:type="dxa"/>
            <w:tcBorders>
              <w:top w:val="nil"/>
              <w:left w:val="nil"/>
              <w:bottom w:val="nil"/>
              <w:right w:val="nil"/>
            </w:tcBorders>
            <w:shd w:val="clear" w:color="000000" w:fill="FFFFFF"/>
            <w:noWrap/>
            <w:vAlign w:val="bottom"/>
            <w:hideMark/>
          </w:tcPr>
          <w:p w:rsidR="00F75EA9" w:rsidRPr="00E62F6B" w:rsidRDefault="00F75EA9" w:rsidP="008E776E">
            <w:pPr>
              <w:spacing w:after="0" w:line="240" w:lineRule="auto"/>
              <w:rPr>
                <w:rFonts w:ascii="Calibri" w:eastAsia="Times New Roman" w:hAnsi="Calibri"/>
                <w:color w:val="000000"/>
                <w:lang w:eastAsia="fr-FR"/>
              </w:rPr>
            </w:pPr>
            <w:r w:rsidRPr="00E62F6B">
              <w:rPr>
                <w:rFonts w:ascii="Calibri" w:eastAsia="Times New Roman" w:hAnsi="Calibri"/>
                <w:color w:val="000000"/>
                <w:sz w:val="22"/>
                <w:szCs w:val="22"/>
                <w:lang w:eastAsia="fr-FR"/>
              </w:rPr>
              <w:t>2</w:t>
            </w:r>
          </w:p>
        </w:tc>
        <w:tc>
          <w:tcPr>
            <w:tcW w:w="864" w:type="dxa"/>
            <w:tcBorders>
              <w:top w:val="nil"/>
              <w:left w:val="nil"/>
              <w:bottom w:val="nil"/>
              <w:right w:val="nil"/>
            </w:tcBorders>
            <w:shd w:val="clear" w:color="000000" w:fill="FFFFFF"/>
            <w:noWrap/>
            <w:vAlign w:val="bottom"/>
            <w:hideMark/>
          </w:tcPr>
          <w:p w:rsidR="00F75EA9" w:rsidRPr="00E62F6B" w:rsidRDefault="00F75EA9" w:rsidP="005F5218">
            <w:pPr>
              <w:spacing w:after="0" w:line="240" w:lineRule="auto"/>
              <w:jc w:val="right"/>
              <w:rPr>
                <w:rFonts w:ascii="Calibri" w:eastAsia="Times New Roman" w:hAnsi="Calibri"/>
                <w:color w:val="000000"/>
                <w:lang w:eastAsia="fr-FR"/>
              </w:rPr>
            </w:pPr>
            <w:r w:rsidRPr="00E62F6B">
              <w:rPr>
                <w:rFonts w:ascii="Calibri" w:eastAsia="Times New Roman" w:hAnsi="Calibri"/>
                <w:color w:val="000000"/>
                <w:sz w:val="22"/>
                <w:szCs w:val="22"/>
                <w:lang w:eastAsia="fr-FR"/>
              </w:rPr>
              <w:t>1855</w:t>
            </w:r>
            <w:r w:rsidR="005F5218">
              <w:rPr>
                <w:rFonts w:ascii="Calibri" w:eastAsia="Times New Roman" w:hAnsi="Calibri"/>
                <w:color w:val="000000"/>
                <w:sz w:val="22"/>
                <w:szCs w:val="22"/>
                <w:lang w:eastAsia="fr-FR"/>
              </w:rPr>
              <w:t>.</w:t>
            </w:r>
            <w:r w:rsidRPr="00E62F6B">
              <w:rPr>
                <w:rFonts w:ascii="Calibri" w:eastAsia="Times New Roman" w:hAnsi="Calibri"/>
                <w:color w:val="000000"/>
                <w:sz w:val="22"/>
                <w:szCs w:val="22"/>
                <w:lang w:eastAsia="fr-FR"/>
              </w:rPr>
              <w:t>17</w:t>
            </w:r>
          </w:p>
        </w:tc>
        <w:tc>
          <w:tcPr>
            <w:tcW w:w="864" w:type="dxa"/>
            <w:tcBorders>
              <w:top w:val="nil"/>
              <w:left w:val="nil"/>
              <w:bottom w:val="nil"/>
              <w:right w:val="nil"/>
            </w:tcBorders>
            <w:shd w:val="clear" w:color="000000" w:fill="FFFFFF"/>
            <w:noWrap/>
            <w:vAlign w:val="bottom"/>
            <w:hideMark/>
          </w:tcPr>
          <w:p w:rsidR="00F75EA9" w:rsidRPr="00E62F6B" w:rsidRDefault="00F75EA9" w:rsidP="005F5218">
            <w:pPr>
              <w:spacing w:after="0" w:line="240" w:lineRule="auto"/>
              <w:jc w:val="right"/>
              <w:rPr>
                <w:rFonts w:ascii="Calibri" w:eastAsia="Times New Roman" w:hAnsi="Calibri"/>
                <w:color w:val="000000"/>
                <w:lang w:eastAsia="fr-FR"/>
              </w:rPr>
            </w:pPr>
            <w:r w:rsidRPr="00E62F6B">
              <w:rPr>
                <w:rFonts w:ascii="Calibri" w:eastAsia="Times New Roman" w:hAnsi="Calibri"/>
                <w:color w:val="000000"/>
                <w:sz w:val="22"/>
                <w:szCs w:val="22"/>
                <w:lang w:eastAsia="fr-FR"/>
              </w:rPr>
              <w:t>1878</w:t>
            </w:r>
            <w:r w:rsidR="005F5218">
              <w:rPr>
                <w:rFonts w:ascii="Calibri" w:eastAsia="Times New Roman" w:hAnsi="Calibri"/>
                <w:color w:val="000000"/>
                <w:sz w:val="22"/>
                <w:szCs w:val="22"/>
                <w:lang w:eastAsia="fr-FR"/>
              </w:rPr>
              <w:t>.</w:t>
            </w:r>
            <w:r w:rsidRPr="00E62F6B">
              <w:rPr>
                <w:rFonts w:ascii="Calibri" w:eastAsia="Times New Roman" w:hAnsi="Calibri"/>
                <w:color w:val="000000"/>
                <w:sz w:val="22"/>
                <w:szCs w:val="22"/>
                <w:lang w:eastAsia="fr-FR"/>
              </w:rPr>
              <w:t>67</w:t>
            </w:r>
          </w:p>
        </w:tc>
        <w:tc>
          <w:tcPr>
            <w:tcW w:w="380" w:type="dxa"/>
            <w:tcBorders>
              <w:top w:val="nil"/>
              <w:left w:val="nil"/>
              <w:bottom w:val="nil"/>
              <w:right w:val="nil"/>
            </w:tcBorders>
            <w:shd w:val="clear" w:color="000000" w:fill="FFFFFF"/>
            <w:noWrap/>
            <w:vAlign w:val="bottom"/>
            <w:hideMark/>
          </w:tcPr>
          <w:p w:rsidR="00F75EA9" w:rsidRPr="00E62F6B" w:rsidRDefault="00F75EA9" w:rsidP="008E776E">
            <w:pPr>
              <w:spacing w:after="0" w:line="240" w:lineRule="auto"/>
              <w:rPr>
                <w:rFonts w:ascii="Calibri" w:eastAsia="Times New Roman" w:hAnsi="Calibri"/>
                <w:color w:val="000000"/>
                <w:lang w:eastAsia="fr-FR"/>
              </w:rPr>
            </w:pPr>
            <w:r w:rsidRPr="00E62F6B">
              <w:rPr>
                <w:rFonts w:ascii="Calibri" w:eastAsia="Times New Roman" w:hAnsi="Calibri"/>
                <w:color w:val="000000"/>
                <w:sz w:val="22"/>
                <w:szCs w:val="22"/>
                <w:lang w:eastAsia="fr-FR"/>
              </w:rPr>
              <w:t> </w:t>
            </w:r>
          </w:p>
        </w:tc>
        <w:tc>
          <w:tcPr>
            <w:tcW w:w="1025" w:type="dxa"/>
            <w:tcBorders>
              <w:top w:val="nil"/>
              <w:left w:val="nil"/>
              <w:bottom w:val="nil"/>
              <w:right w:val="nil"/>
            </w:tcBorders>
            <w:shd w:val="clear" w:color="000000" w:fill="FFFFFF"/>
            <w:noWrap/>
            <w:vAlign w:val="bottom"/>
            <w:hideMark/>
          </w:tcPr>
          <w:p w:rsidR="00F75EA9" w:rsidRPr="00E62F6B" w:rsidRDefault="00F75EA9" w:rsidP="005F5218">
            <w:pPr>
              <w:spacing w:after="0" w:line="240" w:lineRule="auto"/>
              <w:jc w:val="right"/>
              <w:rPr>
                <w:rFonts w:ascii="Calibri" w:eastAsia="Times New Roman" w:hAnsi="Calibri"/>
                <w:color w:val="000000"/>
                <w:lang w:eastAsia="fr-FR"/>
              </w:rPr>
            </w:pPr>
            <w:r w:rsidRPr="00E62F6B">
              <w:rPr>
                <w:rFonts w:ascii="Calibri" w:eastAsia="Times New Roman" w:hAnsi="Calibri"/>
                <w:color w:val="000000"/>
                <w:sz w:val="22"/>
                <w:szCs w:val="22"/>
                <w:lang w:eastAsia="fr-FR"/>
              </w:rPr>
              <w:t>-223</w:t>
            </w:r>
            <w:r w:rsidR="005F5218">
              <w:rPr>
                <w:rFonts w:ascii="Calibri" w:eastAsia="Times New Roman" w:hAnsi="Calibri"/>
                <w:color w:val="000000"/>
                <w:sz w:val="22"/>
                <w:szCs w:val="22"/>
                <w:lang w:eastAsia="fr-FR"/>
              </w:rPr>
              <w:t>.</w:t>
            </w:r>
            <w:r w:rsidRPr="00E62F6B">
              <w:rPr>
                <w:rFonts w:ascii="Calibri" w:eastAsia="Times New Roman" w:hAnsi="Calibri"/>
                <w:color w:val="000000"/>
                <w:sz w:val="22"/>
                <w:szCs w:val="22"/>
                <w:lang w:eastAsia="fr-FR"/>
              </w:rPr>
              <w:t>83</w:t>
            </w:r>
          </w:p>
        </w:tc>
        <w:tc>
          <w:tcPr>
            <w:tcW w:w="1055" w:type="dxa"/>
            <w:tcBorders>
              <w:top w:val="nil"/>
              <w:left w:val="nil"/>
              <w:bottom w:val="nil"/>
              <w:right w:val="nil"/>
            </w:tcBorders>
            <w:shd w:val="clear" w:color="000000" w:fill="FFFFFF"/>
            <w:noWrap/>
            <w:vAlign w:val="bottom"/>
            <w:hideMark/>
          </w:tcPr>
          <w:p w:rsidR="00F75EA9" w:rsidRPr="00E62F6B" w:rsidRDefault="005F5218" w:rsidP="008E776E">
            <w:pPr>
              <w:spacing w:after="0" w:line="240" w:lineRule="auto"/>
              <w:jc w:val="right"/>
              <w:rPr>
                <w:rFonts w:ascii="Calibri" w:eastAsia="Times New Roman" w:hAnsi="Calibri"/>
                <w:color w:val="000000"/>
                <w:lang w:eastAsia="fr-FR"/>
              </w:rPr>
            </w:pPr>
            <w:r>
              <w:rPr>
                <w:rFonts w:ascii="Calibri" w:eastAsia="Times New Roman" w:hAnsi="Calibri"/>
                <w:color w:val="000000"/>
                <w:sz w:val="22"/>
                <w:szCs w:val="22"/>
                <w:lang w:eastAsia="fr-FR"/>
              </w:rPr>
              <w:t>-199.</w:t>
            </w:r>
            <w:r w:rsidR="00F75EA9" w:rsidRPr="00E62F6B">
              <w:rPr>
                <w:rFonts w:ascii="Calibri" w:eastAsia="Times New Roman" w:hAnsi="Calibri"/>
                <w:color w:val="000000"/>
                <w:sz w:val="22"/>
                <w:szCs w:val="22"/>
                <w:lang w:eastAsia="fr-FR"/>
              </w:rPr>
              <w:t>53</w:t>
            </w:r>
          </w:p>
        </w:tc>
      </w:tr>
      <w:tr w:rsidR="00F75EA9" w:rsidRPr="00E62F6B" w:rsidTr="00230AF4">
        <w:trPr>
          <w:trHeight w:val="300"/>
          <w:jc w:val="center"/>
        </w:trPr>
        <w:tc>
          <w:tcPr>
            <w:tcW w:w="2000" w:type="dxa"/>
            <w:tcBorders>
              <w:top w:val="nil"/>
              <w:left w:val="nil"/>
              <w:bottom w:val="nil"/>
              <w:right w:val="nil"/>
            </w:tcBorders>
            <w:shd w:val="clear" w:color="000000" w:fill="FFFFFF"/>
            <w:noWrap/>
            <w:vAlign w:val="bottom"/>
            <w:hideMark/>
          </w:tcPr>
          <w:p w:rsidR="00F75EA9" w:rsidRPr="00E62F6B" w:rsidRDefault="00F75EA9" w:rsidP="008E776E">
            <w:pPr>
              <w:spacing w:after="0" w:line="240" w:lineRule="auto"/>
              <w:rPr>
                <w:rFonts w:ascii="Calibri" w:eastAsia="Times New Roman" w:hAnsi="Calibri"/>
                <w:color w:val="000000"/>
                <w:lang w:eastAsia="fr-FR"/>
              </w:rPr>
            </w:pPr>
            <w:r w:rsidRPr="00E62F6B">
              <w:rPr>
                <w:rFonts w:ascii="Calibri" w:eastAsia="Times New Roman" w:hAnsi="Calibri"/>
                <w:color w:val="000000"/>
                <w:sz w:val="22"/>
                <w:szCs w:val="22"/>
                <w:lang w:eastAsia="fr-FR"/>
              </w:rPr>
              <w:t>3</w:t>
            </w:r>
          </w:p>
        </w:tc>
        <w:tc>
          <w:tcPr>
            <w:tcW w:w="864" w:type="dxa"/>
            <w:tcBorders>
              <w:top w:val="nil"/>
              <w:left w:val="nil"/>
              <w:bottom w:val="nil"/>
              <w:right w:val="nil"/>
            </w:tcBorders>
            <w:shd w:val="clear" w:color="000000" w:fill="FFFFFF"/>
            <w:noWrap/>
            <w:vAlign w:val="bottom"/>
            <w:hideMark/>
          </w:tcPr>
          <w:p w:rsidR="00F75EA9" w:rsidRPr="00E62F6B" w:rsidRDefault="00F75EA9" w:rsidP="005F5218">
            <w:pPr>
              <w:spacing w:after="0" w:line="240" w:lineRule="auto"/>
              <w:jc w:val="right"/>
              <w:rPr>
                <w:rFonts w:ascii="Calibri" w:eastAsia="Times New Roman" w:hAnsi="Calibri"/>
                <w:color w:val="000000"/>
                <w:lang w:eastAsia="fr-FR"/>
              </w:rPr>
            </w:pPr>
            <w:r w:rsidRPr="00E62F6B">
              <w:rPr>
                <w:rFonts w:ascii="Calibri" w:eastAsia="Times New Roman" w:hAnsi="Calibri"/>
                <w:color w:val="000000"/>
                <w:sz w:val="22"/>
                <w:szCs w:val="22"/>
                <w:lang w:eastAsia="fr-FR"/>
              </w:rPr>
              <w:t>990</w:t>
            </w:r>
            <w:r w:rsidR="005F5218">
              <w:rPr>
                <w:rFonts w:ascii="Calibri" w:eastAsia="Times New Roman" w:hAnsi="Calibri"/>
                <w:color w:val="000000"/>
                <w:sz w:val="22"/>
                <w:szCs w:val="22"/>
                <w:lang w:eastAsia="fr-FR"/>
              </w:rPr>
              <w:t>.</w:t>
            </w:r>
            <w:r w:rsidRPr="00E62F6B">
              <w:rPr>
                <w:rFonts w:ascii="Calibri" w:eastAsia="Times New Roman" w:hAnsi="Calibri"/>
                <w:color w:val="000000"/>
                <w:sz w:val="22"/>
                <w:szCs w:val="22"/>
                <w:lang w:eastAsia="fr-FR"/>
              </w:rPr>
              <w:t>33</w:t>
            </w:r>
          </w:p>
        </w:tc>
        <w:tc>
          <w:tcPr>
            <w:tcW w:w="864" w:type="dxa"/>
            <w:tcBorders>
              <w:top w:val="nil"/>
              <w:left w:val="nil"/>
              <w:bottom w:val="nil"/>
              <w:right w:val="nil"/>
            </w:tcBorders>
            <w:shd w:val="clear" w:color="000000" w:fill="FFFFFF"/>
            <w:noWrap/>
            <w:vAlign w:val="bottom"/>
            <w:hideMark/>
          </w:tcPr>
          <w:p w:rsidR="00F75EA9" w:rsidRPr="00E62F6B" w:rsidRDefault="00F75EA9" w:rsidP="005F5218">
            <w:pPr>
              <w:spacing w:after="0" w:line="240" w:lineRule="auto"/>
              <w:jc w:val="right"/>
              <w:rPr>
                <w:rFonts w:ascii="Calibri" w:eastAsia="Times New Roman" w:hAnsi="Calibri"/>
                <w:color w:val="000000"/>
                <w:lang w:eastAsia="fr-FR"/>
              </w:rPr>
            </w:pPr>
            <w:r w:rsidRPr="00E62F6B">
              <w:rPr>
                <w:rFonts w:ascii="Calibri" w:eastAsia="Times New Roman" w:hAnsi="Calibri"/>
                <w:color w:val="000000"/>
                <w:sz w:val="22"/>
                <w:szCs w:val="22"/>
                <w:lang w:eastAsia="fr-FR"/>
              </w:rPr>
              <w:t>1072</w:t>
            </w:r>
            <w:r w:rsidR="005F5218">
              <w:rPr>
                <w:rFonts w:ascii="Calibri" w:eastAsia="Times New Roman" w:hAnsi="Calibri"/>
                <w:color w:val="000000"/>
                <w:sz w:val="22"/>
                <w:szCs w:val="22"/>
                <w:lang w:eastAsia="fr-FR"/>
              </w:rPr>
              <w:t>.</w:t>
            </w:r>
            <w:r w:rsidRPr="00E62F6B">
              <w:rPr>
                <w:rFonts w:ascii="Calibri" w:eastAsia="Times New Roman" w:hAnsi="Calibri"/>
                <w:color w:val="000000"/>
                <w:sz w:val="22"/>
                <w:szCs w:val="22"/>
                <w:lang w:eastAsia="fr-FR"/>
              </w:rPr>
              <w:t>93</w:t>
            </w:r>
          </w:p>
        </w:tc>
        <w:tc>
          <w:tcPr>
            <w:tcW w:w="380" w:type="dxa"/>
            <w:tcBorders>
              <w:top w:val="nil"/>
              <w:left w:val="nil"/>
              <w:bottom w:val="nil"/>
              <w:right w:val="nil"/>
            </w:tcBorders>
            <w:shd w:val="clear" w:color="000000" w:fill="FFFFFF"/>
            <w:noWrap/>
            <w:vAlign w:val="bottom"/>
            <w:hideMark/>
          </w:tcPr>
          <w:p w:rsidR="00F75EA9" w:rsidRPr="00E62F6B" w:rsidRDefault="00F75EA9" w:rsidP="008E776E">
            <w:pPr>
              <w:spacing w:after="0" w:line="240" w:lineRule="auto"/>
              <w:rPr>
                <w:rFonts w:ascii="Calibri" w:eastAsia="Times New Roman" w:hAnsi="Calibri"/>
                <w:color w:val="000000"/>
                <w:lang w:eastAsia="fr-FR"/>
              </w:rPr>
            </w:pPr>
            <w:r w:rsidRPr="00E62F6B">
              <w:rPr>
                <w:rFonts w:ascii="Calibri" w:eastAsia="Times New Roman" w:hAnsi="Calibri"/>
                <w:color w:val="000000"/>
                <w:sz w:val="22"/>
                <w:szCs w:val="22"/>
                <w:lang w:eastAsia="fr-FR"/>
              </w:rPr>
              <w:t> </w:t>
            </w:r>
          </w:p>
        </w:tc>
        <w:tc>
          <w:tcPr>
            <w:tcW w:w="1025" w:type="dxa"/>
            <w:tcBorders>
              <w:top w:val="nil"/>
              <w:left w:val="nil"/>
              <w:bottom w:val="nil"/>
              <w:right w:val="nil"/>
            </w:tcBorders>
            <w:shd w:val="clear" w:color="000000" w:fill="FFFFFF"/>
            <w:noWrap/>
            <w:vAlign w:val="bottom"/>
            <w:hideMark/>
          </w:tcPr>
          <w:p w:rsidR="00F75EA9" w:rsidRPr="00E62F6B" w:rsidRDefault="00F75EA9" w:rsidP="005F5218">
            <w:pPr>
              <w:spacing w:after="0" w:line="240" w:lineRule="auto"/>
              <w:jc w:val="right"/>
              <w:rPr>
                <w:rFonts w:ascii="Calibri" w:eastAsia="Times New Roman" w:hAnsi="Calibri"/>
                <w:color w:val="000000"/>
                <w:lang w:eastAsia="fr-FR"/>
              </w:rPr>
            </w:pPr>
            <w:r w:rsidRPr="00E62F6B">
              <w:rPr>
                <w:rFonts w:ascii="Calibri" w:eastAsia="Times New Roman" w:hAnsi="Calibri"/>
                <w:color w:val="000000"/>
                <w:sz w:val="22"/>
                <w:szCs w:val="22"/>
                <w:lang w:eastAsia="fr-FR"/>
              </w:rPr>
              <w:t>-422</w:t>
            </w:r>
            <w:r w:rsidR="005F5218">
              <w:rPr>
                <w:rFonts w:ascii="Calibri" w:eastAsia="Times New Roman" w:hAnsi="Calibri"/>
                <w:color w:val="000000"/>
                <w:sz w:val="22"/>
                <w:szCs w:val="22"/>
                <w:lang w:eastAsia="fr-FR"/>
              </w:rPr>
              <w:t>.</w:t>
            </w:r>
            <w:r w:rsidRPr="00E62F6B">
              <w:rPr>
                <w:rFonts w:ascii="Calibri" w:eastAsia="Times New Roman" w:hAnsi="Calibri"/>
                <w:color w:val="000000"/>
                <w:sz w:val="22"/>
                <w:szCs w:val="22"/>
                <w:lang w:eastAsia="fr-FR"/>
              </w:rPr>
              <w:t>76</w:t>
            </w:r>
          </w:p>
        </w:tc>
        <w:tc>
          <w:tcPr>
            <w:tcW w:w="1055" w:type="dxa"/>
            <w:tcBorders>
              <w:top w:val="nil"/>
              <w:left w:val="nil"/>
              <w:bottom w:val="nil"/>
              <w:right w:val="nil"/>
            </w:tcBorders>
            <w:shd w:val="clear" w:color="000000" w:fill="FFFFFF"/>
            <w:noWrap/>
            <w:vAlign w:val="bottom"/>
            <w:hideMark/>
          </w:tcPr>
          <w:p w:rsidR="00F75EA9" w:rsidRPr="00E62F6B" w:rsidRDefault="00F75EA9" w:rsidP="005F5218">
            <w:pPr>
              <w:spacing w:after="0" w:line="240" w:lineRule="auto"/>
              <w:jc w:val="right"/>
              <w:rPr>
                <w:rFonts w:ascii="Calibri" w:eastAsia="Times New Roman" w:hAnsi="Calibri"/>
                <w:color w:val="000000"/>
                <w:lang w:eastAsia="fr-FR"/>
              </w:rPr>
            </w:pPr>
            <w:r w:rsidRPr="00E62F6B">
              <w:rPr>
                <w:rFonts w:ascii="Calibri" w:eastAsia="Times New Roman" w:hAnsi="Calibri"/>
                <w:color w:val="000000"/>
                <w:sz w:val="22"/>
                <w:szCs w:val="22"/>
                <w:lang w:eastAsia="fr-FR"/>
              </w:rPr>
              <w:t>-383</w:t>
            </w:r>
            <w:r w:rsidR="005F5218">
              <w:rPr>
                <w:rFonts w:ascii="Calibri" w:eastAsia="Times New Roman" w:hAnsi="Calibri"/>
                <w:color w:val="000000"/>
                <w:sz w:val="22"/>
                <w:szCs w:val="22"/>
                <w:lang w:eastAsia="fr-FR"/>
              </w:rPr>
              <w:t>.</w:t>
            </w:r>
            <w:r w:rsidRPr="00E62F6B">
              <w:rPr>
                <w:rFonts w:ascii="Calibri" w:eastAsia="Times New Roman" w:hAnsi="Calibri"/>
                <w:color w:val="000000"/>
                <w:sz w:val="22"/>
                <w:szCs w:val="22"/>
                <w:lang w:eastAsia="fr-FR"/>
              </w:rPr>
              <w:t>88</w:t>
            </w:r>
          </w:p>
        </w:tc>
      </w:tr>
      <w:tr w:rsidR="00F75EA9" w:rsidRPr="00E62F6B" w:rsidTr="00230AF4">
        <w:trPr>
          <w:trHeight w:val="300"/>
          <w:jc w:val="center"/>
        </w:trPr>
        <w:tc>
          <w:tcPr>
            <w:tcW w:w="2000" w:type="dxa"/>
            <w:tcBorders>
              <w:top w:val="nil"/>
              <w:left w:val="nil"/>
              <w:bottom w:val="nil"/>
              <w:right w:val="nil"/>
            </w:tcBorders>
            <w:shd w:val="clear" w:color="000000" w:fill="FFFFFF"/>
            <w:noWrap/>
            <w:vAlign w:val="bottom"/>
            <w:hideMark/>
          </w:tcPr>
          <w:p w:rsidR="00F75EA9" w:rsidRPr="00E62F6B" w:rsidRDefault="00F75EA9" w:rsidP="008E776E">
            <w:pPr>
              <w:spacing w:after="0" w:line="240" w:lineRule="auto"/>
              <w:rPr>
                <w:rFonts w:ascii="Calibri" w:eastAsia="Times New Roman" w:hAnsi="Calibri"/>
                <w:color w:val="000000"/>
                <w:lang w:eastAsia="fr-FR"/>
              </w:rPr>
            </w:pPr>
            <w:r w:rsidRPr="00E62F6B">
              <w:rPr>
                <w:rFonts w:ascii="Calibri" w:eastAsia="Times New Roman" w:hAnsi="Calibri"/>
                <w:color w:val="000000"/>
                <w:sz w:val="22"/>
                <w:szCs w:val="22"/>
                <w:lang w:eastAsia="fr-FR"/>
              </w:rPr>
              <w:t>4</w:t>
            </w:r>
          </w:p>
        </w:tc>
        <w:tc>
          <w:tcPr>
            <w:tcW w:w="864" w:type="dxa"/>
            <w:tcBorders>
              <w:top w:val="nil"/>
              <w:left w:val="nil"/>
              <w:bottom w:val="nil"/>
              <w:right w:val="nil"/>
            </w:tcBorders>
            <w:shd w:val="clear" w:color="000000" w:fill="FFFFFF"/>
            <w:noWrap/>
            <w:vAlign w:val="bottom"/>
            <w:hideMark/>
          </w:tcPr>
          <w:p w:rsidR="00F75EA9" w:rsidRPr="00E62F6B" w:rsidRDefault="00F75EA9" w:rsidP="005F5218">
            <w:pPr>
              <w:spacing w:after="0" w:line="240" w:lineRule="auto"/>
              <w:jc w:val="right"/>
              <w:rPr>
                <w:rFonts w:ascii="Calibri" w:eastAsia="Times New Roman" w:hAnsi="Calibri"/>
                <w:color w:val="000000"/>
                <w:lang w:eastAsia="fr-FR"/>
              </w:rPr>
            </w:pPr>
            <w:r w:rsidRPr="00E62F6B">
              <w:rPr>
                <w:rFonts w:ascii="Calibri" w:eastAsia="Times New Roman" w:hAnsi="Calibri"/>
                <w:color w:val="000000"/>
                <w:sz w:val="22"/>
                <w:szCs w:val="22"/>
                <w:lang w:eastAsia="fr-FR"/>
              </w:rPr>
              <w:t>879</w:t>
            </w:r>
            <w:r w:rsidR="005F5218">
              <w:rPr>
                <w:rFonts w:ascii="Calibri" w:eastAsia="Times New Roman" w:hAnsi="Calibri"/>
                <w:color w:val="000000"/>
                <w:sz w:val="22"/>
                <w:szCs w:val="22"/>
                <w:lang w:eastAsia="fr-FR"/>
              </w:rPr>
              <w:t>.</w:t>
            </w:r>
            <w:r w:rsidRPr="00E62F6B">
              <w:rPr>
                <w:rFonts w:ascii="Calibri" w:eastAsia="Times New Roman" w:hAnsi="Calibri"/>
                <w:color w:val="000000"/>
                <w:sz w:val="22"/>
                <w:szCs w:val="22"/>
                <w:lang w:eastAsia="fr-FR"/>
              </w:rPr>
              <w:t>9</w:t>
            </w:r>
          </w:p>
        </w:tc>
        <w:tc>
          <w:tcPr>
            <w:tcW w:w="864" w:type="dxa"/>
            <w:tcBorders>
              <w:top w:val="nil"/>
              <w:left w:val="nil"/>
              <w:bottom w:val="nil"/>
              <w:right w:val="nil"/>
            </w:tcBorders>
            <w:shd w:val="clear" w:color="000000" w:fill="FFFFFF"/>
            <w:noWrap/>
            <w:vAlign w:val="bottom"/>
            <w:hideMark/>
          </w:tcPr>
          <w:p w:rsidR="00F75EA9" w:rsidRPr="00E62F6B" w:rsidRDefault="00F75EA9" w:rsidP="005F5218">
            <w:pPr>
              <w:spacing w:after="0" w:line="240" w:lineRule="auto"/>
              <w:jc w:val="right"/>
              <w:rPr>
                <w:rFonts w:ascii="Calibri" w:eastAsia="Times New Roman" w:hAnsi="Calibri"/>
                <w:color w:val="000000"/>
                <w:lang w:eastAsia="fr-FR"/>
              </w:rPr>
            </w:pPr>
            <w:r w:rsidRPr="00E62F6B">
              <w:rPr>
                <w:rFonts w:ascii="Calibri" w:eastAsia="Times New Roman" w:hAnsi="Calibri"/>
                <w:color w:val="000000"/>
                <w:sz w:val="22"/>
                <w:szCs w:val="22"/>
                <w:lang w:eastAsia="fr-FR"/>
              </w:rPr>
              <w:t>931</w:t>
            </w:r>
            <w:r w:rsidR="005F5218">
              <w:rPr>
                <w:rFonts w:ascii="Calibri" w:eastAsia="Times New Roman" w:hAnsi="Calibri"/>
                <w:color w:val="000000"/>
                <w:sz w:val="22"/>
                <w:szCs w:val="22"/>
                <w:lang w:eastAsia="fr-FR"/>
              </w:rPr>
              <w:t>.</w:t>
            </w:r>
            <w:r w:rsidRPr="00E62F6B">
              <w:rPr>
                <w:rFonts w:ascii="Calibri" w:eastAsia="Times New Roman" w:hAnsi="Calibri"/>
                <w:color w:val="000000"/>
                <w:sz w:val="22"/>
                <w:szCs w:val="22"/>
                <w:lang w:eastAsia="fr-FR"/>
              </w:rPr>
              <w:t>61</w:t>
            </w:r>
          </w:p>
        </w:tc>
        <w:tc>
          <w:tcPr>
            <w:tcW w:w="380" w:type="dxa"/>
            <w:tcBorders>
              <w:top w:val="nil"/>
              <w:left w:val="nil"/>
              <w:bottom w:val="nil"/>
              <w:right w:val="nil"/>
            </w:tcBorders>
            <w:shd w:val="clear" w:color="000000" w:fill="FFFFFF"/>
            <w:noWrap/>
            <w:vAlign w:val="bottom"/>
            <w:hideMark/>
          </w:tcPr>
          <w:p w:rsidR="00F75EA9" w:rsidRPr="00E62F6B" w:rsidRDefault="00F75EA9" w:rsidP="008E776E">
            <w:pPr>
              <w:spacing w:after="0" w:line="240" w:lineRule="auto"/>
              <w:rPr>
                <w:rFonts w:ascii="Calibri" w:eastAsia="Times New Roman" w:hAnsi="Calibri"/>
                <w:color w:val="000000"/>
                <w:lang w:eastAsia="fr-FR"/>
              </w:rPr>
            </w:pPr>
            <w:r w:rsidRPr="00E62F6B">
              <w:rPr>
                <w:rFonts w:ascii="Calibri" w:eastAsia="Times New Roman" w:hAnsi="Calibri"/>
                <w:color w:val="000000"/>
                <w:sz w:val="22"/>
                <w:szCs w:val="22"/>
                <w:lang w:eastAsia="fr-FR"/>
              </w:rPr>
              <w:t> </w:t>
            </w:r>
          </w:p>
        </w:tc>
        <w:tc>
          <w:tcPr>
            <w:tcW w:w="1025" w:type="dxa"/>
            <w:tcBorders>
              <w:top w:val="nil"/>
              <w:left w:val="nil"/>
              <w:bottom w:val="nil"/>
              <w:right w:val="nil"/>
            </w:tcBorders>
            <w:shd w:val="clear" w:color="000000" w:fill="FFFFFF"/>
            <w:noWrap/>
            <w:vAlign w:val="bottom"/>
            <w:hideMark/>
          </w:tcPr>
          <w:p w:rsidR="00F75EA9" w:rsidRPr="00E62F6B" w:rsidRDefault="00F75EA9" w:rsidP="005F5218">
            <w:pPr>
              <w:spacing w:after="0" w:line="240" w:lineRule="auto"/>
              <w:jc w:val="right"/>
              <w:rPr>
                <w:rFonts w:ascii="Calibri" w:eastAsia="Times New Roman" w:hAnsi="Calibri"/>
                <w:color w:val="000000"/>
                <w:lang w:eastAsia="fr-FR"/>
              </w:rPr>
            </w:pPr>
            <w:r w:rsidRPr="00E62F6B">
              <w:rPr>
                <w:rFonts w:ascii="Calibri" w:eastAsia="Times New Roman" w:hAnsi="Calibri"/>
                <w:color w:val="000000"/>
                <w:sz w:val="22"/>
                <w:szCs w:val="22"/>
                <w:lang w:eastAsia="fr-FR"/>
              </w:rPr>
              <w:t>-538</w:t>
            </w:r>
            <w:r w:rsidR="005F5218">
              <w:rPr>
                <w:rFonts w:ascii="Calibri" w:eastAsia="Times New Roman" w:hAnsi="Calibri"/>
                <w:color w:val="000000"/>
                <w:sz w:val="22"/>
                <w:szCs w:val="22"/>
                <w:lang w:eastAsia="fr-FR"/>
              </w:rPr>
              <w:t>.</w:t>
            </w:r>
            <w:r w:rsidRPr="00E62F6B">
              <w:rPr>
                <w:rFonts w:ascii="Calibri" w:eastAsia="Times New Roman" w:hAnsi="Calibri"/>
                <w:color w:val="000000"/>
                <w:sz w:val="22"/>
                <w:szCs w:val="22"/>
                <w:lang w:eastAsia="fr-FR"/>
              </w:rPr>
              <w:t>52</w:t>
            </w:r>
          </w:p>
        </w:tc>
        <w:tc>
          <w:tcPr>
            <w:tcW w:w="1055" w:type="dxa"/>
            <w:tcBorders>
              <w:top w:val="nil"/>
              <w:left w:val="nil"/>
              <w:bottom w:val="nil"/>
              <w:right w:val="nil"/>
            </w:tcBorders>
            <w:shd w:val="clear" w:color="000000" w:fill="FFFFFF"/>
            <w:noWrap/>
            <w:vAlign w:val="bottom"/>
            <w:hideMark/>
          </w:tcPr>
          <w:p w:rsidR="00F75EA9" w:rsidRPr="00E62F6B" w:rsidRDefault="00F75EA9" w:rsidP="005F5218">
            <w:pPr>
              <w:spacing w:after="0" w:line="240" w:lineRule="auto"/>
              <w:ind w:left="95" w:hanging="95"/>
              <w:jc w:val="right"/>
              <w:rPr>
                <w:rFonts w:ascii="Calibri" w:eastAsia="Times New Roman" w:hAnsi="Calibri"/>
                <w:color w:val="000000"/>
                <w:lang w:eastAsia="fr-FR"/>
              </w:rPr>
            </w:pPr>
            <w:r w:rsidRPr="00E62F6B">
              <w:rPr>
                <w:rFonts w:ascii="Calibri" w:eastAsia="Times New Roman" w:hAnsi="Calibri"/>
                <w:color w:val="000000"/>
                <w:sz w:val="22"/>
                <w:szCs w:val="22"/>
                <w:lang w:eastAsia="fr-FR"/>
              </w:rPr>
              <w:t>-485</w:t>
            </w:r>
            <w:r w:rsidR="005F5218">
              <w:rPr>
                <w:rFonts w:ascii="Calibri" w:eastAsia="Times New Roman" w:hAnsi="Calibri"/>
                <w:color w:val="000000"/>
                <w:sz w:val="22"/>
                <w:szCs w:val="22"/>
                <w:lang w:eastAsia="fr-FR"/>
              </w:rPr>
              <w:t>.</w:t>
            </w:r>
            <w:r w:rsidRPr="00E62F6B">
              <w:rPr>
                <w:rFonts w:ascii="Calibri" w:eastAsia="Times New Roman" w:hAnsi="Calibri"/>
                <w:color w:val="000000"/>
                <w:sz w:val="22"/>
                <w:szCs w:val="22"/>
                <w:lang w:eastAsia="fr-FR"/>
              </w:rPr>
              <w:t>07</w:t>
            </w:r>
          </w:p>
        </w:tc>
      </w:tr>
      <w:tr w:rsidR="00F75EA9" w:rsidRPr="00E62F6B" w:rsidTr="00230AF4">
        <w:trPr>
          <w:trHeight w:val="300"/>
          <w:jc w:val="center"/>
        </w:trPr>
        <w:tc>
          <w:tcPr>
            <w:tcW w:w="2000" w:type="dxa"/>
            <w:tcBorders>
              <w:top w:val="nil"/>
              <w:left w:val="nil"/>
              <w:bottom w:val="nil"/>
              <w:right w:val="nil"/>
            </w:tcBorders>
            <w:shd w:val="clear" w:color="000000" w:fill="FFFFFF"/>
            <w:noWrap/>
            <w:vAlign w:val="bottom"/>
            <w:hideMark/>
          </w:tcPr>
          <w:p w:rsidR="00F75EA9" w:rsidRPr="00E62F6B" w:rsidRDefault="00F75EA9" w:rsidP="008E776E">
            <w:pPr>
              <w:spacing w:after="0" w:line="240" w:lineRule="auto"/>
              <w:rPr>
                <w:rFonts w:ascii="Calibri" w:eastAsia="Times New Roman" w:hAnsi="Calibri"/>
                <w:color w:val="000000"/>
                <w:lang w:eastAsia="fr-FR"/>
              </w:rPr>
            </w:pPr>
            <w:r w:rsidRPr="00E62F6B">
              <w:rPr>
                <w:rFonts w:ascii="Calibri" w:eastAsia="Times New Roman" w:hAnsi="Calibri"/>
                <w:color w:val="000000"/>
                <w:sz w:val="22"/>
                <w:szCs w:val="22"/>
                <w:lang w:eastAsia="fr-FR"/>
              </w:rPr>
              <w:t>5</w:t>
            </w:r>
          </w:p>
        </w:tc>
        <w:tc>
          <w:tcPr>
            <w:tcW w:w="864" w:type="dxa"/>
            <w:tcBorders>
              <w:top w:val="nil"/>
              <w:left w:val="nil"/>
              <w:bottom w:val="nil"/>
              <w:right w:val="nil"/>
            </w:tcBorders>
            <w:shd w:val="clear" w:color="000000" w:fill="FFFFFF"/>
            <w:noWrap/>
            <w:vAlign w:val="bottom"/>
            <w:hideMark/>
          </w:tcPr>
          <w:p w:rsidR="00F75EA9" w:rsidRPr="00496B12" w:rsidRDefault="00F75EA9" w:rsidP="005F5218">
            <w:pPr>
              <w:spacing w:after="0" w:line="240" w:lineRule="auto"/>
              <w:jc w:val="right"/>
              <w:rPr>
                <w:rFonts w:ascii="Calibri" w:eastAsia="Times New Roman" w:hAnsi="Calibri"/>
                <w:color w:val="000000"/>
                <w:lang w:eastAsia="fr-FR"/>
              </w:rPr>
            </w:pPr>
            <w:r w:rsidRPr="00496B12">
              <w:rPr>
                <w:rFonts w:ascii="Calibri" w:eastAsia="Times New Roman" w:hAnsi="Calibri"/>
                <w:color w:val="000000"/>
                <w:sz w:val="22"/>
                <w:szCs w:val="22"/>
                <w:lang w:eastAsia="fr-FR"/>
              </w:rPr>
              <w:t>800</w:t>
            </w:r>
            <w:r w:rsidR="005F5218" w:rsidRPr="00496B12">
              <w:rPr>
                <w:rFonts w:ascii="Calibri" w:eastAsia="Times New Roman" w:hAnsi="Calibri"/>
                <w:color w:val="000000"/>
                <w:sz w:val="22"/>
                <w:szCs w:val="22"/>
                <w:lang w:eastAsia="fr-FR"/>
              </w:rPr>
              <w:t>.</w:t>
            </w:r>
            <w:r w:rsidRPr="00496B12">
              <w:rPr>
                <w:rFonts w:ascii="Calibri" w:eastAsia="Times New Roman" w:hAnsi="Calibri"/>
                <w:color w:val="000000"/>
                <w:sz w:val="22"/>
                <w:szCs w:val="22"/>
                <w:lang w:eastAsia="fr-FR"/>
              </w:rPr>
              <w:t>35</w:t>
            </w:r>
          </w:p>
        </w:tc>
        <w:tc>
          <w:tcPr>
            <w:tcW w:w="864" w:type="dxa"/>
            <w:tcBorders>
              <w:top w:val="nil"/>
              <w:left w:val="nil"/>
              <w:bottom w:val="nil"/>
              <w:right w:val="nil"/>
            </w:tcBorders>
            <w:shd w:val="clear" w:color="000000" w:fill="FFFFFF"/>
            <w:noWrap/>
            <w:vAlign w:val="bottom"/>
            <w:hideMark/>
          </w:tcPr>
          <w:p w:rsidR="00F75EA9" w:rsidRPr="00496B12" w:rsidRDefault="00F75EA9" w:rsidP="005F5218">
            <w:pPr>
              <w:spacing w:after="0" w:line="240" w:lineRule="auto"/>
              <w:jc w:val="right"/>
              <w:rPr>
                <w:rFonts w:ascii="Calibri" w:eastAsia="Times New Roman" w:hAnsi="Calibri"/>
                <w:color w:val="000000"/>
                <w:lang w:eastAsia="fr-FR"/>
              </w:rPr>
            </w:pPr>
            <w:r w:rsidRPr="00496B12">
              <w:rPr>
                <w:rFonts w:ascii="Calibri" w:eastAsia="Times New Roman" w:hAnsi="Calibri"/>
                <w:color w:val="000000"/>
                <w:sz w:val="22"/>
                <w:szCs w:val="22"/>
                <w:lang w:eastAsia="fr-FR"/>
              </w:rPr>
              <w:t>866</w:t>
            </w:r>
            <w:r w:rsidR="005F5218" w:rsidRPr="00496B12">
              <w:rPr>
                <w:rFonts w:ascii="Calibri" w:eastAsia="Times New Roman" w:hAnsi="Calibri"/>
                <w:color w:val="000000"/>
                <w:sz w:val="22"/>
                <w:szCs w:val="22"/>
                <w:lang w:eastAsia="fr-FR"/>
              </w:rPr>
              <w:t>.</w:t>
            </w:r>
            <w:r w:rsidRPr="00496B12">
              <w:rPr>
                <w:rFonts w:ascii="Calibri" w:eastAsia="Times New Roman" w:hAnsi="Calibri"/>
                <w:color w:val="000000"/>
                <w:sz w:val="22"/>
                <w:szCs w:val="22"/>
                <w:lang w:eastAsia="fr-FR"/>
              </w:rPr>
              <w:t>16</w:t>
            </w:r>
          </w:p>
        </w:tc>
        <w:tc>
          <w:tcPr>
            <w:tcW w:w="380" w:type="dxa"/>
            <w:tcBorders>
              <w:top w:val="nil"/>
              <w:left w:val="nil"/>
              <w:bottom w:val="nil"/>
              <w:right w:val="nil"/>
            </w:tcBorders>
            <w:shd w:val="clear" w:color="000000" w:fill="FFFFFF"/>
            <w:noWrap/>
            <w:vAlign w:val="bottom"/>
            <w:hideMark/>
          </w:tcPr>
          <w:p w:rsidR="00F75EA9" w:rsidRPr="00496B12" w:rsidRDefault="00F75EA9" w:rsidP="008E776E">
            <w:pPr>
              <w:spacing w:after="0" w:line="240" w:lineRule="auto"/>
              <w:rPr>
                <w:rFonts w:ascii="Calibri" w:eastAsia="Times New Roman" w:hAnsi="Calibri"/>
                <w:color w:val="000000"/>
                <w:lang w:eastAsia="fr-FR"/>
              </w:rPr>
            </w:pPr>
            <w:r w:rsidRPr="00496B12">
              <w:rPr>
                <w:rFonts w:ascii="Calibri" w:eastAsia="Times New Roman" w:hAnsi="Calibri"/>
                <w:color w:val="000000"/>
                <w:sz w:val="22"/>
                <w:szCs w:val="22"/>
                <w:lang w:eastAsia="fr-FR"/>
              </w:rPr>
              <w:t> </w:t>
            </w:r>
          </w:p>
        </w:tc>
        <w:tc>
          <w:tcPr>
            <w:tcW w:w="1025" w:type="dxa"/>
            <w:tcBorders>
              <w:top w:val="nil"/>
              <w:left w:val="nil"/>
              <w:bottom w:val="nil"/>
              <w:right w:val="nil"/>
            </w:tcBorders>
            <w:shd w:val="clear" w:color="000000" w:fill="FFFFFF"/>
            <w:noWrap/>
            <w:vAlign w:val="bottom"/>
            <w:hideMark/>
          </w:tcPr>
          <w:p w:rsidR="00F75EA9" w:rsidRPr="00496B12" w:rsidRDefault="00F75EA9" w:rsidP="005F5218">
            <w:pPr>
              <w:spacing w:after="0" w:line="240" w:lineRule="auto"/>
              <w:jc w:val="right"/>
              <w:rPr>
                <w:rFonts w:ascii="Calibri" w:eastAsia="Times New Roman" w:hAnsi="Calibri"/>
                <w:bCs/>
                <w:color w:val="000000"/>
                <w:lang w:eastAsia="fr-FR"/>
              </w:rPr>
            </w:pPr>
            <w:r w:rsidRPr="00496B12">
              <w:rPr>
                <w:rFonts w:ascii="Calibri" w:eastAsia="Times New Roman" w:hAnsi="Calibri"/>
                <w:bCs/>
                <w:color w:val="000000"/>
                <w:sz w:val="22"/>
                <w:szCs w:val="22"/>
                <w:lang w:eastAsia="fr-FR"/>
              </w:rPr>
              <w:t>-554</w:t>
            </w:r>
            <w:r w:rsidR="005F5218" w:rsidRPr="00496B12">
              <w:rPr>
                <w:rFonts w:ascii="Calibri" w:eastAsia="Times New Roman" w:hAnsi="Calibri"/>
                <w:bCs/>
                <w:color w:val="000000"/>
                <w:sz w:val="22"/>
                <w:szCs w:val="22"/>
                <w:lang w:eastAsia="fr-FR"/>
              </w:rPr>
              <w:t>.</w:t>
            </w:r>
            <w:r w:rsidRPr="00496B12">
              <w:rPr>
                <w:rFonts w:ascii="Calibri" w:eastAsia="Times New Roman" w:hAnsi="Calibri"/>
                <w:bCs/>
                <w:color w:val="000000"/>
                <w:sz w:val="22"/>
                <w:szCs w:val="22"/>
                <w:lang w:eastAsia="fr-FR"/>
              </w:rPr>
              <w:t>71</w:t>
            </w:r>
          </w:p>
        </w:tc>
        <w:tc>
          <w:tcPr>
            <w:tcW w:w="1055" w:type="dxa"/>
            <w:tcBorders>
              <w:top w:val="nil"/>
              <w:left w:val="nil"/>
              <w:bottom w:val="nil"/>
              <w:right w:val="nil"/>
            </w:tcBorders>
            <w:shd w:val="clear" w:color="000000" w:fill="FFFFFF"/>
            <w:noWrap/>
            <w:vAlign w:val="bottom"/>
            <w:hideMark/>
          </w:tcPr>
          <w:p w:rsidR="00F75EA9" w:rsidRPr="00496B12" w:rsidRDefault="00F75EA9" w:rsidP="005F5218">
            <w:pPr>
              <w:spacing w:after="0" w:line="240" w:lineRule="auto"/>
              <w:jc w:val="right"/>
              <w:rPr>
                <w:rFonts w:ascii="Calibri" w:eastAsia="Times New Roman" w:hAnsi="Calibri"/>
                <w:b/>
                <w:bCs/>
                <w:color w:val="000000"/>
                <w:lang w:eastAsia="fr-FR"/>
              </w:rPr>
            </w:pPr>
            <w:r w:rsidRPr="00496B12">
              <w:rPr>
                <w:rFonts w:ascii="Calibri" w:eastAsia="Times New Roman" w:hAnsi="Calibri"/>
                <w:b/>
                <w:bCs/>
                <w:color w:val="000000"/>
                <w:sz w:val="22"/>
                <w:szCs w:val="22"/>
                <w:lang w:eastAsia="fr-FR"/>
              </w:rPr>
              <w:t>-486</w:t>
            </w:r>
            <w:r w:rsidR="005F5218" w:rsidRPr="00496B12">
              <w:rPr>
                <w:rFonts w:ascii="Calibri" w:eastAsia="Times New Roman" w:hAnsi="Calibri"/>
                <w:b/>
                <w:bCs/>
                <w:color w:val="000000"/>
                <w:sz w:val="22"/>
                <w:szCs w:val="22"/>
                <w:lang w:eastAsia="fr-FR"/>
              </w:rPr>
              <w:t>.</w:t>
            </w:r>
            <w:r w:rsidRPr="00496B12">
              <w:rPr>
                <w:rFonts w:ascii="Calibri" w:eastAsia="Times New Roman" w:hAnsi="Calibri"/>
                <w:b/>
                <w:bCs/>
                <w:color w:val="000000"/>
                <w:sz w:val="22"/>
                <w:szCs w:val="22"/>
                <w:lang w:eastAsia="fr-FR"/>
              </w:rPr>
              <w:t>67</w:t>
            </w:r>
          </w:p>
        </w:tc>
      </w:tr>
      <w:tr w:rsidR="00F75EA9" w:rsidRPr="005F5218" w:rsidTr="00230AF4">
        <w:trPr>
          <w:trHeight w:val="300"/>
          <w:jc w:val="center"/>
        </w:trPr>
        <w:tc>
          <w:tcPr>
            <w:tcW w:w="2000" w:type="dxa"/>
            <w:tcBorders>
              <w:top w:val="nil"/>
              <w:left w:val="nil"/>
              <w:bottom w:val="single" w:sz="4" w:space="0" w:color="auto"/>
              <w:right w:val="nil"/>
            </w:tcBorders>
            <w:shd w:val="clear" w:color="000000" w:fill="FFFFFF"/>
            <w:noWrap/>
            <w:vAlign w:val="bottom"/>
            <w:hideMark/>
          </w:tcPr>
          <w:p w:rsidR="00F75EA9" w:rsidRPr="00E62F6B" w:rsidRDefault="00F75EA9" w:rsidP="008E776E">
            <w:pPr>
              <w:spacing w:after="0" w:line="240" w:lineRule="auto"/>
              <w:rPr>
                <w:rFonts w:ascii="Calibri" w:eastAsia="Times New Roman" w:hAnsi="Calibri"/>
                <w:color w:val="000000"/>
                <w:lang w:eastAsia="fr-FR"/>
              </w:rPr>
            </w:pPr>
            <w:r w:rsidRPr="00E62F6B">
              <w:rPr>
                <w:rFonts w:ascii="Calibri" w:eastAsia="Times New Roman" w:hAnsi="Calibri"/>
                <w:color w:val="000000"/>
                <w:sz w:val="22"/>
                <w:szCs w:val="22"/>
                <w:lang w:eastAsia="fr-FR"/>
              </w:rPr>
              <w:t>6</w:t>
            </w:r>
          </w:p>
        </w:tc>
        <w:tc>
          <w:tcPr>
            <w:tcW w:w="864" w:type="dxa"/>
            <w:tcBorders>
              <w:top w:val="nil"/>
              <w:left w:val="nil"/>
              <w:bottom w:val="single" w:sz="4" w:space="0" w:color="auto"/>
              <w:right w:val="nil"/>
            </w:tcBorders>
            <w:shd w:val="clear" w:color="000000" w:fill="FFFFFF"/>
            <w:noWrap/>
            <w:vAlign w:val="bottom"/>
            <w:hideMark/>
          </w:tcPr>
          <w:p w:rsidR="00F75EA9" w:rsidRPr="00496B12" w:rsidRDefault="00F75EA9" w:rsidP="005F5218">
            <w:pPr>
              <w:spacing w:after="0" w:line="240" w:lineRule="auto"/>
              <w:jc w:val="right"/>
              <w:rPr>
                <w:rFonts w:ascii="Calibri" w:eastAsia="Times New Roman" w:hAnsi="Calibri"/>
                <w:bCs/>
                <w:color w:val="000000"/>
                <w:lang w:val="en-US" w:eastAsia="fr-FR"/>
              </w:rPr>
            </w:pPr>
            <w:r w:rsidRPr="00496B12">
              <w:rPr>
                <w:rFonts w:ascii="Calibri" w:eastAsia="Times New Roman" w:hAnsi="Calibri"/>
                <w:bCs/>
                <w:color w:val="000000"/>
                <w:sz w:val="22"/>
                <w:szCs w:val="22"/>
                <w:lang w:val="en-US" w:eastAsia="fr-FR"/>
              </w:rPr>
              <w:t>753</w:t>
            </w:r>
            <w:r w:rsidR="005F5218" w:rsidRPr="00496B12">
              <w:rPr>
                <w:rFonts w:ascii="Calibri" w:eastAsia="Times New Roman" w:hAnsi="Calibri"/>
                <w:bCs/>
                <w:color w:val="000000"/>
                <w:sz w:val="22"/>
                <w:szCs w:val="22"/>
                <w:lang w:val="en-US" w:eastAsia="fr-FR"/>
              </w:rPr>
              <w:t>.</w:t>
            </w:r>
            <w:r w:rsidRPr="00496B12">
              <w:rPr>
                <w:rFonts w:ascii="Calibri" w:eastAsia="Times New Roman" w:hAnsi="Calibri"/>
                <w:bCs/>
                <w:color w:val="000000"/>
                <w:sz w:val="22"/>
                <w:szCs w:val="22"/>
                <w:lang w:val="en-US" w:eastAsia="fr-FR"/>
              </w:rPr>
              <w:t>35</w:t>
            </w:r>
          </w:p>
        </w:tc>
        <w:tc>
          <w:tcPr>
            <w:tcW w:w="864" w:type="dxa"/>
            <w:tcBorders>
              <w:top w:val="nil"/>
              <w:left w:val="nil"/>
              <w:bottom w:val="single" w:sz="4" w:space="0" w:color="auto"/>
              <w:right w:val="nil"/>
            </w:tcBorders>
            <w:shd w:val="clear" w:color="000000" w:fill="FFFFFF"/>
            <w:noWrap/>
            <w:vAlign w:val="bottom"/>
            <w:hideMark/>
          </w:tcPr>
          <w:p w:rsidR="00F75EA9" w:rsidRPr="00496B12" w:rsidRDefault="00F75EA9" w:rsidP="005F5218">
            <w:pPr>
              <w:spacing w:after="0" w:line="240" w:lineRule="auto"/>
              <w:jc w:val="right"/>
              <w:rPr>
                <w:rFonts w:ascii="Calibri" w:eastAsia="Times New Roman" w:hAnsi="Calibri"/>
                <w:b/>
                <w:bCs/>
                <w:color w:val="000000"/>
                <w:lang w:val="en-US" w:eastAsia="fr-FR"/>
              </w:rPr>
            </w:pPr>
            <w:r w:rsidRPr="00496B12">
              <w:rPr>
                <w:rFonts w:ascii="Calibri" w:eastAsia="Times New Roman" w:hAnsi="Calibri"/>
                <w:b/>
                <w:bCs/>
                <w:color w:val="000000"/>
                <w:sz w:val="22"/>
                <w:szCs w:val="22"/>
                <w:lang w:val="en-US" w:eastAsia="fr-FR"/>
              </w:rPr>
              <w:t>833</w:t>
            </w:r>
            <w:r w:rsidR="005F5218" w:rsidRPr="00496B12">
              <w:rPr>
                <w:rFonts w:ascii="Calibri" w:eastAsia="Times New Roman" w:hAnsi="Calibri"/>
                <w:b/>
                <w:bCs/>
                <w:color w:val="000000"/>
                <w:sz w:val="22"/>
                <w:szCs w:val="22"/>
                <w:lang w:val="en-US" w:eastAsia="fr-FR"/>
              </w:rPr>
              <w:t>.</w:t>
            </w:r>
            <w:r w:rsidRPr="00496B12">
              <w:rPr>
                <w:rFonts w:ascii="Calibri" w:eastAsia="Times New Roman" w:hAnsi="Calibri"/>
                <w:b/>
                <w:bCs/>
                <w:color w:val="000000"/>
                <w:sz w:val="22"/>
                <w:szCs w:val="22"/>
                <w:lang w:val="en-US" w:eastAsia="fr-FR"/>
              </w:rPr>
              <w:t>26</w:t>
            </w:r>
          </w:p>
        </w:tc>
        <w:tc>
          <w:tcPr>
            <w:tcW w:w="380" w:type="dxa"/>
            <w:tcBorders>
              <w:top w:val="nil"/>
              <w:left w:val="nil"/>
              <w:bottom w:val="single" w:sz="4" w:space="0" w:color="auto"/>
              <w:right w:val="nil"/>
            </w:tcBorders>
            <w:shd w:val="clear" w:color="000000" w:fill="FFFFFF"/>
            <w:noWrap/>
            <w:vAlign w:val="bottom"/>
            <w:hideMark/>
          </w:tcPr>
          <w:p w:rsidR="00F75EA9" w:rsidRPr="00496B12" w:rsidRDefault="00F75EA9" w:rsidP="008E776E">
            <w:pPr>
              <w:spacing w:after="0" w:line="240" w:lineRule="auto"/>
              <w:rPr>
                <w:rFonts w:ascii="Calibri" w:eastAsia="Times New Roman" w:hAnsi="Calibri"/>
                <w:color w:val="000000"/>
                <w:lang w:val="en-US" w:eastAsia="fr-FR"/>
              </w:rPr>
            </w:pPr>
            <w:r w:rsidRPr="00496B12">
              <w:rPr>
                <w:rFonts w:ascii="Calibri" w:eastAsia="Times New Roman" w:hAnsi="Calibri"/>
                <w:color w:val="000000"/>
                <w:sz w:val="22"/>
                <w:szCs w:val="22"/>
                <w:lang w:val="en-US" w:eastAsia="fr-FR"/>
              </w:rPr>
              <w:t> </w:t>
            </w:r>
          </w:p>
        </w:tc>
        <w:tc>
          <w:tcPr>
            <w:tcW w:w="1025" w:type="dxa"/>
            <w:tcBorders>
              <w:top w:val="nil"/>
              <w:left w:val="nil"/>
              <w:bottom w:val="single" w:sz="4" w:space="0" w:color="auto"/>
              <w:right w:val="nil"/>
            </w:tcBorders>
            <w:shd w:val="clear" w:color="000000" w:fill="FFFFFF"/>
            <w:noWrap/>
            <w:vAlign w:val="bottom"/>
            <w:hideMark/>
          </w:tcPr>
          <w:p w:rsidR="00F75EA9" w:rsidRPr="00496B12" w:rsidRDefault="00F75EA9" w:rsidP="005F5218">
            <w:pPr>
              <w:spacing w:after="0" w:line="240" w:lineRule="auto"/>
              <w:jc w:val="right"/>
              <w:rPr>
                <w:rFonts w:ascii="Calibri" w:eastAsia="Times New Roman" w:hAnsi="Calibri"/>
                <w:color w:val="000000"/>
                <w:lang w:val="en-US" w:eastAsia="fr-FR"/>
              </w:rPr>
            </w:pPr>
            <w:r w:rsidRPr="00496B12">
              <w:rPr>
                <w:rFonts w:ascii="Calibri" w:eastAsia="Times New Roman" w:hAnsi="Calibri"/>
                <w:color w:val="000000"/>
                <w:sz w:val="22"/>
                <w:szCs w:val="22"/>
                <w:lang w:val="en-US" w:eastAsia="fr-FR"/>
              </w:rPr>
              <w:t>-557</w:t>
            </w:r>
            <w:r w:rsidR="005F5218" w:rsidRPr="00496B12">
              <w:rPr>
                <w:rFonts w:ascii="Calibri" w:eastAsia="Times New Roman" w:hAnsi="Calibri"/>
                <w:color w:val="000000"/>
                <w:sz w:val="22"/>
                <w:szCs w:val="22"/>
                <w:lang w:val="en-US" w:eastAsia="fr-FR"/>
              </w:rPr>
              <w:t>.</w:t>
            </w:r>
            <w:r w:rsidRPr="00496B12">
              <w:rPr>
                <w:rFonts w:ascii="Calibri" w:eastAsia="Times New Roman" w:hAnsi="Calibri"/>
                <w:color w:val="000000"/>
                <w:sz w:val="22"/>
                <w:szCs w:val="22"/>
                <w:lang w:val="en-US" w:eastAsia="fr-FR"/>
              </w:rPr>
              <w:t>14</w:t>
            </w:r>
          </w:p>
        </w:tc>
        <w:tc>
          <w:tcPr>
            <w:tcW w:w="1055" w:type="dxa"/>
            <w:tcBorders>
              <w:top w:val="nil"/>
              <w:left w:val="nil"/>
              <w:bottom w:val="single" w:sz="4" w:space="0" w:color="auto"/>
              <w:right w:val="nil"/>
            </w:tcBorders>
            <w:shd w:val="clear" w:color="000000" w:fill="FFFFFF"/>
            <w:noWrap/>
            <w:vAlign w:val="bottom"/>
            <w:hideMark/>
          </w:tcPr>
          <w:p w:rsidR="00F75EA9" w:rsidRPr="00496B12" w:rsidRDefault="00F75EA9" w:rsidP="005F5218">
            <w:pPr>
              <w:spacing w:after="0" w:line="240" w:lineRule="auto"/>
              <w:jc w:val="right"/>
              <w:rPr>
                <w:rFonts w:ascii="Calibri" w:eastAsia="Times New Roman" w:hAnsi="Calibri"/>
                <w:color w:val="000000"/>
                <w:lang w:val="en-US" w:eastAsia="fr-FR"/>
              </w:rPr>
            </w:pPr>
            <w:r w:rsidRPr="00496B12">
              <w:rPr>
                <w:rFonts w:ascii="Calibri" w:eastAsia="Times New Roman" w:hAnsi="Calibri"/>
                <w:color w:val="000000"/>
                <w:sz w:val="22"/>
                <w:szCs w:val="22"/>
                <w:lang w:val="en-US" w:eastAsia="fr-FR"/>
              </w:rPr>
              <w:t>-474</w:t>
            </w:r>
            <w:r w:rsidR="005F5218" w:rsidRPr="00496B12">
              <w:rPr>
                <w:rFonts w:ascii="Calibri" w:eastAsia="Times New Roman" w:hAnsi="Calibri"/>
                <w:color w:val="000000"/>
                <w:sz w:val="22"/>
                <w:szCs w:val="22"/>
                <w:lang w:val="en-US" w:eastAsia="fr-FR"/>
              </w:rPr>
              <w:t>.</w:t>
            </w:r>
            <w:r w:rsidRPr="00496B12">
              <w:rPr>
                <w:rFonts w:ascii="Calibri" w:eastAsia="Times New Roman" w:hAnsi="Calibri"/>
                <w:color w:val="000000"/>
                <w:sz w:val="22"/>
                <w:szCs w:val="22"/>
                <w:lang w:val="en-US" w:eastAsia="fr-FR"/>
              </w:rPr>
              <w:t>52</w:t>
            </w:r>
          </w:p>
        </w:tc>
      </w:tr>
    </w:tbl>
    <w:p w:rsidR="00F75EA9" w:rsidRPr="009336CE" w:rsidRDefault="00823375" w:rsidP="00F75EA9">
      <w:pPr>
        <w:spacing w:line="480" w:lineRule="auto"/>
        <w:rPr>
          <w:sz w:val="20"/>
          <w:szCs w:val="20"/>
          <w:lang w:val="en-GB" w:eastAsia="fr-FR"/>
        </w:rPr>
      </w:pPr>
      <w:r>
        <w:rPr>
          <w:sz w:val="20"/>
          <w:szCs w:val="20"/>
          <w:lang w:val="en-GB" w:eastAsia="fr-FR"/>
        </w:rPr>
        <w:t xml:space="preserve">                            </w:t>
      </w:r>
      <w:r w:rsidR="00F75EA9" w:rsidRPr="009336CE">
        <w:rPr>
          <w:sz w:val="20"/>
          <w:szCs w:val="20"/>
          <w:lang w:val="en-GB" w:eastAsia="fr-FR"/>
        </w:rPr>
        <w:t>* AIC: Akaike information criterion; BIC: Bayesian information criterion</w:t>
      </w:r>
    </w:p>
    <w:p w:rsidR="00F75EA9" w:rsidRDefault="00230AF4" w:rsidP="00F75EA9">
      <w:pPr>
        <w:spacing w:line="480" w:lineRule="auto"/>
        <w:rPr>
          <w:lang w:val="en-GB" w:eastAsia="fr-FR"/>
        </w:rPr>
      </w:pPr>
      <w:r>
        <w:rPr>
          <w:lang w:val="en-GB" w:eastAsia="fr-FR"/>
        </w:rPr>
        <w:lastRenderedPageBreak/>
        <w:t xml:space="preserve">For </w:t>
      </w:r>
      <w:r w:rsidR="00C04DED">
        <w:rPr>
          <w:lang w:val="en-GB" w:eastAsia="fr-FR"/>
        </w:rPr>
        <w:t>the year of each survey</w:t>
      </w:r>
      <w:r>
        <w:rPr>
          <w:lang w:val="en-GB" w:eastAsia="fr-FR"/>
        </w:rPr>
        <w:t>, t</w:t>
      </w:r>
      <w:r w:rsidR="00F75EA9">
        <w:rPr>
          <w:lang w:val="en-GB" w:eastAsia="fr-FR"/>
        </w:rPr>
        <w:t xml:space="preserve">he </w:t>
      </w:r>
      <w:r w:rsidR="00976AC2" w:rsidRPr="00915A1E">
        <w:rPr>
          <w:lang w:val="en-GB" w:eastAsia="fr-FR"/>
        </w:rPr>
        <w:t>density functions of the components of the finite mixture models</w:t>
      </w:r>
      <w:r w:rsidR="00F75EA9">
        <w:rPr>
          <w:lang w:val="en-GB" w:eastAsia="fr-FR"/>
        </w:rPr>
        <w:t xml:space="preserve"> provided </w:t>
      </w:r>
      <w:r w:rsidR="00976AC2">
        <w:rPr>
          <w:lang w:val="en-GB" w:eastAsia="fr-FR"/>
        </w:rPr>
        <w:t xml:space="preserve">by </w:t>
      </w:r>
      <w:r w:rsidR="00F75EA9">
        <w:rPr>
          <w:lang w:val="en-GB" w:eastAsia="fr-FR"/>
        </w:rPr>
        <w:t>the</w:t>
      </w:r>
      <w:r w:rsidR="00976AC2">
        <w:rPr>
          <w:lang w:val="en-GB" w:eastAsia="fr-FR"/>
        </w:rPr>
        <w:t xml:space="preserve"> retained model</w:t>
      </w:r>
      <w:r w:rsidR="00F75EA9">
        <w:rPr>
          <w:lang w:val="en-GB" w:eastAsia="fr-FR"/>
        </w:rPr>
        <w:t xml:space="preserve"> are shown in Figure </w:t>
      </w:r>
      <w:r w:rsidR="00670F48">
        <w:rPr>
          <w:lang w:val="en-GB" w:eastAsia="fr-FR"/>
        </w:rPr>
        <w:t>A1</w:t>
      </w:r>
      <w:r w:rsidR="00F75EA9">
        <w:rPr>
          <w:lang w:val="en-GB" w:eastAsia="fr-FR"/>
        </w:rPr>
        <w:t>.</w:t>
      </w:r>
    </w:p>
    <w:p w:rsidR="00F75EA9" w:rsidRPr="00915A1E" w:rsidRDefault="00F75EA9" w:rsidP="00F75EA9">
      <w:pPr>
        <w:pStyle w:val="NoSpacing"/>
        <w:rPr>
          <w:rFonts w:ascii="Times New Roman" w:hAnsi="Times New Roman" w:cs="Times New Roman"/>
          <w:sz w:val="24"/>
          <w:szCs w:val="24"/>
          <w:lang w:val="en-GB" w:eastAsia="fr-FR"/>
        </w:rPr>
      </w:pPr>
      <w:r w:rsidRPr="00915A1E">
        <w:rPr>
          <w:rFonts w:ascii="Times New Roman" w:hAnsi="Times New Roman" w:cs="Times New Roman"/>
          <w:b/>
          <w:sz w:val="24"/>
          <w:szCs w:val="24"/>
          <w:lang w:val="en-GB" w:eastAsia="fr-FR"/>
        </w:rPr>
        <w:t xml:space="preserve">Figure </w:t>
      </w:r>
      <w:r w:rsidR="00670F48" w:rsidRPr="00915A1E">
        <w:rPr>
          <w:rFonts w:ascii="Times New Roman" w:hAnsi="Times New Roman" w:cs="Times New Roman"/>
          <w:b/>
          <w:sz w:val="24"/>
          <w:szCs w:val="24"/>
          <w:lang w:val="en-GB" w:eastAsia="fr-FR"/>
        </w:rPr>
        <w:t>A1</w:t>
      </w:r>
      <w:r w:rsidRPr="00915A1E">
        <w:rPr>
          <w:rFonts w:ascii="Times New Roman" w:hAnsi="Times New Roman" w:cs="Times New Roman"/>
          <w:b/>
          <w:sz w:val="24"/>
          <w:szCs w:val="24"/>
          <w:lang w:val="en-GB" w:eastAsia="fr-FR"/>
        </w:rPr>
        <w:t>.</w:t>
      </w:r>
      <w:r w:rsidRPr="00915A1E">
        <w:rPr>
          <w:rFonts w:ascii="Times New Roman" w:hAnsi="Times New Roman" w:cs="Times New Roman"/>
          <w:sz w:val="24"/>
          <w:szCs w:val="24"/>
          <w:lang w:val="en-GB" w:eastAsia="fr-FR"/>
        </w:rPr>
        <w:t xml:space="preserve"> The density functions of the components of the finite mixture models, France, 2004 and</w:t>
      </w:r>
      <w:r w:rsidR="00915A1E">
        <w:rPr>
          <w:rFonts w:ascii="Times New Roman" w:hAnsi="Times New Roman" w:cs="Times New Roman"/>
          <w:sz w:val="24"/>
          <w:szCs w:val="24"/>
          <w:lang w:val="en-GB" w:eastAsia="fr-FR"/>
        </w:rPr>
        <w:t xml:space="preserve"> </w:t>
      </w:r>
      <w:r w:rsidRPr="00915A1E">
        <w:rPr>
          <w:rFonts w:ascii="Times New Roman" w:hAnsi="Times New Roman" w:cs="Times New Roman"/>
          <w:sz w:val="24"/>
          <w:szCs w:val="24"/>
          <w:lang w:val="en-GB" w:eastAsia="fr-FR"/>
        </w:rPr>
        <w:t xml:space="preserve"> 2011.</w:t>
      </w:r>
    </w:p>
    <w:p w:rsidR="00284AD6" w:rsidRDefault="002C187F" w:rsidP="00823375">
      <w:pPr>
        <w:tabs>
          <w:tab w:val="left" w:pos="993"/>
        </w:tabs>
        <w:spacing w:line="480" w:lineRule="auto"/>
        <w:jc w:val="center"/>
        <w:rPr>
          <w:lang w:val="en-GB" w:eastAsia="fr-FR"/>
        </w:rPr>
      </w:pPr>
      <w:r>
        <w:rPr>
          <w:noProof/>
          <w:lang w:val="en-GB" w:eastAsia="en-GB"/>
        </w:rPr>
        <w:drawing>
          <wp:inline distT="0" distB="0" distL="0" distR="0">
            <wp:extent cx="5401310" cy="3385185"/>
            <wp:effectExtent l="0" t="0" r="889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401310" cy="3385185"/>
                    </a:xfrm>
                    <a:prstGeom prst="rect">
                      <a:avLst/>
                    </a:prstGeom>
                  </pic:spPr>
                </pic:pic>
              </a:graphicData>
            </a:graphic>
          </wp:inline>
        </w:drawing>
      </w:r>
    </w:p>
    <w:p w:rsidR="00F75EA9" w:rsidRDefault="00230AF4" w:rsidP="00284AD6">
      <w:pPr>
        <w:tabs>
          <w:tab w:val="left" w:pos="993"/>
        </w:tabs>
        <w:spacing w:line="480" w:lineRule="auto"/>
        <w:jc w:val="both"/>
        <w:rPr>
          <w:lang w:val="en-GB" w:eastAsia="fr-FR"/>
        </w:rPr>
      </w:pPr>
      <w:r>
        <w:rPr>
          <w:lang w:val="en-GB" w:eastAsia="fr-FR"/>
        </w:rPr>
        <w:t>T</w:t>
      </w:r>
      <w:r w:rsidR="00F75EA9">
        <w:rPr>
          <w:lang w:val="en-GB" w:eastAsia="fr-FR"/>
        </w:rPr>
        <w:t xml:space="preserve">he best model was based on 6 </w:t>
      </w:r>
      <w:r>
        <w:rPr>
          <w:lang w:val="en-GB" w:eastAsia="fr-FR"/>
        </w:rPr>
        <w:t xml:space="preserve">and 5 </w:t>
      </w:r>
      <w:r w:rsidR="00F75EA9">
        <w:rPr>
          <w:lang w:val="en-GB" w:eastAsia="fr-FR"/>
        </w:rPr>
        <w:t xml:space="preserve">component distributions (Table </w:t>
      </w:r>
      <w:r w:rsidR="00670F48">
        <w:rPr>
          <w:lang w:val="en-GB" w:eastAsia="fr-FR"/>
        </w:rPr>
        <w:t>A2</w:t>
      </w:r>
      <w:r w:rsidR="00F75EA9">
        <w:rPr>
          <w:lang w:val="en-GB" w:eastAsia="fr-FR"/>
        </w:rPr>
        <w:t>)</w:t>
      </w:r>
      <w:r>
        <w:rPr>
          <w:lang w:val="en-GB" w:eastAsia="fr-FR"/>
        </w:rPr>
        <w:t xml:space="preserve"> in 2004 and 2011</w:t>
      </w:r>
      <w:r w:rsidR="00C04DED">
        <w:rPr>
          <w:lang w:val="en-GB" w:eastAsia="fr-FR"/>
        </w:rPr>
        <w:t xml:space="preserve">, </w:t>
      </w:r>
      <w:r w:rsidR="00C04DED" w:rsidRPr="00C04DED">
        <w:rPr>
          <w:lang w:val="en-GB" w:eastAsia="fr-FR"/>
        </w:rPr>
        <w:t>respectively</w:t>
      </w:r>
      <w:r w:rsidR="00F75EA9">
        <w:rPr>
          <w:lang w:val="en-GB" w:eastAsia="fr-FR"/>
        </w:rPr>
        <w:t>.</w:t>
      </w:r>
      <w:r w:rsidRPr="00C24C82">
        <w:rPr>
          <w:rStyle w:val="hps"/>
          <w:lang w:val="en-US"/>
        </w:rPr>
        <w:t xml:space="preserve"> Table </w:t>
      </w:r>
      <w:r w:rsidR="00284AD6" w:rsidRPr="00C24C82">
        <w:rPr>
          <w:rStyle w:val="hps"/>
          <w:lang w:val="en-US"/>
        </w:rPr>
        <w:t>A</w:t>
      </w:r>
      <w:r w:rsidRPr="00C24C82">
        <w:rPr>
          <w:rStyle w:val="hps"/>
          <w:lang w:val="en-US"/>
        </w:rPr>
        <w:t>2 indicates the estimated parameters of the mixtures and our interpretation (anti-HCV status) for each component</w:t>
      </w:r>
      <w:r w:rsidR="00F75EA9">
        <w:rPr>
          <w:lang w:val="en-GB" w:eastAsia="fr-FR"/>
        </w:rPr>
        <w:t>.</w:t>
      </w:r>
    </w:p>
    <w:p w:rsidR="00F75EA9" w:rsidRDefault="00F75EA9" w:rsidP="00823375">
      <w:pPr>
        <w:spacing w:line="240" w:lineRule="auto"/>
        <w:rPr>
          <w:lang w:val="en-US" w:eastAsia="fr-FR"/>
        </w:rPr>
      </w:pPr>
      <w:r w:rsidRPr="0070713C">
        <w:rPr>
          <w:b/>
          <w:lang w:val="en-US" w:eastAsia="fr-FR"/>
        </w:rPr>
        <w:t xml:space="preserve">Table </w:t>
      </w:r>
      <w:r w:rsidR="00670F48">
        <w:rPr>
          <w:b/>
          <w:lang w:val="en-US" w:eastAsia="fr-FR"/>
        </w:rPr>
        <w:t>A2</w:t>
      </w:r>
      <w:r w:rsidRPr="0070713C">
        <w:rPr>
          <w:lang w:val="en-US" w:eastAsia="fr-FR"/>
        </w:rPr>
        <w:t xml:space="preserve">. </w:t>
      </w:r>
      <w:r>
        <w:rPr>
          <w:lang w:val="en-US" w:eastAsia="fr-FR"/>
        </w:rPr>
        <w:t>Parameters of the final mixture models</w:t>
      </w:r>
      <w:r w:rsidRPr="0070713C">
        <w:rPr>
          <w:lang w:val="en-US" w:eastAsia="fr-FR"/>
        </w:rPr>
        <w:t>, France, 2004 and 2011.</w:t>
      </w:r>
    </w:p>
    <w:tbl>
      <w:tblPr>
        <w:tblW w:w="6718" w:type="dxa"/>
        <w:jc w:val="center"/>
        <w:tblCellMar>
          <w:left w:w="70" w:type="dxa"/>
          <w:right w:w="70" w:type="dxa"/>
        </w:tblCellMar>
        <w:tblLook w:val="04A0" w:firstRow="1" w:lastRow="0" w:firstColumn="1" w:lastColumn="0" w:noHBand="0" w:noVBand="1"/>
      </w:tblPr>
      <w:tblGrid>
        <w:gridCol w:w="1716"/>
        <w:gridCol w:w="1200"/>
        <w:gridCol w:w="537"/>
        <w:gridCol w:w="635"/>
        <w:gridCol w:w="531"/>
        <w:gridCol w:w="340"/>
        <w:gridCol w:w="573"/>
        <w:gridCol w:w="657"/>
        <w:gridCol w:w="531"/>
      </w:tblGrid>
      <w:tr w:rsidR="00F75EA9" w:rsidRPr="00165229" w:rsidTr="00823375">
        <w:trPr>
          <w:trHeight w:val="300"/>
          <w:jc w:val="center"/>
        </w:trPr>
        <w:tc>
          <w:tcPr>
            <w:tcW w:w="1716" w:type="dxa"/>
            <w:vMerge w:val="restart"/>
            <w:tcBorders>
              <w:top w:val="single" w:sz="4" w:space="0" w:color="auto"/>
              <w:left w:val="nil"/>
              <w:bottom w:val="single" w:sz="4" w:space="0" w:color="000000"/>
              <w:right w:val="nil"/>
            </w:tcBorders>
            <w:shd w:val="clear" w:color="000000" w:fill="FFFFFF"/>
            <w:hideMark/>
          </w:tcPr>
          <w:p w:rsidR="00F75EA9" w:rsidRPr="00165229" w:rsidRDefault="00F75EA9" w:rsidP="00823375">
            <w:pPr>
              <w:spacing w:after="0" w:line="240" w:lineRule="auto"/>
              <w:rPr>
                <w:rFonts w:ascii="Calibri" w:eastAsia="Times New Roman" w:hAnsi="Calibri"/>
                <w:b/>
                <w:bCs/>
                <w:color w:val="000000"/>
                <w:lang w:eastAsia="fr-FR"/>
              </w:rPr>
            </w:pPr>
            <w:r>
              <w:rPr>
                <w:rFonts w:ascii="Calibri" w:eastAsia="Times New Roman" w:hAnsi="Calibri"/>
                <w:b/>
                <w:bCs/>
                <w:color w:val="000000"/>
                <w:sz w:val="22"/>
                <w:szCs w:val="22"/>
                <w:lang w:eastAsia="fr-FR"/>
              </w:rPr>
              <w:t>ith component (</w:t>
            </w:r>
            <w:r w:rsidRPr="00165229">
              <w:rPr>
                <w:rFonts w:ascii="Calibri" w:eastAsia="Times New Roman" w:hAnsi="Calibri"/>
                <w:b/>
                <w:bCs/>
                <w:color w:val="000000"/>
                <w:sz w:val="22"/>
                <w:szCs w:val="22"/>
                <w:lang w:eastAsia="fr-FR"/>
              </w:rPr>
              <w:t>Reactivity level</w:t>
            </w:r>
            <w:r>
              <w:rPr>
                <w:rFonts w:ascii="Calibri" w:eastAsia="Times New Roman" w:hAnsi="Calibri"/>
                <w:b/>
                <w:bCs/>
                <w:color w:val="000000"/>
                <w:sz w:val="22"/>
                <w:szCs w:val="22"/>
                <w:lang w:eastAsia="fr-FR"/>
              </w:rPr>
              <w:t>)</w:t>
            </w:r>
          </w:p>
        </w:tc>
        <w:tc>
          <w:tcPr>
            <w:tcW w:w="1200" w:type="dxa"/>
            <w:vMerge w:val="restart"/>
            <w:tcBorders>
              <w:top w:val="single" w:sz="4" w:space="0" w:color="auto"/>
              <w:left w:val="nil"/>
              <w:bottom w:val="single" w:sz="4" w:space="0" w:color="000000"/>
              <w:right w:val="nil"/>
            </w:tcBorders>
            <w:shd w:val="clear" w:color="000000" w:fill="FFFFFF"/>
            <w:hideMark/>
          </w:tcPr>
          <w:p w:rsidR="00F75EA9" w:rsidRPr="00165229" w:rsidRDefault="00F75EA9" w:rsidP="00823375">
            <w:pPr>
              <w:spacing w:after="0" w:line="240" w:lineRule="auto"/>
              <w:rPr>
                <w:rFonts w:ascii="Calibri" w:eastAsia="Times New Roman" w:hAnsi="Calibri"/>
                <w:b/>
                <w:bCs/>
                <w:color w:val="000000"/>
                <w:lang w:eastAsia="fr-FR"/>
              </w:rPr>
            </w:pPr>
            <w:r w:rsidRPr="00165229">
              <w:rPr>
                <w:rFonts w:ascii="Calibri" w:eastAsia="Times New Roman" w:hAnsi="Calibri"/>
                <w:b/>
                <w:bCs/>
                <w:color w:val="000000"/>
                <w:sz w:val="22"/>
                <w:szCs w:val="22"/>
                <w:lang w:eastAsia="fr-FR"/>
              </w:rPr>
              <w:t>Anti-HCV status</w:t>
            </w:r>
          </w:p>
        </w:tc>
        <w:tc>
          <w:tcPr>
            <w:tcW w:w="1702" w:type="dxa"/>
            <w:gridSpan w:val="3"/>
            <w:tcBorders>
              <w:top w:val="single" w:sz="4" w:space="0" w:color="auto"/>
              <w:left w:val="nil"/>
              <w:bottom w:val="single" w:sz="4" w:space="0" w:color="auto"/>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b/>
                <w:bCs/>
                <w:color w:val="000000"/>
                <w:lang w:eastAsia="fr-FR"/>
              </w:rPr>
            </w:pPr>
            <w:r w:rsidRPr="00165229">
              <w:rPr>
                <w:rFonts w:ascii="Calibri" w:eastAsia="Times New Roman" w:hAnsi="Calibri"/>
                <w:b/>
                <w:bCs/>
                <w:color w:val="000000"/>
                <w:sz w:val="22"/>
                <w:szCs w:val="22"/>
                <w:lang w:eastAsia="fr-FR"/>
              </w:rPr>
              <w:t>2004</w:t>
            </w:r>
          </w:p>
        </w:tc>
        <w:tc>
          <w:tcPr>
            <w:tcW w:w="340" w:type="dxa"/>
            <w:tcBorders>
              <w:top w:val="single" w:sz="4" w:space="0" w:color="auto"/>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b/>
                <w:bCs/>
                <w:color w:val="000000"/>
                <w:lang w:eastAsia="fr-FR"/>
              </w:rPr>
            </w:pPr>
          </w:p>
        </w:tc>
        <w:tc>
          <w:tcPr>
            <w:tcW w:w="1760" w:type="dxa"/>
            <w:gridSpan w:val="3"/>
            <w:tcBorders>
              <w:top w:val="single" w:sz="4" w:space="0" w:color="auto"/>
              <w:left w:val="nil"/>
              <w:bottom w:val="single" w:sz="4" w:space="0" w:color="auto"/>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b/>
                <w:bCs/>
                <w:color w:val="000000"/>
                <w:lang w:eastAsia="fr-FR"/>
              </w:rPr>
            </w:pPr>
            <w:r w:rsidRPr="00165229">
              <w:rPr>
                <w:rFonts w:ascii="Calibri" w:eastAsia="Times New Roman" w:hAnsi="Calibri"/>
                <w:b/>
                <w:bCs/>
                <w:color w:val="000000"/>
                <w:sz w:val="22"/>
                <w:szCs w:val="22"/>
                <w:lang w:eastAsia="fr-FR"/>
              </w:rPr>
              <w:t>2011</w:t>
            </w:r>
          </w:p>
        </w:tc>
      </w:tr>
      <w:tr w:rsidR="00F75EA9" w:rsidRPr="00165229" w:rsidTr="00823375">
        <w:trPr>
          <w:trHeight w:val="300"/>
          <w:jc w:val="center"/>
        </w:trPr>
        <w:tc>
          <w:tcPr>
            <w:tcW w:w="1716" w:type="dxa"/>
            <w:vMerge/>
            <w:tcBorders>
              <w:top w:val="single" w:sz="4" w:space="0" w:color="auto"/>
              <w:left w:val="nil"/>
              <w:bottom w:val="single" w:sz="4" w:space="0" w:color="000000"/>
              <w:right w:val="nil"/>
            </w:tcBorders>
            <w:vAlign w:val="center"/>
            <w:hideMark/>
          </w:tcPr>
          <w:p w:rsidR="00F75EA9" w:rsidRPr="00165229" w:rsidRDefault="00F75EA9" w:rsidP="00823375">
            <w:pPr>
              <w:spacing w:after="0" w:line="240" w:lineRule="auto"/>
              <w:rPr>
                <w:rFonts w:ascii="Calibri" w:eastAsia="Times New Roman" w:hAnsi="Calibri"/>
                <w:b/>
                <w:bCs/>
                <w:color w:val="000000"/>
                <w:lang w:eastAsia="fr-FR"/>
              </w:rPr>
            </w:pPr>
          </w:p>
        </w:tc>
        <w:tc>
          <w:tcPr>
            <w:tcW w:w="1200" w:type="dxa"/>
            <w:vMerge/>
            <w:tcBorders>
              <w:top w:val="single" w:sz="4" w:space="0" w:color="auto"/>
              <w:left w:val="nil"/>
              <w:bottom w:val="single" w:sz="4" w:space="0" w:color="000000"/>
              <w:right w:val="nil"/>
            </w:tcBorders>
            <w:vAlign w:val="center"/>
            <w:hideMark/>
          </w:tcPr>
          <w:p w:rsidR="00F75EA9" w:rsidRPr="00165229" w:rsidRDefault="00F75EA9" w:rsidP="00823375">
            <w:pPr>
              <w:spacing w:after="0" w:line="240" w:lineRule="auto"/>
              <w:rPr>
                <w:rFonts w:ascii="Calibri" w:eastAsia="Times New Roman" w:hAnsi="Calibri"/>
                <w:b/>
                <w:bCs/>
                <w:color w:val="000000"/>
                <w:lang w:eastAsia="fr-FR"/>
              </w:rPr>
            </w:pPr>
          </w:p>
        </w:tc>
        <w:tc>
          <w:tcPr>
            <w:tcW w:w="537" w:type="dxa"/>
            <w:tcBorders>
              <w:top w:val="nil"/>
              <w:left w:val="nil"/>
              <w:bottom w:val="single" w:sz="4" w:space="0" w:color="auto"/>
              <w:right w:val="nil"/>
            </w:tcBorders>
            <w:shd w:val="clear" w:color="000000" w:fill="FFFFFF"/>
            <w:noWrap/>
            <w:vAlign w:val="bottom"/>
            <w:hideMark/>
          </w:tcPr>
          <w:p w:rsidR="00F75EA9" w:rsidRPr="00165229" w:rsidRDefault="0007592A" w:rsidP="00823375">
            <w:pPr>
              <w:spacing w:after="0" w:line="240" w:lineRule="auto"/>
              <w:rPr>
                <w:rFonts w:ascii="Calibri" w:eastAsia="Times New Roman" w:hAnsi="Calibri"/>
                <w:b/>
                <w:bCs/>
                <w:color w:val="000000"/>
                <w:lang w:eastAsia="fr-FR"/>
              </w:rPr>
            </w:pPr>
            <m:oMathPara>
              <m:oMath>
                <m:sSub>
                  <m:sSubPr>
                    <m:ctrlPr>
                      <w:rPr>
                        <w:rFonts w:ascii="Cambria Math" w:eastAsia="Times New Roman" w:hAnsi="Cambria Math"/>
                        <w:b/>
                        <w:bCs/>
                        <w:i/>
                        <w:color w:val="000000"/>
                        <w:sz w:val="22"/>
                        <w:szCs w:val="22"/>
                        <w:lang w:eastAsia="fr-FR"/>
                      </w:rPr>
                    </m:ctrlPr>
                  </m:sSubPr>
                  <m:e>
                    <m:r>
                      <m:rPr>
                        <m:sty m:val="bi"/>
                      </m:rPr>
                      <w:rPr>
                        <w:rFonts w:ascii="Cambria Math" w:eastAsia="Times New Roman" w:hAnsi="Cambria Math"/>
                        <w:color w:val="000000"/>
                        <w:sz w:val="22"/>
                        <w:szCs w:val="22"/>
                        <w:lang w:eastAsia="fr-FR"/>
                      </w:rPr>
                      <m:t>p</m:t>
                    </m:r>
                  </m:e>
                  <m:sub>
                    <m:r>
                      <m:rPr>
                        <m:sty m:val="bi"/>
                      </m:rPr>
                      <w:rPr>
                        <w:rFonts w:ascii="Cambria Math" w:eastAsia="Times New Roman" w:hAnsi="Cambria Math"/>
                        <w:color w:val="000000"/>
                        <w:sz w:val="22"/>
                        <w:szCs w:val="22"/>
                        <w:lang w:eastAsia="fr-FR"/>
                      </w:rPr>
                      <m:t>i</m:t>
                    </m:r>
                  </m:sub>
                </m:sSub>
              </m:oMath>
            </m:oMathPara>
          </w:p>
        </w:tc>
        <w:tc>
          <w:tcPr>
            <w:tcW w:w="635" w:type="dxa"/>
            <w:tcBorders>
              <w:top w:val="nil"/>
              <w:left w:val="nil"/>
              <w:bottom w:val="single" w:sz="4" w:space="0" w:color="auto"/>
              <w:right w:val="nil"/>
            </w:tcBorders>
            <w:shd w:val="clear" w:color="000000" w:fill="FFFFFF"/>
            <w:noWrap/>
            <w:vAlign w:val="bottom"/>
            <w:hideMark/>
          </w:tcPr>
          <w:p w:rsidR="00F75EA9" w:rsidRPr="00165229" w:rsidRDefault="0007592A" w:rsidP="00823375">
            <w:pPr>
              <w:spacing w:after="0" w:line="240" w:lineRule="auto"/>
              <w:rPr>
                <w:rFonts w:ascii="Calibri" w:eastAsia="Times New Roman" w:hAnsi="Calibri"/>
                <w:b/>
                <w:bCs/>
                <w:color w:val="000000"/>
                <w:lang w:eastAsia="fr-FR"/>
              </w:rPr>
            </w:pPr>
            <m:oMathPara>
              <m:oMath>
                <m:sSub>
                  <m:sSubPr>
                    <m:ctrlPr>
                      <w:rPr>
                        <w:rFonts w:ascii="Cambria Math" w:eastAsia="Times New Roman" w:hAnsi="Cambria Math"/>
                        <w:b/>
                        <w:bCs/>
                        <w:i/>
                        <w:color w:val="000000"/>
                        <w:sz w:val="22"/>
                        <w:szCs w:val="22"/>
                        <w:lang w:eastAsia="fr-FR"/>
                      </w:rPr>
                    </m:ctrlPr>
                  </m:sSubPr>
                  <m:e>
                    <m:r>
                      <m:rPr>
                        <m:sty m:val="bi"/>
                      </m:rPr>
                      <w:rPr>
                        <w:rFonts w:ascii="Cambria Math" w:eastAsia="Times New Roman" w:hAnsi="Cambria Math"/>
                        <w:color w:val="000000"/>
                        <w:sz w:val="22"/>
                        <w:szCs w:val="22"/>
                        <w:lang w:eastAsia="fr-FR"/>
                      </w:rPr>
                      <m:t>μ</m:t>
                    </m:r>
                  </m:e>
                  <m:sub>
                    <m:r>
                      <m:rPr>
                        <m:sty m:val="bi"/>
                      </m:rPr>
                      <w:rPr>
                        <w:rFonts w:ascii="Cambria Math" w:eastAsia="Times New Roman" w:hAnsi="Cambria Math"/>
                        <w:color w:val="000000"/>
                        <w:sz w:val="22"/>
                        <w:szCs w:val="22"/>
                        <w:lang w:eastAsia="fr-FR"/>
                      </w:rPr>
                      <m:t>i</m:t>
                    </m:r>
                  </m:sub>
                </m:sSub>
              </m:oMath>
            </m:oMathPara>
          </w:p>
        </w:tc>
        <w:tc>
          <w:tcPr>
            <w:tcW w:w="530" w:type="dxa"/>
            <w:tcBorders>
              <w:top w:val="nil"/>
              <w:left w:val="nil"/>
              <w:bottom w:val="single" w:sz="4" w:space="0" w:color="auto"/>
              <w:right w:val="nil"/>
            </w:tcBorders>
            <w:shd w:val="clear" w:color="000000" w:fill="FFFFFF"/>
            <w:noWrap/>
            <w:vAlign w:val="bottom"/>
            <w:hideMark/>
          </w:tcPr>
          <w:p w:rsidR="00F75EA9" w:rsidRPr="00165229" w:rsidRDefault="0007592A" w:rsidP="00823375">
            <w:pPr>
              <w:spacing w:after="0" w:line="240" w:lineRule="auto"/>
              <w:rPr>
                <w:rFonts w:ascii="Calibri" w:eastAsia="Times New Roman" w:hAnsi="Calibri"/>
                <w:b/>
                <w:bCs/>
                <w:color w:val="000000"/>
                <w:lang w:eastAsia="fr-FR"/>
              </w:rPr>
            </w:pPr>
            <m:oMathPara>
              <m:oMath>
                <m:sSub>
                  <m:sSubPr>
                    <m:ctrlPr>
                      <w:rPr>
                        <w:rFonts w:ascii="Cambria Math" w:eastAsia="Times New Roman" w:hAnsi="Cambria Math"/>
                        <w:b/>
                        <w:bCs/>
                        <w:i/>
                        <w:color w:val="000000"/>
                        <w:sz w:val="22"/>
                        <w:szCs w:val="22"/>
                        <w:lang w:eastAsia="fr-FR"/>
                      </w:rPr>
                    </m:ctrlPr>
                  </m:sSubPr>
                  <m:e>
                    <m:r>
                      <m:rPr>
                        <m:sty m:val="bi"/>
                      </m:rPr>
                      <w:rPr>
                        <w:rFonts w:ascii="Cambria Math" w:eastAsia="Times New Roman" w:hAnsi="Cambria Math"/>
                        <w:color w:val="000000"/>
                        <w:sz w:val="22"/>
                        <w:szCs w:val="22"/>
                        <w:lang w:eastAsia="fr-FR"/>
                      </w:rPr>
                      <m:t>σ</m:t>
                    </m:r>
                  </m:e>
                  <m:sub>
                    <m:r>
                      <m:rPr>
                        <m:sty m:val="bi"/>
                      </m:rPr>
                      <w:rPr>
                        <w:rFonts w:ascii="Cambria Math" w:eastAsia="Times New Roman" w:hAnsi="Cambria Math"/>
                        <w:color w:val="000000"/>
                        <w:sz w:val="22"/>
                        <w:szCs w:val="22"/>
                        <w:lang w:eastAsia="fr-FR"/>
                      </w:rPr>
                      <m:t>i</m:t>
                    </m:r>
                  </m:sub>
                </m:sSub>
              </m:oMath>
            </m:oMathPara>
          </w:p>
        </w:tc>
        <w:tc>
          <w:tcPr>
            <w:tcW w:w="340" w:type="dxa"/>
            <w:tcBorders>
              <w:top w:val="nil"/>
              <w:left w:val="nil"/>
              <w:bottom w:val="single" w:sz="4" w:space="0" w:color="auto"/>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b/>
                <w:bCs/>
                <w:color w:val="000000"/>
                <w:lang w:eastAsia="fr-FR"/>
              </w:rPr>
            </w:pPr>
          </w:p>
        </w:tc>
        <w:tc>
          <w:tcPr>
            <w:tcW w:w="573" w:type="dxa"/>
            <w:tcBorders>
              <w:top w:val="nil"/>
              <w:left w:val="nil"/>
              <w:bottom w:val="single" w:sz="4" w:space="0" w:color="auto"/>
              <w:right w:val="nil"/>
            </w:tcBorders>
            <w:shd w:val="clear" w:color="000000" w:fill="FFFFFF"/>
            <w:noWrap/>
            <w:vAlign w:val="bottom"/>
            <w:hideMark/>
          </w:tcPr>
          <w:p w:rsidR="00F75EA9" w:rsidRPr="00165229" w:rsidRDefault="0007592A" w:rsidP="00823375">
            <w:pPr>
              <w:spacing w:after="0" w:line="240" w:lineRule="auto"/>
              <w:rPr>
                <w:rFonts w:ascii="Calibri" w:eastAsia="Times New Roman" w:hAnsi="Calibri"/>
                <w:b/>
                <w:bCs/>
                <w:color w:val="000000"/>
                <w:lang w:eastAsia="fr-FR"/>
              </w:rPr>
            </w:pPr>
            <m:oMathPara>
              <m:oMath>
                <m:sSub>
                  <m:sSubPr>
                    <m:ctrlPr>
                      <w:rPr>
                        <w:rFonts w:ascii="Cambria Math" w:eastAsia="Times New Roman" w:hAnsi="Cambria Math"/>
                        <w:b/>
                        <w:bCs/>
                        <w:i/>
                        <w:color w:val="000000"/>
                        <w:sz w:val="22"/>
                        <w:szCs w:val="22"/>
                        <w:lang w:eastAsia="fr-FR"/>
                      </w:rPr>
                    </m:ctrlPr>
                  </m:sSubPr>
                  <m:e>
                    <m:r>
                      <m:rPr>
                        <m:sty m:val="bi"/>
                      </m:rPr>
                      <w:rPr>
                        <w:rFonts w:ascii="Cambria Math" w:eastAsia="Times New Roman" w:hAnsi="Cambria Math"/>
                        <w:color w:val="000000"/>
                        <w:sz w:val="22"/>
                        <w:szCs w:val="22"/>
                        <w:lang w:eastAsia="fr-FR"/>
                      </w:rPr>
                      <m:t>p</m:t>
                    </m:r>
                  </m:e>
                  <m:sub>
                    <m:r>
                      <m:rPr>
                        <m:sty m:val="bi"/>
                      </m:rPr>
                      <w:rPr>
                        <w:rFonts w:ascii="Cambria Math" w:eastAsia="Times New Roman" w:hAnsi="Cambria Math"/>
                        <w:color w:val="000000"/>
                        <w:sz w:val="22"/>
                        <w:szCs w:val="22"/>
                        <w:lang w:eastAsia="fr-FR"/>
                      </w:rPr>
                      <m:t>i</m:t>
                    </m:r>
                  </m:sub>
                </m:sSub>
              </m:oMath>
            </m:oMathPara>
          </w:p>
        </w:tc>
        <w:tc>
          <w:tcPr>
            <w:tcW w:w="657" w:type="dxa"/>
            <w:tcBorders>
              <w:top w:val="nil"/>
              <w:left w:val="nil"/>
              <w:bottom w:val="single" w:sz="4" w:space="0" w:color="auto"/>
              <w:right w:val="nil"/>
            </w:tcBorders>
            <w:shd w:val="clear" w:color="000000" w:fill="FFFFFF"/>
            <w:noWrap/>
            <w:vAlign w:val="bottom"/>
            <w:hideMark/>
          </w:tcPr>
          <w:p w:rsidR="00F75EA9" w:rsidRPr="00165229" w:rsidRDefault="0007592A" w:rsidP="00823375">
            <w:pPr>
              <w:spacing w:after="0" w:line="240" w:lineRule="auto"/>
              <w:rPr>
                <w:rFonts w:ascii="Calibri" w:eastAsia="Times New Roman" w:hAnsi="Calibri"/>
                <w:b/>
                <w:bCs/>
                <w:color w:val="000000"/>
                <w:lang w:eastAsia="fr-FR"/>
              </w:rPr>
            </w:pPr>
            <m:oMathPara>
              <m:oMath>
                <m:sSub>
                  <m:sSubPr>
                    <m:ctrlPr>
                      <w:rPr>
                        <w:rFonts w:ascii="Cambria Math" w:eastAsia="Times New Roman" w:hAnsi="Cambria Math"/>
                        <w:b/>
                        <w:bCs/>
                        <w:i/>
                        <w:color w:val="000000"/>
                        <w:sz w:val="22"/>
                        <w:szCs w:val="22"/>
                        <w:lang w:eastAsia="fr-FR"/>
                      </w:rPr>
                    </m:ctrlPr>
                  </m:sSubPr>
                  <m:e>
                    <m:r>
                      <m:rPr>
                        <m:sty m:val="bi"/>
                      </m:rPr>
                      <w:rPr>
                        <w:rFonts w:ascii="Cambria Math" w:eastAsia="Times New Roman" w:hAnsi="Cambria Math"/>
                        <w:color w:val="000000"/>
                        <w:sz w:val="22"/>
                        <w:szCs w:val="22"/>
                        <w:lang w:eastAsia="fr-FR"/>
                      </w:rPr>
                      <m:t>μ</m:t>
                    </m:r>
                  </m:e>
                  <m:sub>
                    <m:r>
                      <m:rPr>
                        <m:sty m:val="bi"/>
                      </m:rPr>
                      <w:rPr>
                        <w:rFonts w:ascii="Cambria Math" w:eastAsia="Times New Roman" w:hAnsi="Cambria Math"/>
                        <w:color w:val="000000"/>
                        <w:sz w:val="22"/>
                        <w:szCs w:val="22"/>
                        <w:lang w:eastAsia="fr-FR"/>
                      </w:rPr>
                      <m:t>i</m:t>
                    </m:r>
                  </m:sub>
                </m:sSub>
              </m:oMath>
            </m:oMathPara>
          </w:p>
        </w:tc>
        <w:tc>
          <w:tcPr>
            <w:tcW w:w="530" w:type="dxa"/>
            <w:tcBorders>
              <w:top w:val="nil"/>
              <w:left w:val="nil"/>
              <w:bottom w:val="single" w:sz="4" w:space="0" w:color="auto"/>
              <w:right w:val="nil"/>
            </w:tcBorders>
            <w:shd w:val="clear" w:color="000000" w:fill="FFFFFF"/>
            <w:noWrap/>
            <w:vAlign w:val="bottom"/>
            <w:hideMark/>
          </w:tcPr>
          <w:p w:rsidR="00F75EA9" w:rsidRPr="00165229" w:rsidRDefault="0007592A" w:rsidP="00823375">
            <w:pPr>
              <w:spacing w:after="0" w:line="240" w:lineRule="auto"/>
              <w:rPr>
                <w:rFonts w:ascii="Calibri" w:eastAsia="Times New Roman" w:hAnsi="Calibri"/>
                <w:b/>
                <w:bCs/>
                <w:color w:val="000000"/>
                <w:lang w:eastAsia="fr-FR"/>
              </w:rPr>
            </w:pPr>
            <m:oMathPara>
              <m:oMath>
                <m:sSub>
                  <m:sSubPr>
                    <m:ctrlPr>
                      <w:rPr>
                        <w:rFonts w:ascii="Cambria Math" w:eastAsia="Times New Roman" w:hAnsi="Cambria Math"/>
                        <w:b/>
                        <w:bCs/>
                        <w:i/>
                        <w:color w:val="000000"/>
                        <w:sz w:val="22"/>
                        <w:szCs w:val="22"/>
                        <w:lang w:eastAsia="fr-FR"/>
                      </w:rPr>
                    </m:ctrlPr>
                  </m:sSubPr>
                  <m:e>
                    <m:r>
                      <m:rPr>
                        <m:sty m:val="bi"/>
                      </m:rPr>
                      <w:rPr>
                        <w:rFonts w:ascii="Cambria Math" w:eastAsia="Times New Roman" w:hAnsi="Cambria Math"/>
                        <w:color w:val="000000"/>
                        <w:sz w:val="22"/>
                        <w:szCs w:val="22"/>
                        <w:lang w:eastAsia="fr-FR"/>
                      </w:rPr>
                      <m:t>σ</m:t>
                    </m:r>
                  </m:e>
                  <m:sub>
                    <m:r>
                      <m:rPr>
                        <m:sty m:val="bi"/>
                      </m:rPr>
                      <w:rPr>
                        <w:rFonts w:ascii="Cambria Math" w:eastAsia="Times New Roman" w:hAnsi="Cambria Math"/>
                        <w:color w:val="000000"/>
                        <w:sz w:val="22"/>
                        <w:szCs w:val="22"/>
                        <w:lang w:eastAsia="fr-FR"/>
                      </w:rPr>
                      <m:t>i</m:t>
                    </m:r>
                  </m:sub>
                </m:sSub>
              </m:oMath>
            </m:oMathPara>
          </w:p>
        </w:tc>
      </w:tr>
      <w:tr w:rsidR="00F75EA9" w:rsidRPr="00165229" w:rsidTr="00823375">
        <w:trPr>
          <w:trHeight w:val="300"/>
          <w:jc w:val="center"/>
        </w:trPr>
        <w:tc>
          <w:tcPr>
            <w:tcW w:w="1716" w:type="dxa"/>
            <w:tcBorders>
              <w:top w:val="nil"/>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color w:val="000000"/>
                <w:lang w:eastAsia="fr-FR"/>
              </w:rPr>
            </w:pPr>
            <w:r w:rsidRPr="00165229">
              <w:rPr>
                <w:rFonts w:ascii="Calibri" w:eastAsia="Times New Roman" w:hAnsi="Calibri"/>
                <w:color w:val="000000"/>
                <w:sz w:val="22"/>
                <w:szCs w:val="22"/>
                <w:lang w:eastAsia="fr-FR"/>
              </w:rPr>
              <w:t>1</w:t>
            </w:r>
          </w:p>
        </w:tc>
        <w:tc>
          <w:tcPr>
            <w:tcW w:w="1200" w:type="dxa"/>
            <w:tcBorders>
              <w:top w:val="nil"/>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color w:val="000000"/>
                <w:lang w:eastAsia="fr-FR"/>
              </w:rPr>
            </w:pPr>
            <w:r w:rsidRPr="00165229">
              <w:rPr>
                <w:rFonts w:ascii="Calibri" w:eastAsia="Times New Roman" w:hAnsi="Calibri"/>
                <w:color w:val="000000"/>
                <w:sz w:val="22"/>
                <w:szCs w:val="22"/>
                <w:lang w:eastAsia="fr-FR"/>
              </w:rPr>
              <w:t>negative</w:t>
            </w:r>
          </w:p>
        </w:tc>
        <w:tc>
          <w:tcPr>
            <w:tcW w:w="537" w:type="dxa"/>
            <w:tcBorders>
              <w:top w:val="nil"/>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color w:val="000000"/>
                <w:lang w:eastAsia="fr-FR"/>
              </w:rPr>
            </w:pPr>
            <w:r w:rsidRPr="00165229">
              <w:rPr>
                <w:rFonts w:ascii="Calibri" w:eastAsia="Times New Roman" w:hAnsi="Calibri"/>
                <w:color w:val="000000"/>
                <w:sz w:val="22"/>
                <w:szCs w:val="22"/>
                <w:lang w:eastAsia="fr-FR"/>
              </w:rPr>
              <w:t>0</w:t>
            </w:r>
            <w:r w:rsidR="00284AD6">
              <w:rPr>
                <w:rFonts w:ascii="Calibri" w:eastAsia="Times New Roman" w:hAnsi="Calibri"/>
                <w:color w:val="000000"/>
                <w:sz w:val="22"/>
                <w:szCs w:val="22"/>
                <w:lang w:eastAsia="fr-FR"/>
              </w:rPr>
              <w:t>.</w:t>
            </w:r>
            <w:r w:rsidRPr="00165229">
              <w:rPr>
                <w:rFonts w:ascii="Calibri" w:eastAsia="Times New Roman" w:hAnsi="Calibri"/>
                <w:color w:val="000000"/>
                <w:sz w:val="22"/>
                <w:szCs w:val="22"/>
                <w:lang w:eastAsia="fr-FR"/>
              </w:rPr>
              <w:t>09</w:t>
            </w:r>
          </w:p>
        </w:tc>
        <w:tc>
          <w:tcPr>
            <w:tcW w:w="635" w:type="dxa"/>
            <w:tcBorders>
              <w:top w:val="nil"/>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color w:val="000000"/>
                <w:lang w:eastAsia="fr-FR"/>
              </w:rPr>
            </w:pPr>
            <w:r w:rsidRPr="00165229">
              <w:rPr>
                <w:rFonts w:ascii="Calibri" w:eastAsia="Times New Roman" w:hAnsi="Calibri"/>
                <w:color w:val="000000"/>
                <w:sz w:val="22"/>
                <w:szCs w:val="22"/>
                <w:lang w:eastAsia="fr-FR"/>
              </w:rPr>
              <w:t>0</w:t>
            </w:r>
            <w:r w:rsidR="00284AD6">
              <w:rPr>
                <w:rFonts w:ascii="Calibri" w:eastAsia="Times New Roman" w:hAnsi="Calibri"/>
                <w:color w:val="000000"/>
                <w:sz w:val="22"/>
                <w:szCs w:val="22"/>
                <w:lang w:eastAsia="fr-FR"/>
              </w:rPr>
              <w:t>.</w:t>
            </w:r>
            <w:r w:rsidRPr="00165229">
              <w:rPr>
                <w:rFonts w:ascii="Calibri" w:eastAsia="Times New Roman" w:hAnsi="Calibri"/>
                <w:color w:val="000000"/>
                <w:sz w:val="22"/>
                <w:szCs w:val="22"/>
                <w:lang w:eastAsia="fr-FR"/>
              </w:rPr>
              <w:t>03</w:t>
            </w:r>
          </w:p>
        </w:tc>
        <w:tc>
          <w:tcPr>
            <w:tcW w:w="530" w:type="dxa"/>
            <w:tcBorders>
              <w:top w:val="nil"/>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color w:val="000000"/>
                <w:lang w:eastAsia="fr-FR"/>
              </w:rPr>
            </w:pPr>
            <w:r w:rsidRPr="00165229">
              <w:rPr>
                <w:rFonts w:ascii="Calibri" w:eastAsia="Times New Roman" w:hAnsi="Calibri"/>
                <w:color w:val="000000"/>
                <w:sz w:val="22"/>
                <w:szCs w:val="22"/>
                <w:lang w:eastAsia="fr-FR"/>
              </w:rPr>
              <w:t>0</w:t>
            </w:r>
            <w:r w:rsidR="00284AD6">
              <w:rPr>
                <w:rFonts w:ascii="Calibri" w:eastAsia="Times New Roman" w:hAnsi="Calibri"/>
                <w:color w:val="000000"/>
                <w:sz w:val="22"/>
                <w:szCs w:val="22"/>
                <w:lang w:eastAsia="fr-FR"/>
              </w:rPr>
              <w:t>.</w:t>
            </w:r>
            <w:r w:rsidRPr="00165229">
              <w:rPr>
                <w:rFonts w:ascii="Calibri" w:eastAsia="Times New Roman" w:hAnsi="Calibri"/>
                <w:color w:val="000000"/>
                <w:sz w:val="22"/>
                <w:szCs w:val="22"/>
                <w:lang w:eastAsia="fr-FR"/>
              </w:rPr>
              <w:t>01</w:t>
            </w:r>
          </w:p>
        </w:tc>
        <w:tc>
          <w:tcPr>
            <w:tcW w:w="340" w:type="dxa"/>
            <w:tcBorders>
              <w:top w:val="nil"/>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color w:val="000000"/>
                <w:lang w:eastAsia="fr-FR"/>
              </w:rPr>
            </w:pPr>
          </w:p>
        </w:tc>
        <w:tc>
          <w:tcPr>
            <w:tcW w:w="573" w:type="dxa"/>
            <w:tcBorders>
              <w:top w:val="nil"/>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color w:val="000000"/>
                <w:lang w:eastAsia="fr-FR"/>
              </w:rPr>
            </w:pPr>
            <w:r w:rsidRPr="00165229">
              <w:rPr>
                <w:rFonts w:ascii="Calibri" w:eastAsia="Times New Roman" w:hAnsi="Calibri"/>
                <w:color w:val="000000"/>
                <w:sz w:val="22"/>
                <w:szCs w:val="22"/>
                <w:lang w:eastAsia="fr-FR"/>
              </w:rPr>
              <w:t>0</w:t>
            </w:r>
            <w:r w:rsidR="00284AD6">
              <w:rPr>
                <w:rFonts w:ascii="Calibri" w:eastAsia="Times New Roman" w:hAnsi="Calibri"/>
                <w:color w:val="000000"/>
                <w:sz w:val="22"/>
                <w:szCs w:val="22"/>
                <w:lang w:eastAsia="fr-FR"/>
              </w:rPr>
              <w:t>.</w:t>
            </w:r>
            <w:r w:rsidRPr="00165229">
              <w:rPr>
                <w:rFonts w:ascii="Calibri" w:eastAsia="Times New Roman" w:hAnsi="Calibri"/>
                <w:color w:val="000000"/>
                <w:sz w:val="22"/>
                <w:szCs w:val="22"/>
                <w:lang w:eastAsia="fr-FR"/>
              </w:rPr>
              <w:t>44</w:t>
            </w:r>
          </w:p>
        </w:tc>
        <w:tc>
          <w:tcPr>
            <w:tcW w:w="657" w:type="dxa"/>
            <w:tcBorders>
              <w:top w:val="nil"/>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color w:val="000000"/>
                <w:lang w:eastAsia="fr-FR"/>
              </w:rPr>
            </w:pPr>
            <w:r w:rsidRPr="00165229">
              <w:rPr>
                <w:rFonts w:ascii="Calibri" w:eastAsia="Times New Roman" w:hAnsi="Calibri"/>
                <w:color w:val="000000"/>
                <w:sz w:val="22"/>
                <w:szCs w:val="22"/>
                <w:lang w:eastAsia="fr-FR"/>
              </w:rPr>
              <w:t>0</w:t>
            </w:r>
            <w:r w:rsidR="00284AD6">
              <w:rPr>
                <w:rFonts w:ascii="Calibri" w:eastAsia="Times New Roman" w:hAnsi="Calibri"/>
                <w:color w:val="000000"/>
                <w:sz w:val="22"/>
                <w:szCs w:val="22"/>
                <w:lang w:eastAsia="fr-FR"/>
              </w:rPr>
              <w:t>.</w:t>
            </w:r>
            <w:r w:rsidRPr="00165229">
              <w:rPr>
                <w:rFonts w:ascii="Calibri" w:eastAsia="Times New Roman" w:hAnsi="Calibri"/>
                <w:color w:val="000000"/>
                <w:sz w:val="22"/>
                <w:szCs w:val="22"/>
                <w:lang w:eastAsia="fr-FR"/>
              </w:rPr>
              <w:t>06</w:t>
            </w:r>
          </w:p>
        </w:tc>
        <w:tc>
          <w:tcPr>
            <w:tcW w:w="530" w:type="dxa"/>
            <w:tcBorders>
              <w:top w:val="nil"/>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color w:val="000000"/>
                <w:lang w:eastAsia="fr-FR"/>
              </w:rPr>
            </w:pPr>
            <w:r w:rsidRPr="00165229">
              <w:rPr>
                <w:rFonts w:ascii="Calibri" w:eastAsia="Times New Roman" w:hAnsi="Calibri"/>
                <w:color w:val="000000"/>
                <w:sz w:val="22"/>
                <w:szCs w:val="22"/>
                <w:lang w:eastAsia="fr-FR"/>
              </w:rPr>
              <w:t>0</w:t>
            </w:r>
            <w:r w:rsidR="00284AD6">
              <w:rPr>
                <w:rFonts w:ascii="Calibri" w:eastAsia="Times New Roman" w:hAnsi="Calibri"/>
                <w:color w:val="000000"/>
                <w:sz w:val="22"/>
                <w:szCs w:val="22"/>
                <w:lang w:eastAsia="fr-FR"/>
              </w:rPr>
              <w:t>.</w:t>
            </w:r>
            <w:r w:rsidRPr="00165229">
              <w:rPr>
                <w:rFonts w:ascii="Calibri" w:eastAsia="Times New Roman" w:hAnsi="Calibri"/>
                <w:color w:val="000000"/>
                <w:sz w:val="22"/>
                <w:szCs w:val="22"/>
                <w:lang w:eastAsia="fr-FR"/>
              </w:rPr>
              <w:t>02</w:t>
            </w:r>
          </w:p>
        </w:tc>
      </w:tr>
      <w:tr w:rsidR="00F75EA9" w:rsidRPr="00165229" w:rsidTr="00823375">
        <w:trPr>
          <w:trHeight w:val="300"/>
          <w:jc w:val="center"/>
        </w:trPr>
        <w:tc>
          <w:tcPr>
            <w:tcW w:w="1716" w:type="dxa"/>
            <w:tcBorders>
              <w:top w:val="nil"/>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color w:val="000000"/>
                <w:lang w:eastAsia="fr-FR"/>
              </w:rPr>
            </w:pPr>
            <w:r w:rsidRPr="00165229">
              <w:rPr>
                <w:rFonts w:ascii="Calibri" w:eastAsia="Times New Roman" w:hAnsi="Calibri"/>
                <w:color w:val="000000"/>
                <w:sz w:val="22"/>
                <w:szCs w:val="22"/>
                <w:lang w:eastAsia="fr-FR"/>
              </w:rPr>
              <w:t>2</w:t>
            </w:r>
          </w:p>
        </w:tc>
        <w:tc>
          <w:tcPr>
            <w:tcW w:w="1200" w:type="dxa"/>
            <w:tcBorders>
              <w:top w:val="nil"/>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color w:val="000000"/>
                <w:lang w:eastAsia="fr-FR"/>
              </w:rPr>
            </w:pPr>
            <w:r w:rsidRPr="00165229">
              <w:rPr>
                <w:rFonts w:ascii="Calibri" w:eastAsia="Times New Roman" w:hAnsi="Calibri"/>
                <w:color w:val="000000"/>
                <w:sz w:val="22"/>
                <w:szCs w:val="22"/>
                <w:lang w:eastAsia="fr-FR"/>
              </w:rPr>
              <w:t>negative</w:t>
            </w:r>
          </w:p>
        </w:tc>
        <w:tc>
          <w:tcPr>
            <w:tcW w:w="537" w:type="dxa"/>
            <w:tcBorders>
              <w:top w:val="nil"/>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color w:val="000000"/>
                <w:lang w:eastAsia="fr-FR"/>
              </w:rPr>
            </w:pPr>
            <w:r w:rsidRPr="00165229">
              <w:rPr>
                <w:rFonts w:ascii="Calibri" w:eastAsia="Times New Roman" w:hAnsi="Calibri"/>
                <w:color w:val="000000"/>
                <w:sz w:val="22"/>
                <w:szCs w:val="22"/>
                <w:lang w:eastAsia="fr-FR"/>
              </w:rPr>
              <w:t>0</w:t>
            </w:r>
            <w:r w:rsidR="00284AD6">
              <w:rPr>
                <w:rFonts w:ascii="Calibri" w:eastAsia="Times New Roman" w:hAnsi="Calibri"/>
                <w:color w:val="000000"/>
                <w:sz w:val="22"/>
                <w:szCs w:val="22"/>
                <w:lang w:eastAsia="fr-FR"/>
              </w:rPr>
              <w:t>.</w:t>
            </w:r>
            <w:r w:rsidRPr="00165229">
              <w:rPr>
                <w:rFonts w:ascii="Calibri" w:eastAsia="Times New Roman" w:hAnsi="Calibri"/>
                <w:color w:val="000000"/>
                <w:sz w:val="22"/>
                <w:szCs w:val="22"/>
                <w:lang w:eastAsia="fr-FR"/>
              </w:rPr>
              <w:t>23</w:t>
            </w:r>
          </w:p>
        </w:tc>
        <w:tc>
          <w:tcPr>
            <w:tcW w:w="635" w:type="dxa"/>
            <w:tcBorders>
              <w:top w:val="nil"/>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color w:val="000000"/>
                <w:lang w:eastAsia="fr-FR"/>
              </w:rPr>
            </w:pPr>
            <w:r w:rsidRPr="00165229">
              <w:rPr>
                <w:rFonts w:ascii="Calibri" w:eastAsia="Times New Roman" w:hAnsi="Calibri"/>
                <w:color w:val="000000"/>
                <w:sz w:val="22"/>
                <w:szCs w:val="22"/>
                <w:lang w:eastAsia="fr-FR"/>
              </w:rPr>
              <w:t>0</w:t>
            </w:r>
            <w:r w:rsidR="00284AD6">
              <w:rPr>
                <w:rFonts w:ascii="Calibri" w:eastAsia="Times New Roman" w:hAnsi="Calibri"/>
                <w:color w:val="000000"/>
                <w:sz w:val="22"/>
                <w:szCs w:val="22"/>
                <w:lang w:eastAsia="fr-FR"/>
              </w:rPr>
              <w:t>.</w:t>
            </w:r>
            <w:r w:rsidRPr="00165229">
              <w:rPr>
                <w:rFonts w:ascii="Calibri" w:eastAsia="Times New Roman" w:hAnsi="Calibri"/>
                <w:color w:val="000000"/>
                <w:sz w:val="22"/>
                <w:szCs w:val="22"/>
                <w:lang w:eastAsia="fr-FR"/>
              </w:rPr>
              <w:t>11</w:t>
            </w:r>
          </w:p>
        </w:tc>
        <w:tc>
          <w:tcPr>
            <w:tcW w:w="530" w:type="dxa"/>
            <w:tcBorders>
              <w:top w:val="nil"/>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color w:val="000000"/>
                <w:lang w:eastAsia="fr-FR"/>
              </w:rPr>
            </w:pPr>
            <w:r w:rsidRPr="00165229">
              <w:rPr>
                <w:rFonts w:ascii="Calibri" w:eastAsia="Times New Roman" w:hAnsi="Calibri"/>
                <w:color w:val="000000"/>
                <w:sz w:val="22"/>
                <w:szCs w:val="22"/>
                <w:lang w:eastAsia="fr-FR"/>
              </w:rPr>
              <w:t>0</w:t>
            </w:r>
            <w:r w:rsidR="00284AD6">
              <w:rPr>
                <w:rFonts w:ascii="Calibri" w:eastAsia="Times New Roman" w:hAnsi="Calibri"/>
                <w:color w:val="000000"/>
                <w:sz w:val="22"/>
                <w:szCs w:val="22"/>
                <w:lang w:eastAsia="fr-FR"/>
              </w:rPr>
              <w:t>.</w:t>
            </w:r>
            <w:r w:rsidRPr="00165229">
              <w:rPr>
                <w:rFonts w:ascii="Calibri" w:eastAsia="Times New Roman" w:hAnsi="Calibri"/>
                <w:color w:val="000000"/>
                <w:sz w:val="22"/>
                <w:szCs w:val="22"/>
                <w:lang w:eastAsia="fr-FR"/>
              </w:rPr>
              <w:t>05</w:t>
            </w:r>
          </w:p>
        </w:tc>
        <w:tc>
          <w:tcPr>
            <w:tcW w:w="340" w:type="dxa"/>
            <w:tcBorders>
              <w:top w:val="nil"/>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color w:val="000000"/>
                <w:lang w:eastAsia="fr-FR"/>
              </w:rPr>
            </w:pPr>
          </w:p>
        </w:tc>
        <w:tc>
          <w:tcPr>
            <w:tcW w:w="573" w:type="dxa"/>
            <w:tcBorders>
              <w:top w:val="nil"/>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color w:val="000000"/>
                <w:lang w:eastAsia="fr-FR"/>
              </w:rPr>
            </w:pPr>
            <w:r w:rsidRPr="00165229">
              <w:rPr>
                <w:rFonts w:ascii="Calibri" w:eastAsia="Times New Roman" w:hAnsi="Calibri"/>
                <w:color w:val="000000"/>
                <w:sz w:val="22"/>
                <w:szCs w:val="22"/>
                <w:lang w:eastAsia="fr-FR"/>
              </w:rPr>
              <w:t>0</w:t>
            </w:r>
            <w:r w:rsidR="00284AD6">
              <w:rPr>
                <w:rFonts w:ascii="Calibri" w:eastAsia="Times New Roman" w:hAnsi="Calibri"/>
                <w:color w:val="000000"/>
                <w:sz w:val="22"/>
                <w:szCs w:val="22"/>
                <w:lang w:eastAsia="fr-FR"/>
              </w:rPr>
              <w:t>.</w:t>
            </w:r>
            <w:r w:rsidRPr="00165229">
              <w:rPr>
                <w:rFonts w:ascii="Calibri" w:eastAsia="Times New Roman" w:hAnsi="Calibri"/>
                <w:color w:val="000000"/>
                <w:sz w:val="22"/>
                <w:szCs w:val="22"/>
                <w:lang w:eastAsia="fr-FR"/>
              </w:rPr>
              <w:t>28</w:t>
            </w:r>
          </w:p>
        </w:tc>
        <w:tc>
          <w:tcPr>
            <w:tcW w:w="657" w:type="dxa"/>
            <w:tcBorders>
              <w:top w:val="nil"/>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color w:val="000000"/>
                <w:lang w:eastAsia="fr-FR"/>
              </w:rPr>
            </w:pPr>
            <w:r w:rsidRPr="00165229">
              <w:rPr>
                <w:rFonts w:ascii="Calibri" w:eastAsia="Times New Roman" w:hAnsi="Calibri"/>
                <w:color w:val="000000"/>
                <w:sz w:val="22"/>
                <w:szCs w:val="22"/>
                <w:lang w:eastAsia="fr-FR"/>
              </w:rPr>
              <w:t>0</w:t>
            </w:r>
            <w:r w:rsidR="00284AD6">
              <w:rPr>
                <w:rFonts w:ascii="Calibri" w:eastAsia="Times New Roman" w:hAnsi="Calibri"/>
                <w:color w:val="000000"/>
                <w:sz w:val="22"/>
                <w:szCs w:val="22"/>
                <w:lang w:eastAsia="fr-FR"/>
              </w:rPr>
              <w:t>.</w:t>
            </w:r>
            <w:r w:rsidRPr="00165229">
              <w:rPr>
                <w:rFonts w:ascii="Calibri" w:eastAsia="Times New Roman" w:hAnsi="Calibri"/>
                <w:color w:val="000000"/>
                <w:sz w:val="22"/>
                <w:szCs w:val="22"/>
                <w:lang w:eastAsia="fr-FR"/>
              </w:rPr>
              <w:t>12</w:t>
            </w:r>
          </w:p>
        </w:tc>
        <w:tc>
          <w:tcPr>
            <w:tcW w:w="530" w:type="dxa"/>
            <w:tcBorders>
              <w:top w:val="nil"/>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color w:val="000000"/>
                <w:lang w:eastAsia="fr-FR"/>
              </w:rPr>
            </w:pPr>
            <w:r w:rsidRPr="00165229">
              <w:rPr>
                <w:rFonts w:ascii="Calibri" w:eastAsia="Times New Roman" w:hAnsi="Calibri"/>
                <w:color w:val="000000"/>
                <w:sz w:val="22"/>
                <w:szCs w:val="22"/>
                <w:lang w:eastAsia="fr-FR"/>
              </w:rPr>
              <w:t>0</w:t>
            </w:r>
            <w:r w:rsidR="00284AD6">
              <w:rPr>
                <w:rFonts w:ascii="Calibri" w:eastAsia="Times New Roman" w:hAnsi="Calibri"/>
                <w:color w:val="000000"/>
                <w:sz w:val="22"/>
                <w:szCs w:val="22"/>
                <w:lang w:eastAsia="fr-FR"/>
              </w:rPr>
              <w:t>.</w:t>
            </w:r>
            <w:r w:rsidRPr="00165229">
              <w:rPr>
                <w:rFonts w:ascii="Calibri" w:eastAsia="Times New Roman" w:hAnsi="Calibri"/>
                <w:color w:val="000000"/>
                <w:sz w:val="22"/>
                <w:szCs w:val="22"/>
                <w:lang w:eastAsia="fr-FR"/>
              </w:rPr>
              <w:t>05</w:t>
            </w:r>
          </w:p>
        </w:tc>
      </w:tr>
      <w:tr w:rsidR="00F75EA9" w:rsidRPr="00165229" w:rsidTr="00823375">
        <w:trPr>
          <w:trHeight w:val="300"/>
          <w:jc w:val="center"/>
        </w:trPr>
        <w:tc>
          <w:tcPr>
            <w:tcW w:w="1716" w:type="dxa"/>
            <w:tcBorders>
              <w:top w:val="nil"/>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color w:val="000000"/>
                <w:lang w:eastAsia="fr-FR"/>
              </w:rPr>
            </w:pPr>
            <w:r w:rsidRPr="00165229">
              <w:rPr>
                <w:rFonts w:ascii="Calibri" w:eastAsia="Times New Roman" w:hAnsi="Calibri"/>
                <w:color w:val="000000"/>
                <w:sz w:val="22"/>
                <w:szCs w:val="22"/>
                <w:lang w:eastAsia="fr-FR"/>
              </w:rPr>
              <w:t>3</w:t>
            </w:r>
          </w:p>
        </w:tc>
        <w:tc>
          <w:tcPr>
            <w:tcW w:w="1200" w:type="dxa"/>
            <w:tcBorders>
              <w:top w:val="nil"/>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color w:val="000000"/>
                <w:lang w:eastAsia="fr-FR"/>
              </w:rPr>
            </w:pPr>
            <w:r w:rsidRPr="00165229">
              <w:rPr>
                <w:rFonts w:ascii="Calibri" w:eastAsia="Times New Roman" w:hAnsi="Calibri"/>
                <w:color w:val="000000"/>
                <w:sz w:val="22"/>
                <w:szCs w:val="22"/>
                <w:lang w:eastAsia="fr-FR"/>
              </w:rPr>
              <w:t>negative</w:t>
            </w:r>
          </w:p>
        </w:tc>
        <w:tc>
          <w:tcPr>
            <w:tcW w:w="537" w:type="dxa"/>
            <w:tcBorders>
              <w:top w:val="nil"/>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color w:val="000000"/>
                <w:lang w:eastAsia="fr-FR"/>
              </w:rPr>
            </w:pPr>
            <w:r w:rsidRPr="00165229">
              <w:rPr>
                <w:rFonts w:ascii="Calibri" w:eastAsia="Times New Roman" w:hAnsi="Calibri"/>
                <w:color w:val="000000"/>
                <w:sz w:val="22"/>
                <w:szCs w:val="22"/>
                <w:lang w:eastAsia="fr-FR"/>
              </w:rPr>
              <w:t>0</w:t>
            </w:r>
            <w:r w:rsidR="00284AD6">
              <w:rPr>
                <w:rFonts w:ascii="Calibri" w:eastAsia="Times New Roman" w:hAnsi="Calibri"/>
                <w:color w:val="000000"/>
                <w:sz w:val="22"/>
                <w:szCs w:val="22"/>
                <w:lang w:eastAsia="fr-FR"/>
              </w:rPr>
              <w:t>.</w:t>
            </w:r>
            <w:r w:rsidRPr="00165229">
              <w:rPr>
                <w:rFonts w:ascii="Calibri" w:eastAsia="Times New Roman" w:hAnsi="Calibri"/>
                <w:color w:val="000000"/>
                <w:sz w:val="22"/>
                <w:szCs w:val="22"/>
                <w:lang w:eastAsia="fr-FR"/>
              </w:rPr>
              <w:t>15</w:t>
            </w:r>
          </w:p>
        </w:tc>
        <w:tc>
          <w:tcPr>
            <w:tcW w:w="635" w:type="dxa"/>
            <w:tcBorders>
              <w:top w:val="nil"/>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color w:val="000000"/>
                <w:lang w:eastAsia="fr-FR"/>
              </w:rPr>
            </w:pPr>
            <w:r w:rsidRPr="00165229">
              <w:rPr>
                <w:rFonts w:ascii="Calibri" w:eastAsia="Times New Roman" w:hAnsi="Calibri"/>
                <w:color w:val="000000"/>
                <w:sz w:val="22"/>
                <w:szCs w:val="22"/>
                <w:lang w:eastAsia="fr-FR"/>
              </w:rPr>
              <w:t>0</w:t>
            </w:r>
            <w:r w:rsidR="00284AD6">
              <w:rPr>
                <w:rFonts w:ascii="Calibri" w:eastAsia="Times New Roman" w:hAnsi="Calibri"/>
                <w:color w:val="000000"/>
                <w:sz w:val="22"/>
                <w:szCs w:val="22"/>
                <w:lang w:eastAsia="fr-FR"/>
              </w:rPr>
              <w:t>.</w:t>
            </w:r>
            <w:r w:rsidRPr="00165229">
              <w:rPr>
                <w:rFonts w:ascii="Calibri" w:eastAsia="Times New Roman" w:hAnsi="Calibri"/>
                <w:color w:val="000000"/>
                <w:sz w:val="22"/>
                <w:szCs w:val="22"/>
                <w:lang w:eastAsia="fr-FR"/>
              </w:rPr>
              <w:t>32</w:t>
            </w:r>
          </w:p>
        </w:tc>
        <w:tc>
          <w:tcPr>
            <w:tcW w:w="530" w:type="dxa"/>
            <w:tcBorders>
              <w:top w:val="nil"/>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color w:val="000000"/>
                <w:lang w:eastAsia="fr-FR"/>
              </w:rPr>
            </w:pPr>
            <w:r w:rsidRPr="00165229">
              <w:rPr>
                <w:rFonts w:ascii="Calibri" w:eastAsia="Times New Roman" w:hAnsi="Calibri"/>
                <w:color w:val="000000"/>
                <w:sz w:val="22"/>
                <w:szCs w:val="22"/>
                <w:lang w:eastAsia="fr-FR"/>
              </w:rPr>
              <w:t>0</w:t>
            </w:r>
            <w:r w:rsidR="00284AD6">
              <w:rPr>
                <w:rFonts w:ascii="Calibri" w:eastAsia="Times New Roman" w:hAnsi="Calibri"/>
                <w:color w:val="000000"/>
                <w:sz w:val="22"/>
                <w:szCs w:val="22"/>
                <w:lang w:eastAsia="fr-FR"/>
              </w:rPr>
              <w:t>.</w:t>
            </w:r>
            <w:r w:rsidRPr="00165229">
              <w:rPr>
                <w:rFonts w:ascii="Calibri" w:eastAsia="Times New Roman" w:hAnsi="Calibri"/>
                <w:color w:val="000000"/>
                <w:sz w:val="22"/>
                <w:szCs w:val="22"/>
                <w:lang w:eastAsia="fr-FR"/>
              </w:rPr>
              <w:t>16</w:t>
            </w:r>
          </w:p>
        </w:tc>
        <w:tc>
          <w:tcPr>
            <w:tcW w:w="340" w:type="dxa"/>
            <w:tcBorders>
              <w:top w:val="nil"/>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color w:val="000000"/>
                <w:lang w:eastAsia="fr-FR"/>
              </w:rPr>
            </w:pPr>
          </w:p>
        </w:tc>
        <w:tc>
          <w:tcPr>
            <w:tcW w:w="573" w:type="dxa"/>
            <w:tcBorders>
              <w:top w:val="nil"/>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color w:val="000000"/>
                <w:lang w:eastAsia="fr-FR"/>
              </w:rPr>
            </w:pPr>
            <w:r w:rsidRPr="00165229">
              <w:rPr>
                <w:rFonts w:ascii="Calibri" w:eastAsia="Times New Roman" w:hAnsi="Calibri"/>
                <w:color w:val="000000"/>
                <w:sz w:val="22"/>
                <w:szCs w:val="22"/>
                <w:lang w:eastAsia="fr-FR"/>
              </w:rPr>
              <w:t>0</w:t>
            </w:r>
            <w:r w:rsidR="00284AD6">
              <w:rPr>
                <w:rFonts w:ascii="Calibri" w:eastAsia="Times New Roman" w:hAnsi="Calibri"/>
                <w:color w:val="000000"/>
                <w:sz w:val="22"/>
                <w:szCs w:val="22"/>
                <w:lang w:eastAsia="fr-FR"/>
              </w:rPr>
              <w:t>.</w:t>
            </w:r>
            <w:r w:rsidRPr="00165229">
              <w:rPr>
                <w:rFonts w:ascii="Calibri" w:eastAsia="Times New Roman" w:hAnsi="Calibri"/>
                <w:color w:val="000000"/>
                <w:sz w:val="22"/>
                <w:szCs w:val="22"/>
                <w:lang w:eastAsia="fr-FR"/>
              </w:rPr>
              <w:t>06</w:t>
            </w:r>
          </w:p>
        </w:tc>
        <w:tc>
          <w:tcPr>
            <w:tcW w:w="657" w:type="dxa"/>
            <w:tcBorders>
              <w:top w:val="nil"/>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color w:val="000000"/>
                <w:lang w:eastAsia="fr-FR"/>
              </w:rPr>
            </w:pPr>
            <w:r w:rsidRPr="00165229">
              <w:rPr>
                <w:rFonts w:ascii="Calibri" w:eastAsia="Times New Roman" w:hAnsi="Calibri"/>
                <w:color w:val="000000"/>
                <w:sz w:val="22"/>
                <w:szCs w:val="22"/>
                <w:lang w:eastAsia="fr-FR"/>
              </w:rPr>
              <w:t>0</w:t>
            </w:r>
            <w:r w:rsidR="00284AD6">
              <w:rPr>
                <w:rFonts w:ascii="Calibri" w:eastAsia="Times New Roman" w:hAnsi="Calibri"/>
                <w:color w:val="000000"/>
                <w:sz w:val="22"/>
                <w:szCs w:val="22"/>
                <w:lang w:eastAsia="fr-FR"/>
              </w:rPr>
              <w:t>.</w:t>
            </w:r>
            <w:r w:rsidRPr="00165229">
              <w:rPr>
                <w:rFonts w:ascii="Calibri" w:eastAsia="Times New Roman" w:hAnsi="Calibri"/>
                <w:color w:val="000000"/>
                <w:sz w:val="22"/>
                <w:szCs w:val="22"/>
                <w:lang w:eastAsia="fr-FR"/>
              </w:rPr>
              <w:t>32</w:t>
            </w:r>
          </w:p>
        </w:tc>
        <w:tc>
          <w:tcPr>
            <w:tcW w:w="530" w:type="dxa"/>
            <w:tcBorders>
              <w:top w:val="nil"/>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color w:val="000000"/>
                <w:lang w:eastAsia="fr-FR"/>
              </w:rPr>
            </w:pPr>
            <w:r w:rsidRPr="00165229">
              <w:rPr>
                <w:rFonts w:ascii="Calibri" w:eastAsia="Times New Roman" w:hAnsi="Calibri"/>
                <w:color w:val="000000"/>
                <w:sz w:val="22"/>
                <w:szCs w:val="22"/>
                <w:lang w:eastAsia="fr-FR"/>
              </w:rPr>
              <w:t>0</w:t>
            </w:r>
            <w:r w:rsidR="00284AD6">
              <w:rPr>
                <w:rFonts w:ascii="Calibri" w:eastAsia="Times New Roman" w:hAnsi="Calibri"/>
                <w:color w:val="000000"/>
                <w:sz w:val="22"/>
                <w:szCs w:val="22"/>
                <w:lang w:eastAsia="fr-FR"/>
              </w:rPr>
              <w:t>.</w:t>
            </w:r>
            <w:r w:rsidRPr="00165229">
              <w:rPr>
                <w:rFonts w:ascii="Calibri" w:eastAsia="Times New Roman" w:hAnsi="Calibri"/>
                <w:color w:val="000000"/>
                <w:sz w:val="22"/>
                <w:szCs w:val="22"/>
                <w:lang w:eastAsia="fr-FR"/>
              </w:rPr>
              <w:t>13</w:t>
            </w:r>
          </w:p>
        </w:tc>
      </w:tr>
      <w:tr w:rsidR="00F75EA9" w:rsidRPr="00165229" w:rsidTr="00823375">
        <w:trPr>
          <w:trHeight w:val="300"/>
          <w:jc w:val="center"/>
        </w:trPr>
        <w:tc>
          <w:tcPr>
            <w:tcW w:w="1716" w:type="dxa"/>
            <w:tcBorders>
              <w:top w:val="nil"/>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color w:val="000000"/>
                <w:lang w:eastAsia="fr-FR"/>
              </w:rPr>
            </w:pPr>
            <w:r w:rsidRPr="00165229">
              <w:rPr>
                <w:rFonts w:ascii="Calibri" w:eastAsia="Times New Roman" w:hAnsi="Calibri"/>
                <w:color w:val="000000"/>
                <w:sz w:val="22"/>
                <w:szCs w:val="22"/>
                <w:lang w:eastAsia="fr-FR"/>
              </w:rPr>
              <w:t>4</w:t>
            </w:r>
          </w:p>
        </w:tc>
        <w:tc>
          <w:tcPr>
            <w:tcW w:w="1200" w:type="dxa"/>
            <w:tcBorders>
              <w:top w:val="nil"/>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color w:val="000000"/>
                <w:lang w:eastAsia="fr-FR"/>
              </w:rPr>
            </w:pPr>
            <w:r w:rsidRPr="00165229">
              <w:rPr>
                <w:rFonts w:ascii="Calibri" w:eastAsia="Times New Roman" w:hAnsi="Calibri"/>
                <w:color w:val="000000"/>
                <w:sz w:val="22"/>
                <w:szCs w:val="22"/>
                <w:lang w:eastAsia="fr-FR"/>
              </w:rPr>
              <w:t>positive</w:t>
            </w:r>
          </w:p>
        </w:tc>
        <w:tc>
          <w:tcPr>
            <w:tcW w:w="537" w:type="dxa"/>
            <w:tcBorders>
              <w:top w:val="nil"/>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color w:val="000000"/>
                <w:lang w:eastAsia="fr-FR"/>
              </w:rPr>
            </w:pPr>
            <w:r w:rsidRPr="00165229">
              <w:rPr>
                <w:rFonts w:ascii="Calibri" w:eastAsia="Times New Roman" w:hAnsi="Calibri"/>
                <w:color w:val="000000"/>
                <w:sz w:val="22"/>
                <w:szCs w:val="22"/>
                <w:lang w:eastAsia="fr-FR"/>
              </w:rPr>
              <w:t>0</w:t>
            </w:r>
            <w:r w:rsidR="00284AD6">
              <w:rPr>
                <w:rFonts w:ascii="Calibri" w:eastAsia="Times New Roman" w:hAnsi="Calibri"/>
                <w:color w:val="000000"/>
                <w:sz w:val="22"/>
                <w:szCs w:val="22"/>
                <w:lang w:eastAsia="fr-FR"/>
              </w:rPr>
              <w:t>.</w:t>
            </w:r>
            <w:r w:rsidRPr="00165229">
              <w:rPr>
                <w:rFonts w:ascii="Calibri" w:eastAsia="Times New Roman" w:hAnsi="Calibri"/>
                <w:color w:val="000000"/>
                <w:sz w:val="22"/>
                <w:szCs w:val="22"/>
                <w:lang w:eastAsia="fr-FR"/>
              </w:rPr>
              <w:t>15</w:t>
            </w:r>
          </w:p>
        </w:tc>
        <w:tc>
          <w:tcPr>
            <w:tcW w:w="635" w:type="dxa"/>
            <w:tcBorders>
              <w:top w:val="nil"/>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color w:val="000000"/>
                <w:lang w:eastAsia="fr-FR"/>
              </w:rPr>
            </w:pPr>
            <w:r w:rsidRPr="00165229">
              <w:rPr>
                <w:rFonts w:ascii="Calibri" w:eastAsia="Times New Roman" w:hAnsi="Calibri"/>
                <w:color w:val="000000"/>
                <w:sz w:val="22"/>
                <w:szCs w:val="22"/>
                <w:lang w:eastAsia="fr-FR"/>
              </w:rPr>
              <w:t>1</w:t>
            </w:r>
            <w:r w:rsidR="00284AD6">
              <w:rPr>
                <w:rFonts w:ascii="Calibri" w:eastAsia="Times New Roman" w:hAnsi="Calibri"/>
                <w:color w:val="000000"/>
                <w:sz w:val="22"/>
                <w:szCs w:val="22"/>
                <w:lang w:eastAsia="fr-FR"/>
              </w:rPr>
              <w:t>.</w:t>
            </w:r>
            <w:r w:rsidRPr="00165229">
              <w:rPr>
                <w:rFonts w:ascii="Calibri" w:eastAsia="Times New Roman" w:hAnsi="Calibri"/>
                <w:color w:val="000000"/>
                <w:sz w:val="22"/>
                <w:szCs w:val="22"/>
                <w:lang w:eastAsia="fr-FR"/>
              </w:rPr>
              <w:t>68</w:t>
            </w:r>
          </w:p>
        </w:tc>
        <w:tc>
          <w:tcPr>
            <w:tcW w:w="530" w:type="dxa"/>
            <w:tcBorders>
              <w:top w:val="nil"/>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color w:val="000000"/>
                <w:lang w:eastAsia="fr-FR"/>
              </w:rPr>
            </w:pPr>
            <w:r w:rsidRPr="00165229">
              <w:rPr>
                <w:rFonts w:ascii="Calibri" w:eastAsia="Times New Roman" w:hAnsi="Calibri"/>
                <w:color w:val="000000"/>
                <w:sz w:val="22"/>
                <w:szCs w:val="22"/>
                <w:lang w:eastAsia="fr-FR"/>
              </w:rPr>
              <w:t>0</w:t>
            </w:r>
            <w:r w:rsidR="00284AD6">
              <w:rPr>
                <w:rFonts w:ascii="Calibri" w:eastAsia="Times New Roman" w:hAnsi="Calibri"/>
                <w:color w:val="000000"/>
                <w:sz w:val="22"/>
                <w:szCs w:val="22"/>
                <w:lang w:eastAsia="fr-FR"/>
              </w:rPr>
              <w:t>.</w:t>
            </w:r>
            <w:r w:rsidRPr="00165229">
              <w:rPr>
                <w:rFonts w:ascii="Calibri" w:eastAsia="Times New Roman" w:hAnsi="Calibri"/>
                <w:color w:val="000000"/>
                <w:sz w:val="22"/>
                <w:szCs w:val="22"/>
                <w:lang w:eastAsia="fr-FR"/>
              </w:rPr>
              <w:t>85</w:t>
            </w:r>
          </w:p>
        </w:tc>
        <w:tc>
          <w:tcPr>
            <w:tcW w:w="340" w:type="dxa"/>
            <w:tcBorders>
              <w:top w:val="nil"/>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color w:val="000000"/>
                <w:lang w:eastAsia="fr-FR"/>
              </w:rPr>
            </w:pPr>
          </w:p>
        </w:tc>
        <w:tc>
          <w:tcPr>
            <w:tcW w:w="573" w:type="dxa"/>
            <w:tcBorders>
              <w:top w:val="nil"/>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color w:val="000000"/>
                <w:lang w:eastAsia="fr-FR"/>
              </w:rPr>
            </w:pPr>
            <w:r w:rsidRPr="00165229">
              <w:rPr>
                <w:rFonts w:ascii="Calibri" w:eastAsia="Times New Roman" w:hAnsi="Calibri"/>
                <w:color w:val="000000"/>
                <w:sz w:val="22"/>
                <w:szCs w:val="22"/>
                <w:lang w:eastAsia="fr-FR"/>
              </w:rPr>
              <w:t>0</w:t>
            </w:r>
            <w:r w:rsidR="00284AD6">
              <w:rPr>
                <w:rFonts w:ascii="Calibri" w:eastAsia="Times New Roman" w:hAnsi="Calibri"/>
                <w:color w:val="000000"/>
                <w:sz w:val="22"/>
                <w:szCs w:val="22"/>
                <w:lang w:eastAsia="fr-FR"/>
              </w:rPr>
              <w:t>.</w:t>
            </w:r>
            <w:r w:rsidRPr="00165229">
              <w:rPr>
                <w:rFonts w:ascii="Calibri" w:eastAsia="Times New Roman" w:hAnsi="Calibri"/>
                <w:color w:val="000000"/>
                <w:sz w:val="22"/>
                <w:szCs w:val="22"/>
                <w:lang w:eastAsia="fr-FR"/>
              </w:rPr>
              <w:t>05</w:t>
            </w:r>
          </w:p>
        </w:tc>
        <w:tc>
          <w:tcPr>
            <w:tcW w:w="657" w:type="dxa"/>
            <w:tcBorders>
              <w:top w:val="nil"/>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color w:val="000000"/>
                <w:lang w:eastAsia="fr-FR"/>
              </w:rPr>
            </w:pPr>
            <w:r w:rsidRPr="00165229">
              <w:rPr>
                <w:rFonts w:ascii="Calibri" w:eastAsia="Times New Roman" w:hAnsi="Calibri"/>
                <w:color w:val="000000"/>
                <w:sz w:val="22"/>
                <w:szCs w:val="22"/>
                <w:lang w:eastAsia="fr-FR"/>
              </w:rPr>
              <w:t>0</w:t>
            </w:r>
            <w:r w:rsidR="00284AD6">
              <w:rPr>
                <w:rFonts w:ascii="Calibri" w:eastAsia="Times New Roman" w:hAnsi="Calibri"/>
                <w:color w:val="000000"/>
                <w:sz w:val="22"/>
                <w:szCs w:val="22"/>
                <w:lang w:eastAsia="fr-FR"/>
              </w:rPr>
              <w:t>.</w:t>
            </w:r>
            <w:r w:rsidRPr="00165229">
              <w:rPr>
                <w:rFonts w:ascii="Calibri" w:eastAsia="Times New Roman" w:hAnsi="Calibri"/>
                <w:color w:val="000000"/>
                <w:sz w:val="22"/>
                <w:szCs w:val="22"/>
                <w:lang w:eastAsia="fr-FR"/>
              </w:rPr>
              <w:t>79</w:t>
            </w:r>
          </w:p>
        </w:tc>
        <w:tc>
          <w:tcPr>
            <w:tcW w:w="530" w:type="dxa"/>
            <w:tcBorders>
              <w:top w:val="nil"/>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color w:val="000000"/>
                <w:lang w:eastAsia="fr-FR"/>
              </w:rPr>
            </w:pPr>
            <w:r w:rsidRPr="00165229">
              <w:rPr>
                <w:rFonts w:ascii="Calibri" w:eastAsia="Times New Roman" w:hAnsi="Calibri"/>
                <w:color w:val="000000"/>
                <w:sz w:val="22"/>
                <w:szCs w:val="22"/>
                <w:lang w:eastAsia="fr-FR"/>
              </w:rPr>
              <w:t>0</w:t>
            </w:r>
            <w:r w:rsidR="00284AD6">
              <w:rPr>
                <w:rFonts w:ascii="Calibri" w:eastAsia="Times New Roman" w:hAnsi="Calibri"/>
                <w:color w:val="000000"/>
                <w:sz w:val="22"/>
                <w:szCs w:val="22"/>
                <w:lang w:eastAsia="fr-FR"/>
              </w:rPr>
              <w:t>.</w:t>
            </w:r>
            <w:r w:rsidRPr="00165229">
              <w:rPr>
                <w:rFonts w:ascii="Calibri" w:eastAsia="Times New Roman" w:hAnsi="Calibri"/>
                <w:color w:val="000000"/>
                <w:sz w:val="22"/>
                <w:szCs w:val="22"/>
                <w:lang w:eastAsia="fr-FR"/>
              </w:rPr>
              <w:t>29</w:t>
            </w:r>
          </w:p>
        </w:tc>
      </w:tr>
      <w:tr w:rsidR="00F75EA9" w:rsidRPr="00284AD6" w:rsidTr="00823375">
        <w:trPr>
          <w:trHeight w:val="300"/>
          <w:jc w:val="center"/>
        </w:trPr>
        <w:tc>
          <w:tcPr>
            <w:tcW w:w="1716" w:type="dxa"/>
            <w:tcBorders>
              <w:top w:val="nil"/>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color w:val="000000"/>
                <w:lang w:eastAsia="fr-FR"/>
              </w:rPr>
            </w:pPr>
            <w:r w:rsidRPr="00165229">
              <w:rPr>
                <w:rFonts w:ascii="Calibri" w:eastAsia="Times New Roman" w:hAnsi="Calibri"/>
                <w:color w:val="000000"/>
                <w:sz w:val="22"/>
                <w:szCs w:val="22"/>
                <w:lang w:eastAsia="fr-FR"/>
              </w:rPr>
              <w:t>5</w:t>
            </w:r>
          </w:p>
        </w:tc>
        <w:tc>
          <w:tcPr>
            <w:tcW w:w="1200" w:type="dxa"/>
            <w:tcBorders>
              <w:top w:val="nil"/>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color w:val="000000"/>
                <w:lang w:eastAsia="fr-FR"/>
              </w:rPr>
            </w:pPr>
            <w:r w:rsidRPr="00165229">
              <w:rPr>
                <w:rFonts w:ascii="Calibri" w:eastAsia="Times New Roman" w:hAnsi="Calibri"/>
                <w:color w:val="000000"/>
                <w:sz w:val="22"/>
                <w:szCs w:val="22"/>
                <w:lang w:eastAsia="fr-FR"/>
              </w:rPr>
              <w:t>positive</w:t>
            </w:r>
          </w:p>
        </w:tc>
        <w:tc>
          <w:tcPr>
            <w:tcW w:w="537" w:type="dxa"/>
            <w:tcBorders>
              <w:top w:val="nil"/>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color w:val="000000"/>
                <w:lang w:eastAsia="fr-FR"/>
              </w:rPr>
            </w:pPr>
            <w:r w:rsidRPr="00165229">
              <w:rPr>
                <w:rFonts w:ascii="Calibri" w:eastAsia="Times New Roman" w:hAnsi="Calibri"/>
                <w:color w:val="000000"/>
                <w:sz w:val="22"/>
                <w:szCs w:val="22"/>
                <w:lang w:eastAsia="fr-FR"/>
              </w:rPr>
              <w:t>0</w:t>
            </w:r>
            <w:r w:rsidR="00284AD6">
              <w:rPr>
                <w:rFonts w:ascii="Calibri" w:eastAsia="Times New Roman" w:hAnsi="Calibri"/>
                <w:color w:val="000000"/>
                <w:sz w:val="22"/>
                <w:szCs w:val="22"/>
                <w:lang w:eastAsia="fr-FR"/>
              </w:rPr>
              <w:t>.</w:t>
            </w:r>
            <w:r w:rsidRPr="00165229">
              <w:rPr>
                <w:rFonts w:ascii="Calibri" w:eastAsia="Times New Roman" w:hAnsi="Calibri"/>
                <w:color w:val="000000"/>
                <w:sz w:val="22"/>
                <w:szCs w:val="22"/>
                <w:lang w:eastAsia="fr-FR"/>
              </w:rPr>
              <w:t>07</w:t>
            </w:r>
          </w:p>
        </w:tc>
        <w:tc>
          <w:tcPr>
            <w:tcW w:w="635" w:type="dxa"/>
            <w:tcBorders>
              <w:top w:val="nil"/>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color w:val="000000"/>
                <w:lang w:eastAsia="fr-FR"/>
              </w:rPr>
            </w:pPr>
            <w:r w:rsidRPr="00165229">
              <w:rPr>
                <w:rFonts w:ascii="Calibri" w:eastAsia="Times New Roman" w:hAnsi="Calibri"/>
                <w:color w:val="000000"/>
                <w:sz w:val="22"/>
                <w:szCs w:val="22"/>
                <w:lang w:eastAsia="fr-FR"/>
              </w:rPr>
              <w:t>3</w:t>
            </w:r>
            <w:r w:rsidR="00284AD6">
              <w:rPr>
                <w:rFonts w:ascii="Calibri" w:eastAsia="Times New Roman" w:hAnsi="Calibri"/>
                <w:color w:val="000000"/>
                <w:sz w:val="22"/>
                <w:szCs w:val="22"/>
                <w:lang w:eastAsia="fr-FR"/>
              </w:rPr>
              <w:t>.</w:t>
            </w:r>
            <w:r w:rsidRPr="00165229">
              <w:rPr>
                <w:rFonts w:ascii="Calibri" w:eastAsia="Times New Roman" w:hAnsi="Calibri"/>
                <w:color w:val="000000"/>
                <w:sz w:val="22"/>
                <w:szCs w:val="22"/>
                <w:lang w:eastAsia="fr-FR"/>
              </w:rPr>
              <w:t>36</w:t>
            </w:r>
          </w:p>
        </w:tc>
        <w:tc>
          <w:tcPr>
            <w:tcW w:w="530" w:type="dxa"/>
            <w:tcBorders>
              <w:top w:val="nil"/>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color w:val="000000"/>
                <w:lang w:eastAsia="fr-FR"/>
              </w:rPr>
            </w:pPr>
            <w:r w:rsidRPr="00165229">
              <w:rPr>
                <w:rFonts w:ascii="Calibri" w:eastAsia="Times New Roman" w:hAnsi="Calibri"/>
                <w:color w:val="000000"/>
                <w:sz w:val="22"/>
                <w:szCs w:val="22"/>
                <w:lang w:eastAsia="fr-FR"/>
              </w:rPr>
              <w:t>0</w:t>
            </w:r>
            <w:r w:rsidR="00284AD6">
              <w:rPr>
                <w:rFonts w:ascii="Calibri" w:eastAsia="Times New Roman" w:hAnsi="Calibri"/>
                <w:color w:val="000000"/>
                <w:sz w:val="22"/>
                <w:szCs w:val="22"/>
                <w:lang w:eastAsia="fr-FR"/>
              </w:rPr>
              <w:t>.</w:t>
            </w:r>
            <w:r w:rsidRPr="00165229">
              <w:rPr>
                <w:rFonts w:ascii="Calibri" w:eastAsia="Times New Roman" w:hAnsi="Calibri"/>
                <w:color w:val="000000"/>
                <w:sz w:val="22"/>
                <w:szCs w:val="22"/>
                <w:lang w:eastAsia="fr-FR"/>
              </w:rPr>
              <w:t>22</w:t>
            </w:r>
          </w:p>
        </w:tc>
        <w:tc>
          <w:tcPr>
            <w:tcW w:w="340" w:type="dxa"/>
            <w:tcBorders>
              <w:top w:val="nil"/>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color w:val="000000"/>
                <w:lang w:eastAsia="fr-FR"/>
              </w:rPr>
            </w:pPr>
          </w:p>
        </w:tc>
        <w:tc>
          <w:tcPr>
            <w:tcW w:w="573" w:type="dxa"/>
            <w:tcBorders>
              <w:top w:val="nil"/>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color w:val="000000"/>
                <w:lang w:eastAsia="fr-FR"/>
              </w:rPr>
            </w:pPr>
            <w:r w:rsidRPr="00165229">
              <w:rPr>
                <w:rFonts w:ascii="Calibri" w:eastAsia="Times New Roman" w:hAnsi="Calibri"/>
                <w:color w:val="000000"/>
                <w:sz w:val="22"/>
                <w:szCs w:val="22"/>
                <w:lang w:eastAsia="fr-FR"/>
              </w:rPr>
              <w:t>0</w:t>
            </w:r>
            <w:r w:rsidR="00284AD6">
              <w:rPr>
                <w:rFonts w:ascii="Calibri" w:eastAsia="Times New Roman" w:hAnsi="Calibri"/>
                <w:color w:val="000000"/>
                <w:sz w:val="22"/>
                <w:szCs w:val="22"/>
                <w:lang w:eastAsia="fr-FR"/>
              </w:rPr>
              <w:t>.</w:t>
            </w:r>
            <w:r w:rsidRPr="00165229">
              <w:rPr>
                <w:rFonts w:ascii="Calibri" w:eastAsia="Times New Roman" w:hAnsi="Calibri"/>
                <w:color w:val="000000"/>
                <w:sz w:val="22"/>
                <w:szCs w:val="22"/>
                <w:lang w:eastAsia="fr-FR"/>
              </w:rPr>
              <w:t>16</w:t>
            </w:r>
          </w:p>
        </w:tc>
        <w:tc>
          <w:tcPr>
            <w:tcW w:w="657" w:type="dxa"/>
            <w:tcBorders>
              <w:top w:val="nil"/>
              <w:left w:val="nil"/>
              <w:bottom w:val="nil"/>
              <w:right w:val="nil"/>
            </w:tcBorders>
            <w:shd w:val="clear" w:color="000000" w:fill="FFFFFF"/>
            <w:noWrap/>
            <w:vAlign w:val="bottom"/>
            <w:hideMark/>
          </w:tcPr>
          <w:p w:rsidR="00F75EA9" w:rsidRPr="00165229" w:rsidRDefault="00F75EA9" w:rsidP="00823375">
            <w:pPr>
              <w:spacing w:after="0" w:line="240" w:lineRule="auto"/>
              <w:rPr>
                <w:rFonts w:ascii="Calibri" w:eastAsia="Times New Roman" w:hAnsi="Calibri"/>
                <w:color w:val="000000"/>
                <w:lang w:eastAsia="fr-FR"/>
              </w:rPr>
            </w:pPr>
            <w:r w:rsidRPr="00165229">
              <w:rPr>
                <w:rFonts w:ascii="Calibri" w:eastAsia="Times New Roman" w:hAnsi="Calibri"/>
                <w:color w:val="000000"/>
                <w:sz w:val="22"/>
                <w:szCs w:val="22"/>
                <w:lang w:eastAsia="fr-FR"/>
              </w:rPr>
              <w:t>3</w:t>
            </w:r>
            <w:r w:rsidR="00284AD6">
              <w:rPr>
                <w:rFonts w:ascii="Calibri" w:eastAsia="Times New Roman" w:hAnsi="Calibri"/>
                <w:color w:val="000000"/>
                <w:sz w:val="22"/>
                <w:szCs w:val="22"/>
                <w:lang w:eastAsia="fr-FR"/>
              </w:rPr>
              <w:t>.</w:t>
            </w:r>
            <w:r w:rsidRPr="00165229">
              <w:rPr>
                <w:rFonts w:ascii="Calibri" w:eastAsia="Times New Roman" w:hAnsi="Calibri"/>
                <w:color w:val="000000"/>
                <w:sz w:val="22"/>
                <w:szCs w:val="22"/>
                <w:lang w:eastAsia="fr-FR"/>
              </w:rPr>
              <w:t>86</w:t>
            </w:r>
          </w:p>
        </w:tc>
        <w:tc>
          <w:tcPr>
            <w:tcW w:w="530" w:type="dxa"/>
            <w:tcBorders>
              <w:top w:val="nil"/>
              <w:left w:val="nil"/>
              <w:bottom w:val="nil"/>
              <w:right w:val="nil"/>
            </w:tcBorders>
            <w:shd w:val="clear" w:color="000000" w:fill="FFFFFF"/>
            <w:noWrap/>
            <w:vAlign w:val="bottom"/>
            <w:hideMark/>
          </w:tcPr>
          <w:p w:rsidR="00F75EA9" w:rsidRPr="00284AD6" w:rsidRDefault="00F75EA9" w:rsidP="00823375">
            <w:pPr>
              <w:spacing w:after="0" w:line="240" w:lineRule="auto"/>
              <w:rPr>
                <w:rFonts w:ascii="Calibri" w:eastAsia="Times New Roman" w:hAnsi="Calibri"/>
                <w:color w:val="000000"/>
                <w:lang w:val="en-US" w:eastAsia="fr-FR"/>
              </w:rPr>
            </w:pPr>
            <w:r w:rsidRPr="00284AD6">
              <w:rPr>
                <w:rFonts w:ascii="Calibri" w:eastAsia="Times New Roman" w:hAnsi="Calibri"/>
                <w:color w:val="000000"/>
                <w:sz w:val="22"/>
                <w:szCs w:val="22"/>
                <w:lang w:val="en-US" w:eastAsia="fr-FR"/>
              </w:rPr>
              <w:t>1</w:t>
            </w:r>
            <w:r w:rsidR="00284AD6" w:rsidRPr="00284AD6">
              <w:rPr>
                <w:rFonts w:ascii="Calibri" w:eastAsia="Times New Roman" w:hAnsi="Calibri"/>
                <w:color w:val="000000"/>
                <w:sz w:val="22"/>
                <w:szCs w:val="22"/>
                <w:lang w:val="en-US" w:eastAsia="fr-FR"/>
              </w:rPr>
              <w:t>.</w:t>
            </w:r>
            <w:r w:rsidRPr="00284AD6">
              <w:rPr>
                <w:rFonts w:ascii="Calibri" w:eastAsia="Times New Roman" w:hAnsi="Calibri"/>
                <w:color w:val="000000"/>
                <w:sz w:val="22"/>
                <w:szCs w:val="22"/>
                <w:lang w:val="en-US" w:eastAsia="fr-FR"/>
              </w:rPr>
              <w:t>32</w:t>
            </w:r>
          </w:p>
        </w:tc>
      </w:tr>
      <w:tr w:rsidR="00F75EA9" w:rsidRPr="00284AD6" w:rsidTr="00823375">
        <w:trPr>
          <w:trHeight w:val="300"/>
          <w:jc w:val="center"/>
        </w:trPr>
        <w:tc>
          <w:tcPr>
            <w:tcW w:w="1716" w:type="dxa"/>
            <w:tcBorders>
              <w:top w:val="nil"/>
              <w:left w:val="nil"/>
              <w:bottom w:val="single" w:sz="4" w:space="0" w:color="auto"/>
              <w:right w:val="nil"/>
            </w:tcBorders>
            <w:shd w:val="clear" w:color="000000" w:fill="FFFFFF"/>
            <w:noWrap/>
            <w:vAlign w:val="bottom"/>
            <w:hideMark/>
          </w:tcPr>
          <w:p w:rsidR="00F75EA9" w:rsidRPr="00284AD6" w:rsidRDefault="00F75EA9" w:rsidP="00823375">
            <w:pPr>
              <w:spacing w:after="0" w:line="240" w:lineRule="auto"/>
              <w:rPr>
                <w:rFonts w:ascii="Calibri" w:eastAsia="Times New Roman" w:hAnsi="Calibri"/>
                <w:color w:val="000000"/>
                <w:lang w:val="en-US" w:eastAsia="fr-FR"/>
              </w:rPr>
            </w:pPr>
            <w:r w:rsidRPr="00284AD6">
              <w:rPr>
                <w:rFonts w:ascii="Calibri" w:eastAsia="Times New Roman" w:hAnsi="Calibri"/>
                <w:color w:val="000000"/>
                <w:sz w:val="22"/>
                <w:szCs w:val="22"/>
                <w:lang w:val="en-US" w:eastAsia="fr-FR"/>
              </w:rPr>
              <w:t>6</w:t>
            </w:r>
          </w:p>
        </w:tc>
        <w:tc>
          <w:tcPr>
            <w:tcW w:w="1200" w:type="dxa"/>
            <w:tcBorders>
              <w:top w:val="nil"/>
              <w:left w:val="nil"/>
              <w:bottom w:val="single" w:sz="4" w:space="0" w:color="auto"/>
              <w:right w:val="nil"/>
            </w:tcBorders>
            <w:shd w:val="clear" w:color="000000" w:fill="FFFFFF"/>
            <w:noWrap/>
            <w:vAlign w:val="bottom"/>
            <w:hideMark/>
          </w:tcPr>
          <w:p w:rsidR="00F75EA9" w:rsidRPr="00284AD6" w:rsidRDefault="00F75EA9" w:rsidP="00823375">
            <w:pPr>
              <w:spacing w:after="0" w:line="240" w:lineRule="auto"/>
              <w:rPr>
                <w:rFonts w:ascii="Calibri" w:eastAsia="Times New Roman" w:hAnsi="Calibri"/>
                <w:color w:val="000000"/>
                <w:lang w:val="en-US" w:eastAsia="fr-FR"/>
              </w:rPr>
            </w:pPr>
            <w:r w:rsidRPr="00284AD6">
              <w:rPr>
                <w:rFonts w:ascii="Calibri" w:eastAsia="Times New Roman" w:hAnsi="Calibri"/>
                <w:color w:val="000000"/>
                <w:sz w:val="22"/>
                <w:szCs w:val="22"/>
                <w:lang w:val="en-US" w:eastAsia="fr-FR"/>
              </w:rPr>
              <w:t>positive</w:t>
            </w:r>
          </w:p>
        </w:tc>
        <w:tc>
          <w:tcPr>
            <w:tcW w:w="537" w:type="dxa"/>
            <w:tcBorders>
              <w:top w:val="nil"/>
              <w:left w:val="nil"/>
              <w:bottom w:val="single" w:sz="4" w:space="0" w:color="auto"/>
              <w:right w:val="nil"/>
            </w:tcBorders>
            <w:shd w:val="clear" w:color="000000" w:fill="FFFFFF"/>
            <w:noWrap/>
            <w:vAlign w:val="bottom"/>
            <w:hideMark/>
          </w:tcPr>
          <w:p w:rsidR="00F75EA9" w:rsidRPr="00284AD6" w:rsidRDefault="00F75EA9" w:rsidP="00823375">
            <w:pPr>
              <w:spacing w:after="0" w:line="240" w:lineRule="auto"/>
              <w:rPr>
                <w:rFonts w:ascii="Calibri" w:eastAsia="Times New Roman" w:hAnsi="Calibri"/>
                <w:color w:val="000000"/>
                <w:lang w:val="en-US" w:eastAsia="fr-FR"/>
              </w:rPr>
            </w:pPr>
            <w:r w:rsidRPr="00284AD6">
              <w:rPr>
                <w:rFonts w:ascii="Calibri" w:eastAsia="Times New Roman" w:hAnsi="Calibri"/>
                <w:color w:val="000000"/>
                <w:sz w:val="22"/>
                <w:szCs w:val="22"/>
                <w:lang w:val="en-US" w:eastAsia="fr-FR"/>
              </w:rPr>
              <w:t>0</w:t>
            </w:r>
            <w:r w:rsidR="00284AD6" w:rsidRPr="00284AD6">
              <w:rPr>
                <w:rFonts w:ascii="Calibri" w:eastAsia="Times New Roman" w:hAnsi="Calibri"/>
                <w:color w:val="000000"/>
                <w:sz w:val="22"/>
                <w:szCs w:val="22"/>
                <w:lang w:val="en-US" w:eastAsia="fr-FR"/>
              </w:rPr>
              <w:t>.</w:t>
            </w:r>
            <w:r w:rsidRPr="00284AD6">
              <w:rPr>
                <w:rFonts w:ascii="Calibri" w:eastAsia="Times New Roman" w:hAnsi="Calibri"/>
                <w:color w:val="000000"/>
                <w:sz w:val="22"/>
                <w:szCs w:val="22"/>
                <w:lang w:val="en-US" w:eastAsia="fr-FR"/>
              </w:rPr>
              <w:t>31</w:t>
            </w:r>
          </w:p>
        </w:tc>
        <w:tc>
          <w:tcPr>
            <w:tcW w:w="635" w:type="dxa"/>
            <w:tcBorders>
              <w:top w:val="nil"/>
              <w:left w:val="nil"/>
              <w:bottom w:val="single" w:sz="4" w:space="0" w:color="auto"/>
              <w:right w:val="nil"/>
            </w:tcBorders>
            <w:shd w:val="clear" w:color="000000" w:fill="FFFFFF"/>
            <w:noWrap/>
            <w:vAlign w:val="bottom"/>
            <w:hideMark/>
          </w:tcPr>
          <w:p w:rsidR="00F75EA9" w:rsidRPr="00284AD6" w:rsidRDefault="00284AD6" w:rsidP="00823375">
            <w:pPr>
              <w:spacing w:after="0" w:line="240" w:lineRule="auto"/>
              <w:rPr>
                <w:rFonts w:ascii="Calibri" w:eastAsia="Times New Roman" w:hAnsi="Calibri"/>
                <w:color w:val="000000"/>
                <w:lang w:val="en-US" w:eastAsia="fr-FR"/>
              </w:rPr>
            </w:pPr>
            <w:r w:rsidRPr="00284AD6">
              <w:rPr>
                <w:rFonts w:ascii="Calibri" w:eastAsia="Times New Roman" w:hAnsi="Calibri"/>
                <w:color w:val="000000"/>
                <w:sz w:val="22"/>
                <w:szCs w:val="22"/>
                <w:lang w:val="en-US" w:eastAsia="fr-FR"/>
              </w:rPr>
              <w:t>3.</w:t>
            </w:r>
            <w:r w:rsidR="00F75EA9" w:rsidRPr="00284AD6">
              <w:rPr>
                <w:rFonts w:ascii="Calibri" w:eastAsia="Times New Roman" w:hAnsi="Calibri"/>
                <w:color w:val="000000"/>
                <w:sz w:val="22"/>
                <w:szCs w:val="22"/>
                <w:lang w:val="en-US" w:eastAsia="fr-FR"/>
              </w:rPr>
              <w:t>68</w:t>
            </w:r>
          </w:p>
        </w:tc>
        <w:tc>
          <w:tcPr>
            <w:tcW w:w="530" w:type="dxa"/>
            <w:tcBorders>
              <w:top w:val="nil"/>
              <w:left w:val="nil"/>
              <w:bottom w:val="single" w:sz="4" w:space="0" w:color="auto"/>
              <w:right w:val="nil"/>
            </w:tcBorders>
            <w:shd w:val="clear" w:color="000000" w:fill="FFFFFF"/>
            <w:noWrap/>
            <w:vAlign w:val="bottom"/>
            <w:hideMark/>
          </w:tcPr>
          <w:p w:rsidR="00F75EA9" w:rsidRPr="00284AD6" w:rsidRDefault="00F75EA9" w:rsidP="00823375">
            <w:pPr>
              <w:spacing w:after="0" w:line="240" w:lineRule="auto"/>
              <w:rPr>
                <w:rFonts w:ascii="Calibri" w:eastAsia="Times New Roman" w:hAnsi="Calibri"/>
                <w:color w:val="000000"/>
                <w:lang w:val="en-US" w:eastAsia="fr-FR"/>
              </w:rPr>
            </w:pPr>
            <w:r w:rsidRPr="00284AD6">
              <w:rPr>
                <w:rFonts w:ascii="Calibri" w:eastAsia="Times New Roman" w:hAnsi="Calibri"/>
                <w:color w:val="000000"/>
                <w:sz w:val="22"/>
                <w:szCs w:val="22"/>
                <w:lang w:val="en-US" w:eastAsia="fr-FR"/>
              </w:rPr>
              <w:t>0</w:t>
            </w:r>
            <w:r w:rsidR="00284AD6" w:rsidRPr="00284AD6">
              <w:rPr>
                <w:rFonts w:ascii="Calibri" w:eastAsia="Times New Roman" w:hAnsi="Calibri"/>
                <w:color w:val="000000"/>
                <w:sz w:val="22"/>
                <w:szCs w:val="22"/>
                <w:lang w:val="en-US" w:eastAsia="fr-FR"/>
              </w:rPr>
              <w:t>.</w:t>
            </w:r>
            <w:r w:rsidRPr="00284AD6">
              <w:rPr>
                <w:rFonts w:ascii="Calibri" w:eastAsia="Times New Roman" w:hAnsi="Calibri"/>
                <w:color w:val="000000"/>
                <w:sz w:val="22"/>
                <w:szCs w:val="22"/>
                <w:lang w:val="en-US" w:eastAsia="fr-FR"/>
              </w:rPr>
              <w:t>07</w:t>
            </w:r>
          </w:p>
        </w:tc>
        <w:tc>
          <w:tcPr>
            <w:tcW w:w="340" w:type="dxa"/>
            <w:tcBorders>
              <w:top w:val="nil"/>
              <w:left w:val="nil"/>
              <w:bottom w:val="single" w:sz="4" w:space="0" w:color="auto"/>
              <w:right w:val="nil"/>
            </w:tcBorders>
            <w:shd w:val="clear" w:color="000000" w:fill="FFFFFF"/>
            <w:noWrap/>
            <w:vAlign w:val="bottom"/>
            <w:hideMark/>
          </w:tcPr>
          <w:p w:rsidR="00F75EA9" w:rsidRPr="00284AD6" w:rsidRDefault="00F75EA9" w:rsidP="00823375">
            <w:pPr>
              <w:spacing w:after="0" w:line="240" w:lineRule="auto"/>
              <w:rPr>
                <w:rFonts w:ascii="Calibri" w:eastAsia="Times New Roman" w:hAnsi="Calibri"/>
                <w:color w:val="000000"/>
                <w:lang w:val="en-US" w:eastAsia="fr-FR"/>
              </w:rPr>
            </w:pPr>
          </w:p>
        </w:tc>
        <w:tc>
          <w:tcPr>
            <w:tcW w:w="573" w:type="dxa"/>
            <w:tcBorders>
              <w:top w:val="nil"/>
              <w:left w:val="nil"/>
              <w:bottom w:val="single" w:sz="4" w:space="0" w:color="auto"/>
              <w:right w:val="nil"/>
            </w:tcBorders>
            <w:shd w:val="clear" w:color="000000" w:fill="FFFFFF"/>
            <w:noWrap/>
            <w:vAlign w:val="bottom"/>
            <w:hideMark/>
          </w:tcPr>
          <w:p w:rsidR="00F75EA9" w:rsidRPr="00284AD6" w:rsidRDefault="00F75EA9" w:rsidP="00823375">
            <w:pPr>
              <w:spacing w:after="0" w:line="240" w:lineRule="auto"/>
              <w:rPr>
                <w:rFonts w:ascii="Calibri" w:eastAsia="Times New Roman" w:hAnsi="Calibri"/>
                <w:color w:val="000000"/>
                <w:lang w:val="en-US" w:eastAsia="fr-FR"/>
              </w:rPr>
            </w:pPr>
            <w:r w:rsidRPr="00284AD6">
              <w:rPr>
                <w:rFonts w:ascii="Calibri" w:eastAsia="Times New Roman" w:hAnsi="Calibri"/>
                <w:color w:val="000000"/>
                <w:sz w:val="22"/>
                <w:szCs w:val="22"/>
                <w:lang w:val="en-US" w:eastAsia="fr-FR"/>
              </w:rPr>
              <w:t>-</w:t>
            </w:r>
          </w:p>
        </w:tc>
        <w:tc>
          <w:tcPr>
            <w:tcW w:w="657" w:type="dxa"/>
            <w:tcBorders>
              <w:top w:val="nil"/>
              <w:left w:val="nil"/>
              <w:bottom w:val="single" w:sz="4" w:space="0" w:color="auto"/>
              <w:right w:val="nil"/>
            </w:tcBorders>
            <w:shd w:val="clear" w:color="000000" w:fill="FFFFFF"/>
            <w:noWrap/>
            <w:vAlign w:val="bottom"/>
            <w:hideMark/>
          </w:tcPr>
          <w:p w:rsidR="00F75EA9" w:rsidRPr="00284AD6" w:rsidRDefault="00F75EA9" w:rsidP="00823375">
            <w:pPr>
              <w:spacing w:after="0" w:line="240" w:lineRule="auto"/>
              <w:rPr>
                <w:rFonts w:ascii="Calibri" w:eastAsia="Times New Roman" w:hAnsi="Calibri"/>
                <w:color w:val="000000"/>
                <w:lang w:val="en-US" w:eastAsia="fr-FR"/>
              </w:rPr>
            </w:pPr>
            <w:r w:rsidRPr="00284AD6">
              <w:rPr>
                <w:rFonts w:ascii="Calibri" w:eastAsia="Times New Roman" w:hAnsi="Calibri"/>
                <w:color w:val="000000"/>
                <w:sz w:val="22"/>
                <w:szCs w:val="22"/>
                <w:lang w:val="en-US" w:eastAsia="fr-FR"/>
              </w:rPr>
              <w:t>-</w:t>
            </w:r>
          </w:p>
        </w:tc>
        <w:tc>
          <w:tcPr>
            <w:tcW w:w="530" w:type="dxa"/>
            <w:tcBorders>
              <w:top w:val="nil"/>
              <w:left w:val="nil"/>
              <w:bottom w:val="single" w:sz="4" w:space="0" w:color="auto"/>
              <w:right w:val="nil"/>
            </w:tcBorders>
            <w:shd w:val="clear" w:color="000000" w:fill="FFFFFF"/>
            <w:noWrap/>
            <w:vAlign w:val="bottom"/>
            <w:hideMark/>
          </w:tcPr>
          <w:p w:rsidR="00F75EA9" w:rsidRPr="00284AD6" w:rsidRDefault="00F75EA9" w:rsidP="00823375">
            <w:pPr>
              <w:spacing w:after="0" w:line="240" w:lineRule="auto"/>
              <w:rPr>
                <w:rFonts w:ascii="Calibri" w:eastAsia="Times New Roman" w:hAnsi="Calibri"/>
                <w:color w:val="000000"/>
                <w:lang w:val="en-US" w:eastAsia="fr-FR"/>
              </w:rPr>
            </w:pPr>
            <w:r w:rsidRPr="00284AD6">
              <w:rPr>
                <w:rFonts w:ascii="Calibri" w:eastAsia="Times New Roman" w:hAnsi="Calibri"/>
                <w:color w:val="000000"/>
                <w:sz w:val="22"/>
                <w:szCs w:val="22"/>
                <w:lang w:val="en-US" w:eastAsia="fr-FR"/>
              </w:rPr>
              <w:t>-</w:t>
            </w:r>
          </w:p>
        </w:tc>
      </w:tr>
    </w:tbl>
    <w:p w:rsidR="00F75EA9" w:rsidRPr="0036499A" w:rsidRDefault="00823375" w:rsidP="00823375">
      <w:pPr>
        <w:spacing w:line="240" w:lineRule="auto"/>
        <w:ind w:left="1134"/>
        <w:rPr>
          <w:sz w:val="20"/>
          <w:szCs w:val="20"/>
          <w:lang w:val="en-GB"/>
        </w:rPr>
      </w:pPr>
      <w:r>
        <w:rPr>
          <w:sz w:val="20"/>
          <w:szCs w:val="20"/>
          <w:lang w:val="en-US"/>
        </w:rPr>
        <w:t xml:space="preserve"> </w:t>
      </w:r>
      <w:r w:rsidR="00F75EA9" w:rsidRPr="006C45DA">
        <w:rPr>
          <w:sz w:val="20"/>
          <w:szCs w:val="20"/>
          <w:lang w:val="en-US"/>
        </w:rPr>
        <w:t>A</w:t>
      </w:r>
      <w:r w:rsidR="00C04DED">
        <w:rPr>
          <w:sz w:val="20"/>
          <w:szCs w:val="20"/>
          <w:lang w:val="en-US"/>
        </w:rPr>
        <w:t xml:space="preserve"> maximum of </w:t>
      </w:r>
      <w:r w:rsidR="00F75EA9" w:rsidRPr="0036499A">
        <w:rPr>
          <w:sz w:val="20"/>
          <w:szCs w:val="20"/>
          <w:lang w:val="en-GB"/>
        </w:rPr>
        <w:t>6 components</w:t>
      </w:r>
      <w:r w:rsidR="00F75EA9">
        <w:rPr>
          <w:sz w:val="20"/>
          <w:szCs w:val="20"/>
          <w:lang w:val="en-GB"/>
        </w:rPr>
        <w:t xml:space="preserve"> </w:t>
      </w:r>
      <w:r w:rsidR="00C24C82">
        <w:rPr>
          <w:sz w:val="20"/>
          <w:szCs w:val="20"/>
          <w:lang w:val="en-GB"/>
        </w:rPr>
        <w:t xml:space="preserve"> was chosen </w:t>
      </w:r>
      <w:r w:rsidR="00424C2D">
        <w:rPr>
          <w:sz w:val="20"/>
          <w:szCs w:val="20"/>
          <w:lang w:val="en-GB"/>
        </w:rPr>
        <w:t>in order</w:t>
      </w:r>
      <w:r w:rsidR="00F75EA9">
        <w:rPr>
          <w:sz w:val="20"/>
          <w:szCs w:val="20"/>
          <w:lang w:val="en-GB"/>
        </w:rPr>
        <w:t xml:space="preserve"> t</w:t>
      </w:r>
      <w:r w:rsidR="00F75EA9" w:rsidRPr="0036499A">
        <w:rPr>
          <w:sz w:val="20"/>
          <w:szCs w:val="20"/>
          <w:lang w:val="en-GB"/>
        </w:rPr>
        <w:t>o avoid over-fitting the number of mixture</w:t>
      </w:r>
      <w:r>
        <w:rPr>
          <w:sz w:val="20"/>
          <w:szCs w:val="20"/>
          <w:lang w:val="en-GB"/>
        </w:rPr>
        <w:t xml:space="preserve">  m</w:t>
      </w:r>
      <w:r w:rsidR="00F75EA9" w:rsidRPr="0036499A">
        <w:rPr>
          <w:sz w:val="20"/>
          <w:szCs w:val="20"/>
          <w:lang w:val="en-GB"/>
        </w:rPr>
        <w:t>odel components.</w:t>
      </w:r>
    </w:p>
    <w:p w:rsidR="00F75EA9" w:rsidRPr="00496B12" w:rsidRDefault="00D241A5" w:rsidP="00D241A5">
      <w:pPr>
        <w:spacing w:line="480" w:lineRule="auto"/>
        <w:rPr>
          <w:lang w:val="en-US"/>
        </w:rPr>
      </w:pPr>
      <w:r w:rsidRPr="00496B12">
        <w:rPr>
          <w:lang w:val="en-US"/>
        </w:rPr>
        <w:t xml:space="preserve">HCV </w:t>
      </w:r>
      <w:r w:rsidR="00656C8F" w:rsidRPr="00496B12">
        <w:rPr>
          <w:lang w:val="en-US"/>
        </w:rPr>
        <w:t>classification</w:t>
      </w:r>
      <w:r w:rsidRPr="00496B12">
        <w:rPr>
          <w:lang w:val="en-US"/>
        </w:rPr>
        <w:t xml:space="preserve"> obtained from both approaches (threshold and direct method</w:t>
      </w:r>
      <w:r w:rsidR="00326E37" w:rsidRPr="00496B12">
        <w:rPr>
          <w:lang w:val="en-US"/>
        </w:rPr>
        <w:t>s</w:t>
      </w:r>
      <w:r w:rsidRPr="00496B12">
        <w:rPr>
          <w:lang w:val="en-US"/>
        </w:rPr>
        <w:t xml:space="preserve"> using the above mixture model) for comparison</w:t>
      </w:r>
      <w:r w:rsidR="00F970D1" w:rsidRPr="00496B12">
        <w:rPr>
          <w:lang w:val="en-US"/>
        </w:rPr>
        <w:t xml:space="preserve"> is presented in Table A3</w:t>
      </w:r>
      <w:r w:rsidR="00656C8F" w:rsidRPr="00496B12">
        <w:rPr>
          <w:lang w:val="en-US"/>
        </w:rPr>
        <w:t>.</w:t>
      </w:r>
    </w:p>
    <w:p w:rsidR="00656C8F" w:rsidRPr="00496B12" w:rsidRDefault="00656C8F" w:rsidP="00656C8F">
      <w:pPr>
        <w:spacing w:line="240" w:lineRule="auto"/>
        <w:rPr>
          <w:lang w:val="en-US" w:eastAsia="fr-FR"/>
        </w:rPr>
      </w:pPr>
      <w:r w:rsidRPr="00496B12">
        <w:rPr>
          <w:b/>
          <w:lang w:val="en-US" w:eastAsia="fr-FR"/>
        </w:rPr>
        <w:lastRenderedPageBreak/>
        <w:t>Table A3</w:t>
      </w:r>
      <w:r w:rsidRPr="00496B12">
        <w:rPr>
          <w:lang w:val="en-US" w:eastAsia="fr-FR"/>
        </w:rPr>
        <w:t xml:space="preserve">. </w:t>
      </w:r>
      <w:r w:rsidRPr="00496B12">
        <w:rPr>
          <w:lang w:val="en-US"/>
        </w:rPr>
        <w:t>HCV classification according to the threshold and direct method</w:t>
      </w:r>
      <w:r w:rsidR="00326E37" w:rsidRPr="00496B12">
        <w:rPr>
          <w:lang w:val="en-US"/>
        </w:rPr>
        <w:t>s</w:t>
      </w:r>
      <w:r w:rsidRPr="00496B12">
        <w:rPr>
          <w:lang w:val="en-US" w:eastAsia="fr-FR"/>
        </w:rPr>
        <w:t>, France, 2004 and 2011. ANRS-Coquelicot</w:t>
      </w:r>
      <w:r w:rsidR="00F970D1" w:rsidRPr="00496B12">
        <w:rPr>
          <w:lang w:val="en-US" w:eastAsia="fr-FR"/>
        </w:rPr>
        <w:t xml:space="preserve"> surveys</w:t>
      </w:r>
    </w:p>
    <w:tbl>
      <w:tblPr>
        <w:tblW w:w="6998" w:type="dxa"/>
        <w:jc w:val="center"/>
        <w:tblCellMar>
          <w:left w:w="70" w:type="dxa"/>
          <w:right w:w="70" w:type="dxa"/>
        </w:tblCellMar>
        <w:tblLook w:val="04A0" w:firstRow="1" w:lastRow="0" w:firstColumn="1" w:lastColumn="0" w:noHBand="0" w:noVBand="1"/>
      </w:tblPr>
      <w:tblGrid>
        <w:gridCol w:w="1858"/>
        <w:gridCol w:w="1219"/>
        <w:gridCol w:w="1218"/>
        <w:gridCol w:w="267"/>
        <w:gridCol w:w="1218"/>
        <w:gridCol w:w="1218"/>
      </w:tblGrid>
      <w:tr w:rsidR="00D241A5" w:rsidRPr="00496B12" w:rsidTr="00E4747F">
        <w:trPr>
          <w:trHeight w:val="300"/>
          <w:jc w:val="center"/>
        </w:trPr>
        <w:tc>
          <w:tcPr>
            <w:tcW w:w="1858" w:type="dxa"/>
            <w:tcBorders>
              <w:top w:val="single" w:sz="4" w:space="0" w:color="auto"/>
              <w:left w:val="nil"/>
              <w:bottom w:val="nil"/>
              <w:right w:val="nil"/>
            </w:tcBorders>
            <w:shd w:val="clear" w:color="auto" w:fill="auto"/>
            <w:noWrap/>
            <w:vAlign w:val="bottom"/>
            <w:hideMark/>
          </w:tcPr>
          <w:p w:rsidR="00D241A5" w:rsidRPr="00496B12" w:rsidRDefault="00D241A5" w:rsidP="00D241A5">
            <w:pPr>
              <w:spacing w:after="0" w:line="240" w:lineRule="auto"/>
              <w:rPr>
                <w:rFonts w:ascii="Calibri" w:eastAsia="Times New Roman" w:hAnsi="Calibri"/>
                <w:b/>
                <w:color w:val="000000"/>
                <w:sz w:val="22"/>
                <w:szCs w:val="22"/>
                <w:lang w:eastAsia="fr-FR"/>
              </w:rPr>
            </w:pPr>
            <w:r w:rsidRPr="00496B12">
              <w:rPr>
                <w:rFonts w:ascii="Calibri" w:eastAsia="Times New Roman" w:hAnsi="Calibri"/>
                <w:b/>
                <w:color w:val="000000"/>
                <w:sz w:val="22"/>
                <w:szCs w:val="22"/>
                <w:lang w:eastAsia="fr-FR"/>
              </w:rPr>
              <w:t>Method</w:t>
            </w:r>
          </w:p>
        </w:tc>
        <w:tc>
          <w:tcPr>
            <w:tcW w:w="5140" w:type="dxa"/>
            <w:gridSpan w:val="5"/>
            <w:tcBorders>
              <w:top w:val="single" w:sz="4" w:space="0" w:color="auto"/>
              <w:left w:val="nil"/>
              <w:bottom w:val="nil"/>
              <w:right w:val="nil"/>
            </w:tcBorders>
            <w:shd w:val="clear" w:color="auto" w:fill="auto"/>
            <w:noWrap/>
            <w:vAlign w:val="bottom"/>
            <w:hideMark/>
          </w:tcPr>
          <w:p w:rsidR="00D241A5" w:rsidRPr="00496B12" w:rsidRDefault="00D241A5" w:rsidP="00D241A5">
            <w:pPr>
              <w:spacing w:after="0" w:line="240" w:lineRule="auto"/>
              <w:jc w:val="center"/>
              <w:rPr>
                <w:rFonts w:ascii="Calibri" w:eastAsia="Times New Roman" w:hAnsi="Calibri"/>
                <w:b/>
                <w:color w:val="000000"/>
                <w:sz w:val="22"/>
                <w:szCs w:val="22"/>
                <w:lang w:eastAsia="fr-FR"/>
              </w:rPr>
            </w:pPr>
            <w:r w:rsidRPr="00496B12">
              <w:rPr>
                <w:rFonts w:ascii="Calibri" w:eastAsia="Times New Roman" w:hAnsi="Calibri"/>
                <w:b/>
                <w:color w:val="000000"/>
                <w:sz w:val="22"/>
                <w:szCs w:val="22"/>
                <w:lang w:eastAsia="fr-FR"/>
              </w:rPr>
              <w:t>Threshold method</w:t>
            </w:r>
          </w:p>
        </w:tc>
      </w:tr>
      <w:tr w:rsidR="00D241A5" w:rsidRPr="00496B12" w:rsidTr="00E4747F">
        <w:trPr>
          <w:trHeight w:val="300"/>
          <w:jc w:val="center"/>
        </w:trPr>
        <w:tc>
          <w:tcPr>
            <w:tcW w:w="1858" w:type="dxa"/>
            <w:tcBorders>
              <w:top w:val="nil"/>
              <w:left w:val="nil"/>
              <w:bottom w:val="nil"/>
              <w:right w:val="nil"/>
            </w:tcBorders>
            <w:shd w:val="clear" w:color="auto" w:fill="auto"/>
            <w:noWrap/>
            <w:vAlign w:val="bottom"/>
            <w:hideMark/>
          </w:tcPr>
          <w:p w:rsidR="00D241A5" w:rsidRPr="00496B12" w:rsidRDefault="00D241A5" w:rsidP="00D241A5">
            <w:pPr>
              <w:spacing w:after="0" w:line="240" w:lineRule="auto"/>
              <w:rPr>
                <w:rFonts w:ascii="Calibri" w:eastAsia="Times New Roman" w:hAnsi="Calibri"/>
                <w:b/>
                <w:color w:val="000000"/>
                <w:sz w:val="22"/>
                <w:szCs w:val="22"/>
                <w:lang w:eastAsia="fr-FR"/>
              </w:rPr>
            </w:pPr>
          </w:p>
        </w:tc>
        <w:tc>
          <w:tcPr>
            <w:tcW w:w="2437" w:type="dxa"/>
            <w:gridSpan w:val="2"/>
            <w:tcBorders>
              <w:top w:val="single" w:sz="4" w:space="0" w:color="auto"/>
              <w:left w:val="nil"/>
              <w:bottom w:val="single" w:sz="4" w:space="0" w:color="auto"/>
              <w:right w:val="nil"/>
            </w:tcBorders>
            <w:shd w:val="clear" w:color="auto" w:fill="auto"/>
            <w:noWrap/>
            <w:vAlign w:val="bottom"/>
            <w:hideMark/>
          </w:tcPr>
          <w:p w:rsidR="00D241A5" w:rsidRPr="00496B12" w:rsidRDefault="00D241A5" w:rsidP="00D241A5">
            <w:pPr>
              <w:spacing w:after="0" w:line="240" w:lineRule="auto"/>
              <w:jc w:val="center"/>
              <w:rPr>
                <w:rFonts w:ascii="Calibri" w:eastAsia="Times New Roman" w:hAnsi="Calibri"/>
                <w:b/>
                <w:color w:val="000000"/>
                <w:sz w:val="22"/>
                <w:szCs w:val="22"/>
                <w:lang w:eastAsia="fr-FR"/>
              </w:rPr>
            </w:pPr>
            <w:r w:rsidRPr="00496B12">
              <w:rPr>
                <w:rFonts w:ascii="Calibri" w:eastAsia="Times New Roman" w:hAnsi="Calibri"/>
                <w:b/>
                <w:color w:val="000000"/>
                <w:sz w:val="22"/>
                <w:szCs w:val="22"/>
                <w:lang w:eastAsia="fr-FR"/>
              </w:rPr>
              <w:t>2004</w:t>
            </w:r>
          </w:p>
        </w:tc>
        <w:tc>
          <w:tcPr>
            <w:tcW w:w="267" w:type="dxa"/>
            <w:tcBorders>
              <w:top w:val="nil"/>
              <w:left w:val="nil"/>
              <w:bottom w:val="nil"/>
              <w:right w:val="nil"/>
            </w:tcBorders>
            <w:shd w:val="clear" w:color="auto" w:fill="auto"/>
            <w:noWrap/>
            <w:vAlign w:val="bottom"/>
            <w:hideMark/>
          </w:tcPr>
          <w:p w:rsidR="00D241A5" w:rsidRPr="00496B12" w:rsidRDefault="00D241A5" w:rsidP="00D241A5">
            <w:pPr>
              <w:spacing w:after="0" w:line="240" w:lineRule="auto"/>
              <w:jc w:val="center"/>
              <w:rPr>
                <w:rFonts w:ascii="Calibri" w:eastAsia="Times New Roman" w:hAnsi="Calibri"/>
                <w:b/>
                <w:color w:val="000000"/>
                <w:sz w:val="22"/>
                <w:szCs w:val="22"/>
                <w:lang w:eastAsia="fr-FR"/>
              </w:rPr>
            </w:pPr>
          </w:p>
        </w:tc>
        <w:tc>
          <w:tcPr>
            <w:tcW w:w="2436" w:type="dxa"/>
            <w:gridSpan w:val="2"/>
            <w:tcBorders>
              <w:top w:val="single" w:sz="4" w:space="0" w:color="auto"/>
              <w:left w:val="nil"/>
              <w:bottom w:val="single" w:sz="4" w:space="0" w:color="auto"/>
              <w:right w:val="nil"/>
            </w:tcBorders>
            <w:shd w:val="clear" w:color="auto" w:fill="auto"/>
            <w:noWrap/>
            <w:vAlign w:val="bottom"/>
            <w:hideMark/>
          </w:tcPr>
          <w:p w:rsidR="00D241A5" w:rsidRPr="00496B12" w:rsidRDefault="00D241A5" w:rsidP="00D241A5">
            <w:pPr>
              <w:spacing w:after="0" w:line="240" w:lineRule="auto"/>
              <w:jc w:val="center"/>
              <w:rPr>
                <w:rFonts w:ascii="Calibri" w:eastAsia="Times New Roman" w:hAnsi="Calibri"/>
                <w:b/>
                <w:color w:val="000000"/>
                <w:sz w:val="22"/>
                <w:szCs w:val="22"/>
                <w:lang w:eastAsia="fr-FR"/>
              </w:rPr>
            </w:pPr>
            <w:r w:rsidRPr="00496B12">
              <w:rPr>
                <w:rFonts w:ascii="Calibri" w:eastAsia="Times New Roman" w:hAnsi="Calibri"/>
                <w:b/>
                <w:color w:val="000000"/>
                <w:sz w:val="22"/>
                <w:szCs w:val="22"/>
                <w:lang w:eastAsia="fr-FR"/>
              </w:rPr>
              <w:t>2011</w:t>
            </w:r>
          </w:p>
        </w:tc>
      </w:tr>
      <w:tr w:rsidR="00D241A5" w:rsidRPr="00496B12" w:rsidTr="00E4747F">
        <w:trPr>
          <w:trHeight w:val="300"/>
          <w:jc w:val="center"/>
        </w:trPr>
        <w:tc>
          <w:tcPr>
            <w:tcW w:w="1858" w:type="dxa"/>
            <w:tcBorders>
              <w:top w:val="nil"/>
              <w:left w:val="nil"/>
              <w:bottom w:val="single" w:sz="4" w:space="0" w:color="auto"/>
              <w:right w:val="nil"/>
            </w:tcBorders>
            <w:shd w:val="clear" w:color="auto" w:fill="auto"/>
            <w:noWrap/>
            <w:vAlign w:val="bottom"/>
            <w:hideMark/>
          </w:tcPr>
          <w:p w:rsidR="00D241A5" w:rsidRPr="00496B12" w:rsidRDefault="00D241A5" w:rsidP="00D241A5">
            <w:pPr>
              <w:spacing w:after="0" w:line="240" w:lineRule="auto"/>
              <w:rPr>
                <w:rFonts w:ascii="Calibri" w:eastAsia="Times New Roman" w:hAnsi="Calibri"/>
                <w:b/>
                <w:color w:val="000000"/>
                <w:sz w:val="22"/>
                <w:szCs w:val="22"/>
                <w:lang w:eastAsia="fr-FR"/>
              </w:rPr>
            </w:pPr>
            <w:r w:rsidRPr="00496B12">
              <w:rPr>
                <w:rFonts w:ascii="Calibri" w:eastAsia="Times New Roman" w:hAnsi="Calibri"/>
                <w:b/>
                <w:color w:val="000000"/>
                <w:sz w:val="22"/>
                <w:szCs w:val="22"/>
                <w:lang w:eastAsia="fr-FR"/>
              </w:rPr>
              <w:t>Direct method</w:t>
            </w:r>
          </w:p>
        </w:tc>
        <w:tc>
          <w:tcPr>
            <w:tcW w:w="1219" w:type="dxa"/>
            <w:tcBorders>
              <w:top w:val="nil"/>
              <w:left w:val="nil"/>
              <w:bottom w:val="single" w:sz="4" w:space="0" w:color="auto"/>
              <w:right w:val="nil"/>
            </w:tcBorders>
            <w:shd w:val="clear" w:color="auto" w:fill="auto"/>
            <w:noWrap/>
            <w:vAlign w:val="bottom"/>
            <w:hideMark/>
          </w:tcPr>
          <w:p w:rsidR="00D241A5" w:rsidRPr="00496B12" w:rsidRDefault="00D241A5" w:rsidP="00D241A5">
            <w:pPr>
              <w:spacing w:after="0" w:line="240" w:lineRule="auto"/>
              <w:jc w:val="right"/>
              <w:rPr>
                <w:rFonts w:ascii="Calibri" w:eastAsia="Times New Roman" w:hAnsi="Calibri"/>
                <w:b/>
                <w:color w:val="000000"/>
                <w:sz w:val="22"/>
                <w:szCs w:val="22"/>
                <w:lang w:eastAsia="fr-FR"/>
              </w:rPr>
            </w:pPr>
            <w:r w:rsidRPr="00496B12">
              <w:rPr>
                <w:rFonts w:ascii="Calibri" w:eastAsia="Times New Roman" w:hAnsi="Calibri"/>
                <w:b/>
                <w:color w:val="000000"/>
                <w:sz w:val="22"/>
                <w:szCs w:val="22"/>
                <w:lang w:eastAsia="fr-FR"/>
              </w:rPr>
              <w:t>0</w:t>
            </w:r>
          </w:p>
        </w:tc>
        <w:tc>
          <w:tcPr>
            <w:tcW w:w="1218" w:type="dxa"/>
            <w:tcBorders>
              <w:top w:val="nil"/>
              <w:left w:val="nil"/>
              <w:bottom w:val="single" w:sz="4" w:space="0" w:color="auto"/>
              <w:right w:val="nil"/>
            </w:tcBorders>
            <w:shd w:val="clear" w:color="auto" w:fill="auto"/>
            <w:noWrap/>
            <w:vAlign w:val="bottom"/>
            <w:hideMark/>
          </w:tcPr>
          <w:p w:rsidR="00D241A5" w:rsidRPr="00496B12" w:rsidRDefault="00D241A5" w:rsidP="00D241A5">
            <w:pPr>
              <w:spacing w:after="0" w:line="240" w:lineRule="auto"/>
              <w:jc w:val="right"/>
              <w:rPr>
                <w:rFonts w:ascii="Calibri" w:eastAsia="Times New Roman" w:hAnsi="Calibri"/>
                <w:b/>
                <w:color w:val="000000"/>
                <w:sz w:val="22"/>
                <w:szCs w:val="22"/>
                <w:lang w:eastAsia="fr-FR"/>
              </w:rPr>
            </w:pPr>
            <w:r w:rsidRPr="00496B12">
              <w:rPr>
                <w:rFonts w:ascii="Calibri" w:eastAsia="Times New Roman" w:hAnsi="Calibri"/>
                <w:b/>
                <w:color w:val="000000"/>
                <w:sz w:val="22"/>
                <w:szCs w:val="22"/>
                <w:lang w:eastAsia="fr-FR"/>
              </w:rPr>
              <w:t>1</w:t>
            </w:r>
          </w:p>
        </w:tc>
        <w:tc>
          <w:tcPr>
            <w:tcW w:w="267" w:type="dxa"/>
            <w:tcBorders>
              <w:top w:val="nil"/>
              <w:left w:val="nil"/>
              <w:bottom w:val="single" w:sz="4" w:space="0" w:color="auto"/>
              <w:right w:val="nil"/>
            </w:tcBorders>
            <w:shd w:val="clear" w:color="auto" w:fill="auto"/>
            <w:noWrap/>
            <w:vAlign w:val="bottom"/>
            <w:hideMark/>
          </w:tcPr>
          <w:p w:rsidR="00D241A5" w:rsidRPr="00496B12" w:rsidRDefault="00D241A5" w:rsidP="00D241A5">
            <w:pPr>
              <w:spacing w:after="0" w:line="240" w:lineRule="auto"/>
              <w:rPr>
                <w:rFonts w:ascii="Calibri" w:eastAsia="Times New Roman" w:hAnsi="Calibri"/>
                <w:b/>
                <w:color w:val="000000"/>
                <w:sz w:val="22"/>
                <w:szCs w:val="22"/>
                <w:lang w:eastAsia="fr-FR"/>
              </w:rPr>
            </w:pPr>
            <w:r w:rsidRPr="00496B12">
              <w:rPr>
                <w:rFonts w:ascii="Calibri" w:eastAsia="Times New Roman" w:hAnsi="Calibri"/>
                <w:b/>
                <w:color w:val="000000"/>
                <w:sz w:val="22"/>
                <w:szCs w:val="22"/>
                <w:lang w:eastAsia="fr-FR"/>
              </w:rPr>
              <w:t> </w:t>
            </w:r>
          </w:p>
        </w:tc>
        <w:tc>
          <w:tcPr>
            <w:tcW w:w="1218" w:type="dxa"/>
            <w:tcBorders>
              <w:top w:val="nil"/>
              <w:left w:val="nil"/>
              <w:bottom w:val="single" w:sz="4" w:space="0" w:color="auto"/>
              <w:right w:val="nil"/>
            </w:tcBorders>
            <w:shd w:val="clear" w:color="auto" w:fill="auto"/>
            <w:noWrap/>
            <w:vAlign w:val="bottom"/>
            <w:hideMark/>
          </w:tcPr>
          <w:p w:rsidR="00D241A5" w:rsidRPr="00496B12" w:rsidRDefault="00D241A5" w:rsidP="00D241A5">
            <w:pPr>
              <w:spacing w:after="0" w:line="240" w:lineRule="auto"/>
              <w:jc w:val="right"/>
              <w:rPr>
                <w:rFonts w:ascii="Calibri" w:eastAsia="Times New Roman" w:hAnsi="Calibri"/>
                <w:b/>
                <w:color w:val="000000"/>
                <w:sz w:val="22"/>
                <w:szCs w:val="22"/>
                <w:lang w:eastAsia="fr-FR"/>
              </w:rPr>
            </w:pPr>
            <w:r w:rsidRPr="00496B12">
              <w:rPr>
                <w:rFonts w:ascii="Calibri" w:eastAsia="Times New Roman" w:hAnsi="Calibri"/>
                <w:b/>
                <w:color w:val="000000"/>
                <w:sz w:val="22"/>
                <w:szCs w:val="22"/>
                <w:lang w:eastAsia="fr-FR"/>
              </w:rPr>
              <w:t>0</w:t>
            </w:r>
          </w:p>
        </w:tc>
        <w:tc>
          <w:tcPr>
            <w:tcW w:w="1218" w:type="dxa"/>
            <w:tcBorders>
              <w:top w:val="nil"/>
              <w:left w:val="nil"/>
              <w:bottom w:val="single" w:sz="4" w:space="0" w:color="auto"/>
              <w:right w:val="nil"/>
            </w:tcBorders>
            <w:shd w:val="clear" w:color="auto" w:fill="auto"/>
            <w:noWrap/>
            <w:vAlign w:val="bottom"/>
            <w:hideMark/>
          </w:tcPr>
          <w:p w:rsidR="00D241A5" w:rsidRPr="00496B12" w:rsidRDefault="00D241A5" w:rsidP="00D241A5">
            <w:pPr>
              <w:spacing w:after="0" w:line="240" w:lineRule="auto"/>
              <w:jc w:val="right"/>
              <w:rPr>
                <w:rFonts w:ascii="Calibri" w:eastAsia="Times New Roman" w:hAnsi="Calibri"/>
                <w:b/>
                <w:color w:val="000000"/>
                <w:sz w:val="22"/>
                <w:szCs w:val="22"/>
                <w:lang w:eastAsia="fr-FR"/>
              </w:rPr>
            </w:pPr>
            <w:r w:rsidRPr="00496B12">
              <w:rPr>
                <w:rFonts w:ascii="Calibri" w:eastAsia="Times New Roman" w:hAnsi="Calibri"/>
                <w:b/>
                <w:color w:val="000000"/>
                <w:sz w:val="22"/>
                <w:szCs w:val="22"/>
                <w:lang w:eastAsia="fr-FR"/>
              </w:rPr>
              <w:t>1</w:t>
            </w:r>
          </w:p>
        </w:tc>
      </w:tr>
      <w:tr w:rsidR="00D241A5" w:rsidRPr="00496B12" w:rsidTr="00E4747F">
        <w:trPr>
          <w:trHeight w:val="300"/>
          <w:jc w:val="center"/>
        </w:trPr>
        <w:tc>
          <w:tcPr>
            <w:tcW w:w="1858" w:type="dxa"/>
            <w:tcBorders>
              <w:top w:val="nil"/>
              <w:left w:val="nil"/>
              <w:bottom w:val="nil"/>
              <w:right w:val="nil"/>
            </w:tcBorders>
            <w:shd w:val="clear" w:color="auto" w:fill="auto"/>
            <w:noWrap/>
            <w:vAlign w:val="bottom"/>
            <w:hideMark/>
          </w:tcPr>
          <w:p w:rsidR="00D241A5" w:rsidRPr="00496B12" w:rsidRDefault="00D241A5" w:rsidP="00D241A5">
            <w:pPr>
              <w:spacing w:after="0" w:line="240" w:lineRule="auto"/>
              <w:rPr>
                <w:rFonts w:ascii="Calibri" w:eastAsia="Times New Roman" w:hAnsi="Calibri"/>
                <w:b/>
                <w:color w:val="000000"/>
                <w:sz w:val="22"/>
                <w:szCs w:val="22"/>
                <w:lang w:eastAsia="fr-FR"/>
              </w:rPr>
            </w:pPr>
            <w:r w:rsidRPr="00496B12">
              <w:rPr>
                <w:rFonts w:ascii="Calibri" w:eastAsia="Times New Roman" w:hAnsi="Calibri"/>
                <w:b/>
                <w:color w:val="000000"/>
                <w:sz w:val="22"/>
                <w:szCs w:val="22"/>
                <w:lang w:eastAsia="fr-FR"/>
              </w:rPr>
              <w:t>0</w:t>
            </w:r>
          </w:p>
        </w:tc>
        <w:tc>
          <w:tcPr>
            <w:tcW w:w="1219" w:type="dxa"/>
            <w:tcBorders>
              <w:top w:val="nil"/>
              <w:left w:val="nil"/>
              <w:bottom w:val="nil"/>
              <w:right w:val="nil"/>
            </w:tcBorders>
            <w:shd w:val="clear" w:color="auto" w:fill="auto"/>
            <w:noWrap/>
            <w:vAlign w:val="bottom"/>
            <w:hideMark/>
          </w:tcPr>
          <w:p w:rsidR="00D241A5" w:rsidRPr="00496B12" w:rsidRDefault="00D241A5" w:rsidP="00D241A5">
            <w:pPr>
              <w:spacing w:after="0" w:line="240" w:lineRule="auto"/>
              <w:jc w:val="right"/>
              <w:rPr>
                <w:rFonts w:ascii="Calibri" w:eastAsia="Times New Roman" w:hAnsi="Calibri"/>
                <w:color w:val="000000"/>
                <w:sz w:val="22"/>
                <w:szCs w:val="22"/>
                <w:lang w:eastAsia="fr-FR"/>
              </w:rPr>
            </w:pPr>
            <w:r w:rsidRPr="00496B12">
              <w:rPr>
                <w:rFonts w:ascii="Calibri" w:eastAsia="Times New Roman" w:hAnsi="Calibri"/>
                <w:color w:val="000000"/>
                <w:sz w:val="22"/>
                <w:szCs w:val="22"/>
                <w:lang w:eastAsia="fr-FR"/>
              </w:rPr>
              <w:t>373</w:t>
            </w:r>
          </w:p>
        </w:tc>
        <w:tc>
          <w:tcPr>
            <w:tcW w:w="1218" w:type="dxa"/>
            <w:tcBorders>
              <w:top w:val="nil"/>
              <w:left w:val="nil"/>
              <w:bottom w:val="nil"/>
              <w:right w:val="nil"/>
            </w:tcBorders>
            <w:shd w:val="clear" w:color="auto" w:fill="auto"/>
            <w:noWrap/>
            <w:vAlign w:val="bottom"/>
            <w:hideMark/>
          </w:tcPr>
          <w:p w:rsidR="00D241A5" w:rsidRPr="00496B12" w:rsidRDefault="00D241A5" w:rsidP="00D241A5">
            <w:pPr>
              <w:spacing w:after="0" w:line="240" w:lineRule="auto"/>
              <w:jc w:val="right"/>
              <w:rPr>
                <w:rFonts w:ascii="Calibri" w:eastAsia="Times New Roman" w:hAnsi="Calibri"/>
                <w:color w:val="000000"/>
                <w:sz w:val="22"/>
                <w:szCs w:val="22"/>
                <w:lang w:eastAsia="fr-FR"/>
              </w:rPr>
            </w:pPr>
            <w:r w:rsidRPr="00496B12">
              <w:rPr>
                <w:rFonts w:ascii="Calibri" w:eastAsia="Times New Roman" w:hAnsi="Calibri"/>
                <w:color w:val="000000"/>
                <w:sz w:val="22"/>
                <w:szCs w:val="22"/>
                <w:lang w:eastAsia="fr-FR"/>
              </w:rPr>
              <w:t>13</w:t>
            </w:r>
          </w:p>
        </w:tc>
        <w:tc>
          <w:tcPr>
            <w:tcW w:w="267" w:type="dxa"/>
            <w:tcBorders>
              <w:top w:val="nil"/>
              <w:left w:val="nil"/>
              <w:bottom w:val="nil"/>
              <w:right w:val="nil"/>
            </w:tcBorders>
            <w:shd w:val="clear" w:color="auto" w:fill="auto"/>
            <w:noWrap/>
            <w:vAlign w:val="bottom"/>
            <w:hideMark/>
          </w:tcPr>
          <w:p w:rsidR="00D241A5" w:rsidRPr="00496B12" w:rsidRDefault="00D241A5" w:rsidP="00D241A5">
            <w:pPr>
              <w:spacing w:after="0" w:line="240" w:lineRule="auto"/>
              <w:rPr>
                <w:rFonts w:ascii="Calibri" w:eastAsia="Times New Roman" w:hAnsi="Calibri"/>
                <w:color w:val="000000"/>
                <w:sz w:val="22"/>
                <w:szCs w:val="22"/>
                <w:lang w:eastAsia="fr-FR"/>
              </w:rPr>
            </w:pPr>
          </w:p>
        </w:tc>
        <w:tc>
          <w:tcPr>
            <w:tcW w:w="1218" w:type="dxa"/>
            <w:tcBorders>
              <w:top w:val="nil"/>
              <w:left w:val="nil"/>
              <w:bottom w:val="nil"/>
              <w:right w:val="nil"/>
            </w:tcBorders>
            <w:shd w:val="clear" w:color="auto" w:fill="auto"/>
            <w:noWrap/>
            <w:vAlign w:val="bottom"/>
            <w:hideMark/>
          </w:tcPr>
          <w:p w:rsidR="00D241A5" w:rsidRPr="00496B12" w:rsidRDefault="00D241A5" w:rsidP="00D241A5">
            <w:pPr>
              <w:spacing w:after="0" w:line="240" w:lineRule="auto"/>
              <w:jc w:val="right"/>
              <w:rPr>
                <w:rFonts w:ascii="Calibri" w:eastAsia="Times New Roman" w:hAnsi="Calibri"/>
                <w:color w:val="000000"/>
                <w:sz w:val="22"/>
                <w:szCs w:val="22"/>
                <w:lang w:eastAsia="fr-FR"/>
              </w:rPr>
            </w:pPr>
            <w:r w:rsidRPr="00496B12">
              <w:rPr>
                <w:rFonts w:ascii="Calibri" w:eastAsia="Times New Roman" w:hAnsi="Calibri"/>
                <w:color w:val="000000"/>
                <w:sz w:val="22"/>
                <w:szCs w:val="22"/>
                <w:lang w:eastAsia="fr-FR"/>
              </w:rPr>
              <w:t>747</w:t>
            </w:r>
          </w:p>
        </w:tc>
        <w:tc>
          <w:tcPr>
            <w:tcW w:w="1218" w:type="dxa"/>
            <w:tcBorders>
              <w:top w:val="nil"/>
              <w:left w:val="nil"/>
              <w:bottom w:val="nil"/>
              <w:right w:val="nil"/>
            </w:tcBorders>
            <w:shd w:val="clear" w:color="auto" w:fill="auto"/>
            <w:noWrap/>
            <w:vAlign w:val="bottom"/>
            <w:hideMark/>
          </w:tcPr>
          <w:p w:rsidR="00D241A5" w:rsidRPr="00496B12" w:rsidRDefault="00D241A5" w:rsidP="00D241A5">
            <w:pPr>
              <w:spacing w:after="0" w:line="240" w:lineRule="auto"/>
              <w:jc w:val="right"/>
              <w:rPr>
                <w:rFonts w:ascii="Calibri" w:eastAsia="Times New Roman" w:hAnsi="Calibri"/>
                <w:color w:val="000000"/>
                <w:sz w:val="22"/>
                <w:szCs w:val="22"/>
                <w:lang w:eastAsia="fr-FR"/>
              </w:rPr>
            </w:pPr>
            <w:r w:rsidRPr="00496B12">
              <w:rPr>
                <w:rFonts w:ascii="Calibri" w:eastAsia="Times New Roman" w:hAnsi="Calibri"/>
                <w:color w:val="000000"/>
                <w:sz w:val="22"/>
                <w:szCs w:val="22"/>
                <w:lang w:eastAsia="fr-FR"/>
              </w:rPr>
              <w:t>8</w:t>
            </w:r>
          </w:p>
        </w:tc>
      </w:tr>
      <w:tr w:rsidR="00D241A5" w:rsidRPr="00496B12" w:rsidTr="00E4747F">
        <w:trPr>
          <w:trHeight w:val="300"/>
          <w:jc w:val="center"/>
        </w:trPr>
        <w:tc>
          <w:tcPr>
            <w:tcW w:w="1858" w:type="dxa"/>
            <w:tcBorders>
              <w:top w:val="nil"/>
              <w:left w:val="nil"/>
              <w:bottom w:val="single" w:sz="4" w:space="0" w:color="auto"/>
              <w:right w:val="nil"/>
            </w:tcBorders>
            <w:shd w:val="clear" w:color="auto" w:fill="auto"/>
            <w:noWrap/>
            <w:vAlign w:val="bottom"/>
            <w:hideMark/>
          </w:tcPr>
          <w:p w:rsidR="00D241A5" w:rsidRPr="00496B12" w:rsidRDefault="00D241A5" w:rsidP="00D241A5">
            <w:pPr>
              <w:spacing w:after="0" w:line="240" w:lineRule="auto"/>
              <w:rPr>
                <w:rFonts w:ascii="Calibri" w:eastAsia="Times New Roman" w:hAnsi="Calibri"/>
                <w:b/>
                <w:color w:val="000000"/>
                <w:sz w:val="22"/>
                <w:szCs w:val="22"/>
                <w:lang w:eastAsia="fr-FR"/>
              </w:rPr>
            </w:pPr>
            <w:r w:rsidRPr="00496B12">
              <w:rPr>
                <w:rFonts w:ascii="Calibri" w:eastAsia="Times New Roman" w:hAnsi="Calibri"/>
                <w:b/>
                <w:color w:val="000000"/>
                <w:sz w:val="22"/>
                <w:szCs w:val="22"/>
                <w:lang w:eastAsia="fr-FR"/>
              </w:rPr>
              <w:t>1</w:t>
            </w:r>
          </w:p>
        </w:tc>
        <w:tc>
          <w:tcPr>
            <w:tcW w:w="1219" w:type="dxa"/>
            <w:tcBorders>
              <w:top w:val="nil"/>
              <w:left w:val="nil"/>
              <w:bottom w:val="single" w:sz="4" w:space="0" w:color="auto"/>
              <w:right w:val="nil"/>
            </w:tcBorders>
            <w:shd w:val="clear" w:color="auto" w:fill="auto"/>
            <w:noWrap/>
            <w:vAlign w:val="bottom"/>
            <w:hideMark/>
          </w:tcPr>
          <w:p w:rsidR="00D241A5" w:rsidRPr="00496B12" w:rsidRDefault="00D241A5" w:rsidP="00D241A5">
            <w:pPr>
              <w:spacing w:after="0" w:line="240" w:lineRule="auto"/>
              <w:jc w:val="right"/>
              <w:rPr>
                <w:rFonts w:ascii="Calibri" w:eastAsia="Times New Roman" w:hAnsi="Calibri"/>
                <w:color w:val="000000"/>
                <w:sz w:val="22"/>
                <w:szCs w:val="22"/>
                <w:lang w:eastAsia="fr-FR"/>
              </w:rPr>
            </w:pPr>
            <w:r w:rsidRPr="00496B12">
              <w:rPr>
                <w:rFonts w:ascii="Calibri" w:eastAsia="Times New Roman" w:hAnsi="Calibri"/>
                <w:color w:val="000000"/>
                <w:sz w:val="22"/>
                <w:szCs w:val="22"/>
                <w:lang w:eastAsia="fr-FR"/>
              </w:rPr>
              <w:t>0</w:t>
            </w:r>
          </w:p>
        </w:tc>
        <w:tc>
          <w:tcPr>
            <w:tcW w:w="1218" w:type="dxa"/>
            <w:tcBorders>
              <w:top w:val="nil"/>
              <w:left w:val="nil"/>
              <w:bottom w:val="single" w:sz="4" w:space="0" w:color="auto"/>
              <w:right w:val="nil"/>
            </w:tcBorders>
            <w:shd w:val="clear" w:color="auto" w:fill="auto"/>
            <w:noWrap/>
            <w:vAlign w:val="bottom"/>
            <w:hideMark/>
          </w:tcPr>
          <w:p w:rsidR="00D241A5" w:rsidRPr="00496B12" w:rsidRDefault="00D241A5" w:rsidP="00D241A5">
            <w:pPr>
              <w:spacing w:after="0" w:line="240" w:lineRule="auto"/>
              <w:jc w:val="right"/>
              <w:rPr>
                <w:rFonts w:ascii="Calibri" w:eastAsia="Times New Roman" w:hAnsi="Calibri"/>
                <w:color w:val="000000"/>
                <w:sz w:val="22"/>
                <w:szCs w:val="22"/>
                <w:lang w:eastAsia="fr-FR"/>
              </w:rPr>
            </w:pPr>
            <w:r w:rsidRPr="00496B12">
              <w:rPr>
                <w:rFonts w:ascii="Calibri" w:eastAsia="Times New Roman" w:hAnsi="Calibri"/>
                <w:color w:val="000000"/>
                <w:sz w:val="22"/>
                <w:szCs w:val="22"/>
                <w:lang w:eastAsia="fr-FR"/>
              </w:rPr>
              <w:t>427</w:t>
            </w:r>
          </w:p>
        </w:tc>
        <w:tc>
          <w:tcPr>
            <w:tcW w:w="267" w:type="dxa"/>
            <w:tcBorders>
              <w:top w:val="nil"/>
              <w:left w:val="nil"/>
              <w:bottom w:val="single" w:sz="4" w:space="0" w:color="auto"/>
              <w:right w:val="nil"/>
            </w:tcBorders>
            <w:shd w:val="clear" w:color="auto" w:fill="auto"/>
            <w:noWrap/>
            <w:vAlign w:val="bottom"/>
            <w:hideMark/>
          </w:tcPr>
          <w:p w:rsidR="00D241A5" w:rsidRPr="00496B12" w:rsidRDefault="00D241A5" w:rsidP="00D241A5">
            <w:pPr>
              <w:spacing w:after="0" w:line="240" w:lineRule="auto"/>
              <w:rPr>
                <w:rFonts w:ascii="Calibri" w:eastAsia="Times New Roman" w:hAnsi="Calibri"/>
                <w:color w:val="000000"/>
                <w:sz w:val="22"/>
                <w:szCs w:val="22"/>
                <w:lang w:eastAsia="fr-FR"/>
              </w:rPr>
            </w:pPr>
            <w:r w:rsidRPr="00496B12">
              <w:rPr>
                <w:rFonts w:ascii="Calibri" w:eastAsia="Times New Roman" w:hAnsi="Calibri"/>
                <w:color w:val="000000"/>
                <w:sz w:val="22"/>
                <w:szCs w:val="22"/>
                <w:lang w:eastAsia="fr-FR"/>
              </w:rPr>
              <w:t> </w:t>
            </w:r>
          </w:p>
        </w:tc>
        <w:tc>
          <w:tcPr>
            <w:tcW w:w="1218" w:type="dxa"/>
            <w:tcBorders>
              <w:top w:val="nil"/>
              <w:left w:val="nil"/>
              <w:bottom w:val="single" w:sz="4" w:space="0" w:color="auto"/>
              <w:right w:val="nil"/>
            </w:tcBorders>
            <w:shd w:val="clear" w:color="auto" w:fill="auto"/>
            <w:noWrap/>
            <w:vAlign w:val="bottom"/>
            <w:hideMark/>
          </w:tcPr>
          <w:p w:rsidR="00D241A5" w:rsidRPr="00496B12" w:rsidRDefault="00D241A5" w:rsidP="00D241A5">
            <w:pPr>
              <w:spacing w:after="0" w:line="240" w:lineRule="auto"/>
              <w:jc w:val="right"/>
              <w:rPr>
                <w:rFonts w:ascii="Calibri" w:eastAsia="Times New Roman" w:hAnsi="Calibri"/>
                <w:color w:val="000000"/>
                <w:sz w:val="22"/>
                <w:szCs w:val="22"/>
                <w:lang w:eastAsia="fr-FR"/>
              </w:rPr>
            </w:pPr>
            <w:r w:rsidRPr="00496B12">
              <w:rPr>
                <w:rFonts w:ascii="Calibri" w:eastAsia="Times New Roman" w:hAnsi="Calibri"/>
                <w:color w:val="000000"/>
                <w:sz w:val="22"/>
                <w:szCs w:val="22"/>
                <w:lang w:eastAsia="fr-FR"/>
              </w:rPr>
              <w:t>9</w:t>
            </w:r>
          </w:p>
        </w:tc>
        <w:tc>
          <w:tcPr>
            <w:tcW w:w="1218" w:type="dxa"/>
            <w:tcBorders>
              <w:top w:val="nil"/>
              <w:left w:val="nil"/>
              <w:bottom w:val="single" w:sz="4" w:space="0" w:color="auto"/>
              <w:right w:val="nil"/>
            </w:tcBorders>
            <w:shd w:val="clear" w:color="auto" w:fill="auto"/>
            <w:noWrap/>
            <w:vAlign w:val="bottom"/>
            <w:hideMark/>
          </w:tcPr>
          <w:p w:rsidR="00D241A5" w:rsidRPr="00496B12" w:rsidRDefault="00D241A5" w:rsidP="00D241A5">
            <w:pPr>
              <w:spacing w:after="0" w:line="240" w:lineRule="auto"/>
              <w:jc w:val="right"/>
              <w:rPr>
                <w:rFonts w:ascii="Calibri" w:eastAsia="Times New Roman" w:hAnsi="Calibri"/>
                <w:color w:val="000000"/>
                <w:sz w:val="22"/>
                <w:szCs w:val="22"/>
                <w:lang w:eastAsia="fr-FR"/>
              </w:rPr>
            </w:pPr>
            <w:r w:rsidRPr="00496B12">
              <w:rPr>
                <w:rFonts w:ascii="Calibri" w:eastAsia="Times New Roman" w:hAnsi="Calibri"/>
                <w:color w:val="000000"/>
                <w:sz w:val="22"/>
                <w:szCs w:val="22"/>
                <w:lang w:eastAsia="fr-FR"/>
              </w:rPr>
              <w:t>478</w:t>
            </w:r>
          </w:p>
        </w:tc>
      </w:tr>
    </w:tbl>
    <w:p w:rsidR="00284AD6" w:rsidRPr="00496B12" w:rsidRDefault="00656C8F" w:rsidP="00E4747F">
      <w:pPr>
        <w:spacing w:line="240" w:lineRule="auto"/>
        <w:jc w:val="center"/>
        <w:rPr>
          <w:sz w:val="20"/>
          <w:szCs w:val="20"/>
          <w:lang w:val="en-US"/>
        </w:rPr>
      </w:pPr>
      <w:r w:rsidRPr="00496B12">
        <w:rPr>
          <w:sz w:val="20"/>
          <w:szCs w:val="20"/>
          <w:lang w:val="en-US"/>
        </w:rPr>
        <w:t>0 represents the anti-HCV negative results; 1 represents the anti-HCV positive results</w:t>
      </w:r>
    </w:p>
    <w:p w:rsidR="005568F9" w:rsidRPr="00496B12" w:rsidRDefault="00F970D1" w:rsidP="005568F9">
      <w:pPr>
        <w:spacing w:line="480" w:lineRule="auto"/>
        <w:rPr>
          <w:lang w:val="en-US"/>
        </w:rPr>
      </w:pPr>
      <w:r w:rsidRPr="00496B12">
        <w:rPr>
          <w:lang w:val="en-US"/>
        </w:rPr>
        <w:t>A discrepancy about 1.5% was observed between the two classification methods</w:t>
      </w:r>
      <w:r w:rsidRPr="00496B12">
        <w:rPr>
          <w:lang w:val="en-GB" w:eastAsia="fr-FR"/>
        </w:rPr>
        <w:t>.</w:t>
      </w:r>
      <w:r w:rsidR="005568F9" w:rsidRPr="00496B12">
        <w:rPr>
          <w:lang w:val="en-GB" w:eastAsia="fr-FR"/>
        </w:rPr>
        <w:t xml:space="preserve"> </w:t>
      </w:r>
      <w:r w:rsidR="005568F9" w:rsidRPr="00496B12">
        <w:rPr>
          <w:lang w:val="en-US"/>
        </w:rPr>
        <w:t xml:space="preserve">The direct method allows us to identify anti-HCV antibodies without using </w:t>
      </w:r>
      <w:r w:rsidR="00326E37" w:rsidRPr="00496B12">
        <w:rPr>
          <w:lang w:val="en-US"/>
        </w:rPr>
        <w:t xml:space="preserve">the </w:t>
      </w:r>
      <w:r w:rsidR="005568F9" w:rsidRPr="00496B12">
        <w:rPr>
          <w:lang w:val="en-US"/>
        </w:rPr>
        <w:t>manufacturer’s cut-off value</w:t>
      </w:r>
      <w:r w:rsidR="00903DF4" w:rsidRPr="00496B12">
        <w:rPr>
          <w:lang w:val="en-US"/>
        </w:rPr>
        <w:t xml:space="preserve"> </w:t>
      </w:r>
      <w:r w:rsidR="007E6F7F" w:rsidRPr="00496B12">
        <w:rPr>
          <w:lang w:val="en-US"/>
        </w:rPr>
        <w:fldChar w:fldCharType="begin"/>
      </w:r>
      <w:r w:rsidR="007E6F7F" w:rsidRPr="00496B12">
        <w:rPr>
          <w:lang w:val="en-US"/>
        </w:rPr>
        <w:instrText xml:space="preserve"> ADDIN EN.CITE &lt;EndNote&gt;&lt;Cite&gt;&lt;Author&gt;Bollaerts&lt;/Author&gt;&lt;Year&gt;2012&lt;/Year&gt;&lt;RecNum&gt;185&lt;/RecNum&gt;&lt;DisplayText&gt;[2, 3]&lt;/DisplayText&gt;&lt;record&gt;&lt;rec-number&gt;185&lt;/rec-number&gt;&lt;foreign-keys&gt;&lt;key app="EN" db-id="50sr9azwuav55ie55e2p5veeee0rsxsp0202" timestamp="1471503678"&gt;185&lt;/key&gt;&lt;/foreign-keys&gt;&lt;ref-type name="Journal Article"&gt;17&lt;/ref-type&gt;&lt;contributors&gt;&lt;authors&gt;&lt;author&gt;Bollaerts, K&lt;/author&gt;&lt;author&gt;Aerts, M&lt;/author&gt;&lt;author&gt;Shkedy, Z&lt;/author&gt;&lt;author&gt;Faes, C&lt;/author&gt;&lt;author&gt;Van der Stede, Y&lt;/author&gt;&lt;author&gt;Beutels, P&lt;/author&gt;&lt;author&gt;Hens, Niel&lt;/author&gt;&lt;/authors&gt;&lt;/contributors&gt;&lt;titles&gt;&lt;title&gt;Estimating the population prevalence and force of infection directly from antibody titres&lt;/title&gt;&lt;secondary-title&gt;Statistical Modelling&lt;/secondary-title&gt;&lt;/titles&gt;&lt;periodical&gt;&lt;full-title&gt;Statistical Modelling&lt;/full-title&gt;&lt;/periodical&gt;&lt;pages&gt;441-462&lt;/pages&gt;&lt;volume&gt;12&lt;/volume&gt;&lt;number&gt;5&lt;/number&gt;&lt;dates&gt;&lt;year&gt;2012&lt;/year&gt;&lt;/dates&gt;&lt;isbn&gt;1471-082X&lt;/isbn&gt;&lt;urls&gt;&lt;/urls&gt;&lt;/record&gt;&lt;/Cite&gt;&lt;Cite&gt;&lt;Author&gt;Kafatos&lt;/Author&gt;&lt;Year&gt;2016&lt;/Year&gt;&lt;RecNum&gt;203&lt;/RecNum&gt;&lt;record&gt;&lt;rec-number&gt;203&lt;/rec-number&gt;&lt;foreign-keys&gt;&lt;key app="EN" db-id="50sr9azwuav55ie55e2p5veeee0rsxsp0202" timestamp="1471524697"&gt;203&lt;/key&gt;&lt;/foreign-keys&gt;&lt;ref-type name="Journal Article"&gt;17&lt;/ref-type&gt;&lt;contributors&gt;&lt;authors&gt;&lt;author&gt;Kafatos, G&lt;/author&gt;&lt;author&gt;Andrews, NJ&lt;/author&gt;&lt;author&gt;McCONWAY, KJ&lt;/author&gt;&lt;author&gt;Maple, PAC&lt;/author&gt;&lt;author&gt;Brown, K&lt;/author&gt;&lt;author&gt;Farrington, CP&lt;/author&gt;&lt;/authors&gt;&lt;/contributors&gt;&lt;titles&gt;&lt;title&gt;Is it appropriate to use fixed assay cut-offs for estimating seroprevalence?&lt;/title&gt;&lt;secondary-title&gt;Epidemiology and infection&lt;/secondary-title&gt;&lt;/titles&gt;&lt;periodical&gt;&lt;full-title&gt;Epidemiology and Infection&lt;/full-title&gt;&lt;abbr-1&gt;Epidemiol. Infect.&lt;/abbr-1&gt;&lt;abbr-2&gt;Epidemiol Infect&lt;/abbr-2&gt;&lt;abbr-3&gt;Epidemiology &amp;amp; Infection&lt;/abbr-3&gt;&lt;/periodical&gt;&lt;pages&gt;887-895&lt;/pages&gt;&lt;volume&gt;144&lt;/volume&gt;&lt;number&gt;04&lt;/number&gt;&lt;dates&gt;&lt;year&gt;2016&lt;/year&gt;&lt;/dates&gt;&lt;isbn&gt;1469-4409&lt;/isbn&gt;&lt;urls&gt;&lt;/urls&gt;&lt;/record&gt;&lt;/Cite&gt;&lt;/EndNote&gt;</w:instrText>
      </w:r>
      <w:r w:rsidR="007E6F7F" w:rsidRPr="00496B12">
        <w:rPr>
          <w:lang w:val="en-US"/>
        </w:rPr>
        <w:fldChar w:fldCharType="separate"/>
      </w:r>
      <w:r w:rsidR="007E6F7F" w:rsidRPr="00496B12">
        <w:rPr>
          <w:noProof/>
          <w:lang w:val="en-US"/>
        </w:rPr>
        <w:t>[2, 3]</w:t>
      </w:r>
      <w:r w:rsidR="007E6F7F" w:rsidRPr="00496B12">
        <w:rPr>
          <w:lang w:val="en-US"/>
        </w:rPr>
        <w:fldChar w:fldCharType="end"/>
      </w:r>
      <w:r w:rsidR="005568F9" w:rsidRPr="00496B12">
        <w:rPr>
          <w:lang w:val="en-US"/>
        </w:rPr>
        <w:t>.</w:t>
      </w:r>
    </w:p>
    <w:p w:rsidR="00656C8F" w:rsidRDefault="00656C8F">
      <w:pPr>
        <w:rPr>
          <w:b/>
          <w:lang w:val="en-US" w:eastAsia="fr-FR"/>
        </w:rPr>
      </w:pPr>
      <w:r>
        <w:rPr>
          <w:b/>
          <w:lang w:val="en-US" w:eastAsia="fr-FR"/>
        </w:rPr>
        <w:br w:type="page"/>
      </w:r>
    </w:p>
    <w:p w:rsidR="00182655" w:rsidRPr="00B71C61" w:rsidRDefault="00182655" w:rsidP="00182655">
      <w:pPr>
        <w:spacing w:line="240" w:lineRule="auto"/>
        <w:rPr>
          <w:b/>
          <w:lang w:val="en-US" w:eastAsia="fr-FR"/>
        </w:rPr>
      </w:pPr>
      <w:r w:rsidRPr="00B71C61">
        <w:rPr>
          <w:b/>
          <w:lang w:val="en-US" w:eastAsia="fr-FR"/>
        </w:rPr>
        <w:lastRenderedPageBreak/>
        <w:t>APPENDIX</w:t>
      </w:r>
      <w:r w:rsidR="009527CF">
        <w:rPr>
          <w:b/>
          <w:lang w:val="en-US" w:eastAsia="fr-FR"/>
        </w:rPr>
        <w:t xml:space="preserve"> 3</w:t>
      </w:r>
      <w:r w:rsidRPr="00B71C61">
        <w:rPr>
          <w:b/>
          <w:lang w:val="en-US" w:eastAsia="fr-FR"/>
        </w:rPr>
        <w:t xml:space="preserve"> – </w:t>
      </w:r>
      <w:r w:rsidR="00B71C61" w:rsidRPr="00B71C61">
        <w:rPr>
          <w:b/>
          <w:lang w:val="en-US" w:eastAsia="fr-FR"/>
        </w:rPr>
        <w:t xml:space="preserve">CONFIDENCE </w:t>
      </w:r>
      <w:r w:rsidRPr="00B71C61">
        <w:rPr>
          <w:b/>
          <w:lang w:val="en-US" w:eastAsia="fr-FR"/>
        </w:rPr>
        <w:t xml:space="preserve">INTERVALS </w:t>
      </w:r>
      <w:r w:rsidR="00B71C61" w:rsidRPr="00B71C61">
        <w:rPr>
          <w:b/>
          <w:lang w:val="en-US" w:eastAsia="fr-FR"/>
        </w:rPr>
        <w:t xml:space="preserve">FOR </w:t>
      </w:r>
      <w:r w:rsidRPr="00B71C61">
        <w:rPr>
          <w:b/>
          <w:lang w:val="en-US" w:eastAsia="fr-FR"/>
        </w:rPr>
        <w:t>PREVALENCE</w:t>
      </w:r>
      <w:r w:rsidR="00B71C61" w:rsidRPr="00B71C61">
        <w:rPr>
          <w:b/>
          <w:lang w:val="en-US" w:eastAsia="fr-FR"/>
        </w:rPr>
        <w:t xml:space="preserve"> AND </w:t>
      </w:r>
      <w:r w:rsidRPr="00B71C61">
        <w:rPr>
          <w:b/>
          <w:lang w:val="en-US" w:eastAsia="fr-FR"/>
        </w:rPr>
        <w:t>INCIDENCE</w:t>
      </w:r>
    </w:p>
    <w:p w:rsidR="00182655" w:rsidRPr="00B71C61" w:rsidRDefault="00182655" w:rsidP="00182655">
      <w:pPr>
        <w:spacing w:line="240" w:lineRule="auto"/>
        <w:rPr>
          <w:b/>
          <w:lang w:val="en-US" w:eastAsia="fr-FR"/>
        </w:rPr>
      </w:pPr>
    </w:p>
    <w:p w:rsidR="00B71C61" w:rsidRPr="00494932" w:rsidRDefault="003D2322" w:rsidP="00182655">
      <w:pPr>
        <w:pStyle w:val="NoSpacing"/>
        <w:spacing w:line="480" w:lineRule="auto"/>
        <w:jc w:val="both"/>
        <w:rPr>
          <w:rFonts w:ascii="Times New Roman" w:hAnsi="Times New Roman" w:cs="Times New Roman"/>
          <w:sz w:val="24"/>
          <w:szCs w:val="24"/>
          <w:lang w:val="en-US" w:eastAsia="fr-FR"/>
        </w:rPr>
      </w:pPr>
      <w:r>
        <w:rPr>
          <w:rFonts w:ascii="Times New Roman" w:hAnsi="Times New Roman" w:cs="Times New Roman"/>
          <w:sz w:val="24"/>
          <w:szCs w:val="24"/>
          <w:lang w:val="en-US" w:eastAsia="fr-FR"/>
        </w:rPr>
        <w:t>We</w:t>
      </w:r>
      <w:r w:rsidR="00B71C61" w:rsidRPr="00B71C61">
        <w:rPr>
          <w:rFonts w:ascii="Times New Roman" w:hAnsi="Times New Roman" w:cs="Times New Roman"/>
          <w:sz w:val="24"/>
          <w:szCs w:val="24"/>
          <w:lang w:val="en-US" w:eastAsia="fr-FR"/>
        </w:rPr>
        <w:t xml:space="preserve"> generated </w:t>
      </w:r>
      <w:r w:rsidR="00494932" w:rsidRPr="00B71C61">
        <w:rPr>
          <w:rFonts w:ascii="Times New Roman" w:hAnsi="Times New Roman" w:cs="Times New Roman"/>
          <w:sz w:val="24"/>
          <w:szCs w:val="24"/>
          <w:lang w:val="en-US" w:eastAsia="fr-FR"/>
        </w:rPr>
        <w:t>2000 samples</w:t>
      </w:r>
      <w:r w:rsidR="00494932">
        <w:rPr>
          <w:rFonts w:ascii="Times New Roman" w:hAnsi="Times New Roman" w:cs="Times New Roman"/>
          <w:sz w:val="24"/>
          <w:szCs w:val="24"/>
          <w:lang w:val="en-US" w:eastAsia="fr-FR"/>
        </w:rPr>
        <w:t xml:space="preserve"> </w:t>
      </w:r>
      <w:r w:rsidR="00B71C61" w:rsidRPr="00B71C61">
        <w:rPr>
          <w:rFonts w:ascii="Times New Roman" w:hAnsi="Times New Roman" w:cs="Times New Roman"/>
          <w:sz w:val="24"/>
          <w:szCs w:val="24"/>
          <w:lang w:val="en-US" w:eastAsia="fr-FR"/>
        </w:rPr>
        <w:t xml:space="preserve">from the 2004-2011 </w:t>
      </w:r>
      <w:r w:rsidR="00B71C61">
        <w:rPr>
          <w:rFonts w:ascii="Times New Roman" w:hAnsi="Times New Roman" w:cs="Times New Roman"/>
          <w:sz w:val="24"/>
          <w:szCs w:val="24"/>
          <w:lang w:val="en-US" w:eastAsia="fr-FR"/>
        </w:rPr>
        <w:t xml:space="preserve">combined </w:t>
      </w:r>
      <w:r w:rsidR="00B71C61" w:rsidRPr="00B71C61">
        <w:rPr>
          <w:rFonts w:ascii="Times New Roman" w:hAnsi="Times New Roman" w:cs="Times New Roman"/>
          <w:sz w:val="24"/>
          <w:szCs w:val="24"/>
          <w:lang w:val="en-US" w:eastAsia="fr-FR"/>
        </w:rPr>
        <w:t>dataset</w:t>
      </w:r>
      <w:r w:rsidR="000B60EF">
        <w:rPr>
          <w:rFonts w:ascii="Times New Roman" w:hAnsi="Times New Roman" w:cs="Times New Roman"/>
          <w:sz w:val="24"/>
          <w:szCs w:val="24"/>
          <w:lang w:val="en-US" w:eastAsia="fr-FR"/>
        </w:rPr>
        <w:t xml:space="preserve">, </w:t>
      </w:r>
      <w:r w:rsidR="005D52E9">
        <w:rPr>
          <w:rFonts w:ascii="Times New Roman" w:hAnsi="Times New Roman" w:cs="Times New Roman"/>
          <w:sz w:val="24"/>
          <w:szCs w:val="24"/>
          <w:lang w:val="en-US" w:eastAsia="fr-FR"/>
        </w:rPr>
        <w:t>using</w:t>
      </w:r>
      <w:r w:rsidR="000B60EF">
        <w:rPr>
          <w:rFonts w:ascii="Times New Roman" w:hAnsi="Times New Roman" w:cs="Times New Roman"/>
          <w:sz w:val="24"/>
          <w:szCs w:val="24"/>
          <w:lang w:val="en-US" w:eastAsia="fr-FR"/>
        </w:rPr>
        <w:t xml:space="preserve"> a </w:t>
      </w:r>
      <w:r w:rsidR="00EF7ED5">
        <w:rPr>
          <w:rFonts w:ascii="Times New Roman" w:hAnsi="Times New Roman" w:cs="Times New Roman"/>
          <w:sz w:val="24"/>
          <w:szCs w:val="24"/>
          <w:lang w:val="en-US" w:eastAsia="fr-FR"/>
        </w:rPr>
        <w:t>6</w:t>
      </w:r>
      <w:r w:rsidR="000B60EF">
        <w:rPr>
          <w:rFonts w:ascii="Times New Roman" w:hAnsi="Times New Roman" w:cs="Times New Roman"/>
          <w:sz w:val="24"/>
          <w:szCs w:val="24"/>
          <w:lang w:val="en-US" w:eastAsia="fr-FR"/>
        </w:rPr>
        <w:t>-step process</w:t>
      </w:r>
      <w:r w:rsidR="00991E40">
        <w:rPr>
          <w:rFonts w:ascii="Times New Roman" w:hAnsi="Times New Roman" w:cs="Times New Roman"/>
          <w:sz w:val="24"/>
          <w:szCs w:val="24"/>
          <w:lang w:val="en-US" w:eastAsia="fr-FR"/>
        </w:rPr>
        <w:t xml:space="preserve">. </w:t>
      </w:r>
    </w:p>
    <w:p w:rsidR="00494932" w:rsidRPr="00494932" w:rsidRDefault="00B71C61" w:rsidP="00CA1C54">
      <w:pPr>
        <w:pStyle w:val="NoSpacing"/>
        <w:numPr>
          <w:ilvl w:val="0"/>
          <w:numId w:val="1"/>
        </w:numPr>
        <w:spacing w:line="480" w:lineRule="auto"/>
        <w:jc w:val="both"/>
        <w:rPr>
          <w:rFonts w:ascii="Times New Roman" w:hAnsi="Times New Roman" w:cs="Times New Roman"/>
          <w:sz w:val="24"/>
          <w:szCs w:val="24"/>
          <w:lang w:val="en-US" w:eastAsia="fr-FR"/>
        </w:rPr>
      </w:pPr>
      <w:r w:rsidRPr="00494932">
        <w:rPr>
          <w:rFonts w:ascii="Times New Roman" w:hAnsi="Times New Roman" w:cs="Times New Roman"/>
          <w:sz w:val="24"/>
          <w:szCs w:val="24"/>
          <w:lang w:val="en-US" w:eastAsia="fr-FR"/>
        </w:rPr>
        <w:t>Step</w:t>
      </w:r>
      <w:r w:rsidR="00182655" w:rsidRPr="00494932">
        <w:rPr>
          <w:rFonts w:ascii="Times New Roman" w:hAnsi="Times New Roman" w:cs="Times New Roman"/>
          <w:sz w:val="24"/>
          <w:szCs w:val="24"/>
          <w:lang w:val="en-US" w:eastAsia="fr-FR"/>
        </w:rPr>
        <w:t xml:space="preserve"> 1: </w:t>
      </w:r>
      <w:r w:rsidRPr="00494932">
        <w:rPr>
          <w:rFonts w:ascii="Times New Roman" w:hAnsi="Times New Roman" w:cs="Times New Roman"/>
          <w:sz w:val="24"/>
          <w:szCs w:val="24"/>
          <w:lang w:val="en-US" w:eastAsia="fr-FR"/>
        </w:rPr>
        <w:t xml:space="preserve"> Individuals were expanded according to their sampling weights </w:t>
      </w:r>
    </w:p>
    <w:p w:rsidR="00494932" w:rsidRPr="00494932" w:rsidRDefault="00494932" w:rsidP="00CA1C54">
      <w:pPr>
        <w:pStyle w:val="NoSpacing"/>
        <w:numPr>
          <w:ilvl w:val="0"/>
          <w:numId w:val="1"/>
        </w:numPr>
        <w:spacing w:line="480" w:lineRule="auto"/>
        <w:jc w:val="both"/>
        <w:rPr>
          <w:rFonts w:ascii="Times New Roman" w:hAnsi="Times New Roman" w:cs="Times New Roman"/>
          <w:sz w:val="24"/>
          <w:szCs w:val="24"/>
          <w:lang w:val="en-US" w:eastAsia="fr-FR"/>
        </w:rPr>
      </w:pPr>
      <w:r w:rsidRPr="00494932">
        <w:rPr>
          <w:rFonts w:ascii="Times New Roman" w:hAnsi="Times New Roman" w:cs="Times New Roman"/>
          <w:sz w:val="24"/>
          <w:szCs w:val="24"/>
          <w:lang w:val="en-US" w:eastAsia="fr-FR"/>
        </w:rPr>
        <w:t>Step</w:t>
      </w:r>
      <w:r w:rsidR="00182655" w:rsidRPr="00494932">
        <w:rPr>
          <w:rFonts w:ascii="Times New Roman" w:hAnsi="Times New Roman" w:cs="Times New Roman"/>
          <w:sz w:val="24"/>
          <w:szCs w:val="24"/>
          <w:lang w:val="en-US" w:eastAsia="fr-FR"/>
        </w:rPr>
        <w:t xml:space="preserve"> 2: </w:t>
      </w:r>
      <w:r w:rsidRPr="00494932">
        <w:rPr>
          <w:rFonts w:ascii="Times New Roman" w:hAnsi="Times New Roman" w:cs="Times New Roman"/>
          <w:sz w:val="24"/>
          <w:szCs w:val="24"/>
          <w:lang w:val="en-US" w:eastAsia="fr-FR"/>
        </w:rPr>
        <w:t xml:space="preserve"> </w:t>
      </w:r>
      <w:r>
        <w:rPr>
          <w:rFonts w:ascii="Times New Roman" w:hAnsi="Times New Roman" w:cs="Times New Roman"/>
          <w:sz w:val="24"/>
          <w:szCs w:val="24"/>
          <w:lang w:val="en-US" w:eastAsia="fr-FR"/>
        </w:rPr>
        <w:t>A</w:t>
      </w:r>
      <w:r w:rsidRPr="00494932">
        <w:rPr>
          <w:rFonts w:ascii="Times New Roman" w:hAnsi="Times New Roman" w:cs="Times New Roman"/>
          <w:sz w:val="24"/>
          <w:szCs w:val="24"/>
          <w:lang w:val="en-US" w:eastAsia="fr-FR"/>
        </w:rPr>
        <w:t xml:space="preserve"> random number was assigned to each individual </w:t>
      </w:r>
    </w:p>
    <w:p w:rsidR="00182655" w:rsidRPr="00494932" w:rsidRDefault="00494932" w:rsidP="00CA1C54">
      <w:pPr>
        <w:pStyle w:val="NoSpacing"/>
        <w:numPr>
          <w:ilvl w:val="0"/>
          <w:numId w:val="1"/>
        </w:numPr>
        <w:spacing w:line="480" w:lineRule="auto"/>
        <w:jc w:val="both"/>
        <w:rPr>
          <w:rFonts w:ascii="Times New Roman" w:hAnsi="Times New Roman" w:cs="Times New Roman"/>
          <w:sz w:val="24"/>
          <w:szCs w:val="24"/>
          <w:lang w:val="en-US" w:eastAsia="fr-FR"/>
        </w:rPr>
      </w:pPr>
      <w:r w:rsidRPr="00494932">
        <w:rPr>
          <w:rFonts w:ascii="Times New Roman" w:hAnsi="Times New Roman" w:cs="Times New Roman"/>
          <w:sz w:val="24"/>
          <w:szCs w:val="24"/>
          <w:lang w:val="en-US" w:eastAsia="fr-FR"/>
        </w:rPr>
        <w:t>Step</w:t>
      </w:r>
      <w:r w:rsidR="00182655" w:rsidRPr="00494932">
        <w:rPr>
          <w:rFonts w:ascii="Times New Roman" w:hAnsi="Times New Roman" w:cs="Times New Roman"/>
          <w:sz w:val="24"/>
          <w:szCs w:val="24"/>
          <w:lang w:val="en-US" w:eastAsia="fr-FR"/>
        </w:rPr>
        <w:t xml:space="preserve"> 3: </w:t>
      </w:r>
      <w:r>
        <w:rPr>
          <w:rFonts w:ascii="Times New Roman" w:hAnsi="Times New Roman" w:cs="Times New Roman"/>
          <w:sz w:val="24"/>
          <w:szCs w:val="24"/>
          <w:lang w:val="en-US" w:eastAsia="fr-FR"/>
        </w:rPr>
        <w:t>I</w:t>
      </w:r>
      <w:r w:rsidRPr="00494932">
        <w:rPr>
          <w:rFonts w:ascii="Times New Roman" w:hAnsi="Times New Roman" w:cs="Times New Roman"/>
          <w:sz w:val="24"/>
          <w:szCs w:val="24"/>
          <w:lang w:val="en-US" w:eastAsia="fr-FR"/>
        </w:rPr>
        <w:t xml:space="preserve">ndividuals were ordered according to </w:t>
      </w:r>
      <w:r w:rsidR="003D2322">
        <w:rPr>
          <w:rFonts w:ascii="Times New Roman" w:hAnsi="Times New Roman" w:cs="Times New Roman"/>
          <w:sz w:val="24"/>
          <w:szCs w:val="24"/>
          <w:lang w:val="en-US" w:eastAsia="fr-FR"/>
        </w:rPr>
        <w:t xml:space="preserve">the </w:t>
      </w:r>
      <w:r w:rsidR="00424C2D">
        <w:rPr>
          <w:rFonts w:ascii="Times New Roman" w:hAnsi="Times New Roman" w:cs="Times New Roman"/>
          <w:sz w:val="24"/>
          <w:szCs w:val="24"/>
          <w:lang w:val="en-US" w:eastAsia="fr-FR"/>
        </w:rPr>
        <w:t>year of each survey</w:t>
      </w:r>
      <w:r w:rsidR="003D2322">
        <w:rPr>
          <w:rFonts w:ascii="Times New Roman" w:hAnsi="Times New Roman" w:cs="Times New Roman"/>
          <w:sz w:val="24"/>
          <w:szCs w:val="24"/>
          <w:lang w:val="en-US" w:eastAsia="fr-FR"/>
        </w:rPr>
        <w:t xml:space="preserve"> and the</w:t>
      </w:r>
      <w:r w:rsidR="001842A7">
        <w:rPr>
          <w:rFonts w:ascii="Times New Roman" w:hAnsi="Times New Roman" w:cs="Times New Roman"/>
          <w:sz w:val="24"/>
          <w:szCs w:val="24"/>
          <w:lang w:val="en-US" w:eastAsia="fr-FR"/>
        </w:rPr>
        <w:t>se</w:t>
      </w:r>
      <w:r w:rsidRPr="00494932">
        <w:rPr>
          <w:rFonts w:ascii="Times New Roman" w:hAnsi="Times New Roman" w:cs="Times New Roman"/>
          <w:sz w:val="24"/>
          <w:szCs w:val="24"/>
          <w:lang w:val="en-US" w:eastAsia="fr-FR"/>
        </w:rPr>
        <w:t xml:space="preserve"> random number</w:t>
      </w:r>
      <w:r w:rsidR="003D2322">
        <w:rPr>
          <w:rFonts w:ascii="Times New Roman" w:hAnsi="Times New Roman" w:cs="Times New Roman"/>
          <w:sz w:val="24"/>
          <w:szCs w:val="24"/>
          <w:lang w:val="en-US" w:eastAsia="fr-FR"/>
        </w:rPr>
        <w:t>s</w:t>
      </w:r>
    </w:p>
    <w:p w:rsidR="00182655" w:rsidRDefault="00494932" w:rsidP="00CA1C54">
      <w:pPr>
        <w:pStyle w:val="NoSpacing"/>
        <w:numPr>
          <w:ilvl w:val="0"/>
          <w:numId w:val="1"/>
        </w:numPr>
        <w:spacing w:line="480" w:lineRule="auto"/>
        <w:jc w:val="both"/>
        <w:rPr>
          <w:rFonts w:ascii="Times New Roman" w:hAnsi="Times New Roman" w:cs="Times New Roman"/>
          <w:sz w:val="24"/>
          <w:szCs w:val="24"/>
          <w:lang w:val="en-US" w:eastAsia="fr-FR"/>
        </w:rPr>
      </w:pPr>
      <w:r w:rsidRPr="000B60EF">
        <w:rPr>
          <w:rFonts w:ascii="Times New Roman" w:hAnsi="Times New Roman" w:cs="Times New Roman"/>
          <w:sz w:val="24"/>
          <w:szCs w:val="24"/>
          <w:lang w:val="en-US" w:eastAsia="fr-FR"/>
        </w:rPr>
        <w:t>Step</w:t>
      </w:r>
      <w:r w:rsidR="00182655" w:rsidRPr="000B60EF">
        <w:rPr>
          <w:rFonts w:ascii="Times New Roman" w:hAnsi="Times New Roman" w:cs="Times New Roman"/>
          <w:sz w:val="24"/>
          <w:szCs w:val="24"/>
          <w:lang w:val="en-US" w:eastAsia="fr-FR"/>
        </w:rPr>
        <w:t xml:space="preserve"> 4:</w:t>
      </w:r>
      <w:r w:rsidRPr="000B60EF">
        <w:rPr>
          <w:rFonts w:ascii="Times New Roman" w:hAnsi="Times New Roman" w:cs="Times New Roman"/>
          <w:sz w:val="24"/>
          <w:szCs w:val="24"/>
          <w:lang w:val="en-US" w:eastAsia="fr-FR"/>
        </w:rPr>
        <w:t xml:space="preserve"> The</w:t>
      </w:r>
      <w:r w:rsidR="00424C2D">
        <w:rPr>
          <w:rFonts w:ascii="Times New Roman" w:hAnsi="Times New Roman" w:cs="Times New Roman"/>
          <w:sz w:val="24"/>
          <w:szCs w:val="24"/>
          <w:lang w:val="en-US" w:eastAsia="fr-FR"/>
        </w:rPr>
        <w:t xml:space="preserve"> first</w:t>
      </w:r>
      <w:r w:rsidRPr="000B60EF">
        <w:rPr>
          <w:rFonts w:ascii="Times New Roman" w:hAnsi="Times New Roman" w:cs="Times New Roman"/>
          <w:sz w:val="24"/>
          <w:szCs w:val="24"/>
          <w:lang w:val="en-US" w:eastAsia="fr-FR"/>
        </w:rPr>
        <w:t xml:space="preserve"> </w:t>
      </w:r>
      <w:r w:rsidR="00864F6D" w:rsidRPr="000B60EF">
        <w:rPr>
          <w:rFonts w:ascii="Times New Roman" w:hAnsi="Times New Roman" w:cs="Times New Roman"/>
          <w:i/>
          <w:sz w:val="24"/>
          <w:szCs w:val="24"/>
          <w:lang w:val="en-US" w:eastAsia="fr-FR"/>
        </w:rPr>
        <w:t>n</w:t>
      </w:r>
      <w:r w:rsidR="00864F6D" w:rsidRPr="000B60EF">
        <w:rPr>
          <w:rFonts w:ascii="Times New Roman" w:hAnsi="Times New Roman" w:cs="Times New Roman"/>
          <w:sz w:val="24"/>
          <w:szCs w:val="24"/>
          <w:lang w:val="en-US" w:eastAsia="fr-FR"/>
        </w:rPr>
        <w:t xml:space="preserve"> </w:t>
      </w:r>
      <w:r w:rsidRPr="000B60EF">
        <w:rPr>
          <w:rFonts w:ascii="Times New Roman" w:hAnsi="Times New Roman" w:cs="Times New Roman"/>
          <w:sz w:val="24"/>
          <w:szCs w:val="24"/>
          <w:lang w:val="en-US" w:eastAsia="fr-FR"/>
        </w:rPr>
        <w:t xml:space="preserve">individuals </w:t>
      </w:r>
      <w:r w:rsidR="000B60EF">
        <w:rPr>
          <w:rFonts w:ascii="Times New Roman" w:hAnsi="Times New Roman" w:cs="Times New Roman"/>
          <w:sz w:val="24"/>
          <w:szCs w:val="24"/>
          <w:lang w:val="en-US" w:eastAsia="fr-FR"/>
        </w:rPr>
        <w:t xml:space="preserve">were </w:t>
      </w:r>
      <w:r w:rsidR="000B60EF" w:rsidRPr="000B60EF">
        <w:rPr>
          <w:rFonts w:ascii="Times New Roman" w:hAnsi="Times New Roman" w:cs="Times New Roman"/>
          <w:sz w:val="24"/>
          <w:szCs w:val="24"/>
          <w:lang w:val="en-US" w:eastAsia="fr-FR"/>
        </w:rPr>
        <w:t xml:space="preserve">selected to </w:t>
      </w:r>
      <w:r w:rsidR="000B60EF">
        <w:rPr>
          <w:rFonts w:ascii="Times New Roman" w:hAnsi="Times New Roman" w:cs="Times New Roman"/>
          <w:sz w:val="24"/>
          <w:szCs w:val="24"/>
          <w:lang w:val="en-US" w:eastAsia="fr-FR"/>
        </w:rPr>
        <w:t>constitute</w:t>
      </w:r>
      <w:r w:rsidR="000B60EF" w:rsidRPr="000B60EF">
        <w:rPr>
          <w:rFonts w:ascii="Times New Roman" w:hAnsi="Times New Roman" w:cs="Times New Roman"/>
          <w:sz w:val="24"/>
          <w:szCs w:val="24"/>
          <w:lang w:val="en-US" w:eastAsia="fr-FR"/>
        </w:rPr>
        <w:t xml:space="preserve"> </w:t>
      </w:r>
      <w:r w:rsidR="003D2322">
        <w:rPr>
          <w:rFonts w:ascii="Times New Roman" w:hAnsi="Times New Roman" w:cs="Times New Roman"/>
          <w:sz w:val="24"/>
          <w:szCs w:val="24"/>
          <w:lang w:val="en-US" w:eastAsia="fr-FR"/>
        </w:rPr>
        <w:t>a simple random</w:t>
      </w:r>
      <w:r w:rsidR="000B60EF" w:rsidRPr="000B60EF">
        <w:rPr>
          <w:rFonts w:ascii="Times New Roman" w:hAnsi="Times New Roman" w:cs="Times New Roman"/>
          <w:sz w:val="24"/>
          <w:szCs w:val="24"/>
          <w:lang w:val="en-US" w:eastAsia="fr-FR"/>
        </w:rPr>
        <w:t xml:space="preserve"> sample.</w:t>
      </w:r>
      <w:r w:rsidR="000B60EF">
        <w:rPr>
          <w:rFonts w:ascii="Times New Roman" w:hAnsi="Times New Roman" w:cs="Times New Roman"/>
          <w:sz w:val="24"/>
          <w:szCs w:val="24"/>
          <w:lang w:val="en-US" w:eastAsia="fr-FR"/>
        </w:rPr>
        <w:t xml:space="preserve"> </w:t>
      </w:r>
      <w:r w:rsidR="00864F6D" w:rsidRPr="000B60EF">
        <w:rPr>
          <w:rFonts w:ascii="Times New Roman" w:hAnsi="Times New Roman" w:cs="Times New Roman"/>
          <w:sz w:val="24"/>
          <w:szCs w:val="24"/>
          <w:lang w:val="en-US" w:eastAsia="fr-FR"/>
        </w:rPr>
        <w:t>(</w:t>
      </w:r>
      <w:r w:rsidR="00864F6D" w:rsidRPr="000B60EF">
        <w:rPr>
          <w:rFonts w:ascii="Times New Roman" w:hAnsi="Times New Roman" w:cs="Times New Roman"/>
          <w:i/>
          <w:sz w:val="24"/>
          <w:szCs w:val="24"/>
          <w:lang w:val="en-US" w:eastAsia="fr-FR"/>
        </w:rPr>
        <w:t>n = 813</w:t>
      </w:r>
      <w:r w:rsidR="00864F6D" w:rsidRPr="000B60EF">
        <w:rPr>
          <w:rFonts w:ascii="Times New Roman" w:hAnsi="Times New Roman" w:cs="Times New Roman"/>
          <w:sz w:val="24"/>
          <w:szCs w:val="24"/>
          <w:lang w:val="en-US" w:eastAsia="fr-FR"/>
        </w:rPr>
        <w:t xml:space="preserve"> </w:t>
      </w:r>
      <w:r w:rsidR="000B60EF" w:rsidRPr="000B60EF">
        <w:rPr>
          <w:rFonts w:ascii="Times New Roman" w:hAnsi="Times New Roman" w:cs="Times New Roman"/>
          <w:sz w:val="24"/>
          <w:szCs w:val="24"/>
          <w:lang w:val="en-US" w:eastAsia="fr-FR"/>
        </w:rPr>
        <w:t>for</w:t>
      </w:r>
      <w:r w:rsidR="00864F6D" w:rsidRPr="000B60EF">
        <w:rPr>
          <w:rFonts w:ascii="Times New Roman" w:hAnsi="Times New Roman" w:cs="Times New Roman"/>
          <w:sz w:val="24"/>
          <w:szCs w:val="24"/>
          <w:lang w:val="en-US" w:eastAsia="fr-FR"/>
        </w:rPr>
        <w:t xml:space="preserve"> 2004 </w:t>
      </w:r>
      <w:r w:rsidR="000B60EF" w:rsidRPr="000B60EF">
        <w:rPr>
          <w:rFonts w:ascii="Times New Roman" w:hAnsi="Times New Roman" w:cs="Times New Roman"/>
          <w:sz w:val="24"/>
          <w:szCs w:val="24"/>
          <w:lang w:val="en-US" w:eastAsia="fr-FR"/>
        </w:rPr>
        <w:t>and</w:t>
      </w:r>
      <w:r w:rsidR="00864F6D" w:rsidRPr="000B60EF">
        <w:rPr>
          <w:rFonts w:ascii="Times New Roman" w:hAnsi="Times New Roman" w:cs="Times New Roman"/>
          <w:sz w:val="24"/>
          <w:szCs w:val="24"/>
          <w:lang w:val="en-US" w:eastAsia="fr-FR"/>
        </w:rPr>
        <w:t xml:space="preserve"> </w:t>
      </w:r>
      <w:r w:rsidR="00864F6D" w:rsidRPr="000B60EF">
        <w:rPr>
          <w:rFonts w:ascii="Times New Roman" w:hAnsi="Times New Roman" w:cs="Times New Roman"/>
          <w:i/>
          <w:sz w:val="24"/>
          <w:szCs w:val="24"/>
          <w:lang w:val="en-US" w:eastAsia="fr-FR"/>
        </w:rPr>
        <w:t>n=1242</w:t>
      </w:r>
      <w:r w:rsidR="00864F6D" w:rsidRPr="000B60EF">
        <w:rPr>
          <w:rFonts w:ascii="Times New Roman" w:hAnsi="Times New Roman" w:cs="Times New Roman"/>
          <w:sz w:val="24"/>
          <w:szCs w:val="24"/>
          <w:lang w:val="en-US" w:eastAsia="fr-FR"/>
        </w:rPr>
        <w:t xml:space="preserve"> </w:t>
      </w:r>
      <w:r w:rsidR="000B60EF" w:rsidRPr="000B60EF">
        <w:rPr>
          <w:rFonts w:ascii="Times New Roman" w:hAnsi="Times New Roman" w:cs="Times New Roman"/>
          <w:sz w:val="24"/>
          <w:szCs w:val="24"/>
          <w:lang w:val="en-US" w:eastAsia="fr-FR"/>
        </w:rPr>
        <w:t xml:space="preserve">for </w:t>
      </w:r>
      <w:r w:rsidR="00864F6D" w:rsidRPr="000B60EF">
        <w:rPr>
          <w:rFonts w:ascii="Times New Roman" w:hAnsi="Times New Roman" w:cs="Times New Roman"/>
          <w:sz w:val="24"/>
          <w:szCs w:val="24"/>
          <w:lang w:val="en-US" w:eastAsia="fr-FR"/>
        </w:rPr>
        <w:t>2011).</w:t>
      </w:r>
    </w:p>
    <w:p w:rsidR="003D2322" w:rsidRPr="003D2322" w:rsidRDefault="00033B59" w:rsidP="00CA1C54">
      <w:pPr>
        <w:pStyle w:val="NoSpacing"/>
        <w:numPr>
          <w:ilvl w:val="0"/>
          <w:numId w:val="1"/>
        </w:numPr>
        <w:spacing w:line="480" w:lineRule="auto"/>
        <w:jc w:val="both"/>
        <w:rPr>
          <w:rFonts w:ascii="Times New Roman" w:hAnsi="Times New Roman" w:cs="Times New Roman"/>
          <w:sz w:val="24"/>
          <w:szCs w:val="24"/>
          <w:u w:val="double"/>
          <w:lang w:val="en-US" w:eastAsia="fr-FR"/>
        </w:rPr>
      </w:pPr>
      <w:r w:rsidRPr="000B60EF">
        <w:rPr>
          <w:rFonts w:ascii="Times New Roman" w:hAnsi="Times New Roman" w:cs="Times New Roman"/>
          <w:sz w:val="24"/>
          <w:szCs w:val="24"/>
          <w:lang w:val="en-US" w:eastAsia="fr-FR"/>
        </w:rPr>
        <w:t xml:space="preserve">Step </w:t>
      </w:r>
      <w:r>
        <w:rPr>
          <w:rFonts w:ascii="Times New Roman" w:hAnsi="Times New Roman" w:cs="Times New Roman"/>
          <w:sz w:val="24"/>
          <w:szCs w:val="24"/>
          <w:lang w:val="en-US" w:eastAsia="fr-FR"/>
        </w:rPr>
        <w:t>5</w:t>
      </w:r>
      <w:r w:rsidRPr="000B60EF">
        <w:rPr>
          <w:rFonts w:ascii="Times New Roman" w:hAnsi="Times New Roman" w:cs="Times New Roman"/>
          <w:sz w:val="24"/>
          <w:szCs w:val="24"/>
          <w:lang w:val="en-US" w:eastAsia="fr-FR"/>
        </w:rPr>
        <w:t>:</w:t>
      </w:r>
      <w:r>
        <w:rPr>
          <w:rFonts w:ascii="Times New Roman" w:hAnsi="Times New Roman" w:cs="Times New Roman"/>
          <w:sz w:val="24"/>
          <w:szCs w:val="24"/>
          <w:lang w:val="en-US" w:eastAsia="fr-FR"/>
        </w:rPr>
        <w:t xml:space="preserve"> </w:t>
      </w:r>
      <w:r w:rsidR="003D2322">
        <w:rPr>
          <w:rFonts w:ascii="Times New Roman" w:hAnsi="Times New Roman" w:cs="Times New Roman"/>
          <w:sz w:val="24"/>
          <w:szCs w:val="24"/>
          <w:lang w:val="en-US" w:eastAsia="fr-FR"/>
        </w:rPr>
        <w:t xml:space="preserve">Prevalence and incidence </w:t>
      </w:r>
      <w:r w:rsidR="00424C2D">
        <w:rPr>
          <w:rFonts w:ascii="Times New Roman" w:hAnsi="Times New Roman" w:cs="Times New Roman"/>
          <w:sz w:val="24"/>
          <w:szCs w:val="24"/>
          <w:lang w:val="en-US" w:eastAsia="fr-FR"/>
        </w:rPr>
        <w:t>we</w:t>
      </w:r>
      <w:r w:rsidR="003D2322">
        <w:rPr>
          <w:rFonts w:ascii="Times New Roman" w:hAnsi="Times New Roman" w:cs="Times New Roman"/>
          <w:sz w:val="24"/>
          <w:szCs w:val="24"/>
          <w:lang w:val="en-US" w:eastAsia="fr-FR"/>
        </w:rPr>
        <w:t xml:space="preserve">re estimated by assuming that </w:t>
      </w:r>
      <m:oMath>
        <m:r>
          <m:rPr>
            <m:sty m:val="p"/>
          </m:rPr>
          <w:rPr>
            <w:rFonts w:ascii="Cambria Math" w:hAnsi="Cambria Math" w:cs="Times New Roman"/>
            <w:sz w:val="24"/>
            <w:szCs w:val="24"/>
            <w:lang w:val="en-US" w:eastAsia="fr-FR"/>
          </w:rPr>
          <m:t xml:space="preserve"> β</m:t>
        </m:r>
      </m:oMath>
      <w:r w:rsidR="003D2322">
        <w:rPr>
          <w:rFonts w:ascii="Times New Roman" w:hAnsi="Times New Roman" w:cs="Times New Roman"/>
          <w:sz w:val="24"/>
          <w:szCs w:val="24"/>
          <w:lang w:val="en-US" w:eastAsia="fr-FR"/>
        </w:rPr>
        <w:t xml:space="preserve"> followed a uniform distribution </w:t>
      </w:r>
      <w:r w:rsidR="003D2322" w:rsidRPr="003D2322">
        <w:rPr>
          <w:rFonts w:ascii="Times New Roman" w:hAnsi="Times New Roman" w:cs="Times New Roman"/>
          <w:i/>
          <w:sz w:val="24"/>
          <w:szCs w:val="24"/>
          <w:lang w:val="en-US" w:eastAsia="fr-FR"/>
        </w:rPr>
        <w:t>U(0.01,0.03)</w:t>
      </w:r>
      <w:r w:rsidR="003D2322">
        <w:rPr>
          <w:rFonts w:ascii="Times New Roman" w:hAnsi="Times New Roman" w:cs="Times New Roman"/>
          <w:sz w:val="24"/>
          <w:szCs w:val="24"/>
          <w:lang w:val="en-US" w:eastAsia="fr-FR"/>
        </w:rPr>
        <w:t xml:space="preserve">, </w:t>
      </w:r>
      <m:oMath>
        <m:r>
          <m:rPr>
            <m:sty m:val="p"/>
          </m:rPr>
          <w:rPr>
            <w:rFonts w:ascii="Cambria Math" w:hAnsi="Cambria Math" w:cs="Times New Roman"/>
            <w:sz w:val="24"/>
            <w:szCs w:val="24"/>
            <w:lang w:val="en-US" w:eastAsia="fr-FR"/>
          </w:rPr>
          <m:t>γ</m:t>
        </m:r>
      </m:oMath>
      <w:r w:rsidR="003D2322">
        <w:rPr>
          <w:rFonts w:ascii="Times New Roman" w:hAnsi="Times New Roman" w:cs="Times New Roman"/>
          <w:sz w:val="24"/>
          <w:szCs w:val="24"/>
          <w:lang w:val="en-US" w:eastAsia="fr-FR"/>
        </w:rPr>
        <w:t xml:space="preserve"> followed a binomial distribution </w:t>
      </w:r>
      <w:r w:rsidR="003D2322" w:rsidRPr="003D2322">
        <w:rPr>
          <w:rFonts w:ascii="Times New Roman" w:hAnsi="Times New Roman" w:cs="Times New Roman"/>
          <w:i/>
          <w:sz w:val="24"/>
          <w:szCs w:val="24"/>
          <w:lang w:val="en-US" w:eastAsia="fr-FR"/>
        </w:rPr>
        <w:t>B(size =2063, probability =0.001)</w:t>
      </w:r>
      <w:r w:rsidR="003D2322">
        <w:rPr>
          <w:rFonts w:ascii="Times New Roman" w:hAnsi="Times New Roman" w:cs="Times New Roman"/>
          <w:sz w:val="24"/>
          <w:szCs w:val="24"/>
          <w:lang w:val="en-US" w:eastAsia="fr-FR"/>
        </w:rPr>
        <w:t xml:space="preserve"> divided by 2063</w:t>
      </w:r>
      <w:r w:rsidR="00424C2D">
        <w:rPr>
          <w:rFonts w:ascii="Times New Roman" w:hAnsi="Times New Roman" w:cs="Times New Roman"/>
          <w:sz w:val="24"/>
          <w:szCs w:val="24"/>
          <w:lang w:val="en-US" w:eastAsia="fr-FR"/>
        </w:rPr>
        <w:t>,</w:t>
      </w:r>
      <w:r w:rsidR="003D2322">
        <w:rPr>
          <w:rFonts w:ascii="Times New Roman" w:hAnsi="Times New Roman" w:cs="Times New Roman"/>
          <w:sz w:val="24"/>
          <w:szCs w:val="24"/>
          <w:lang w:val="en-US" w:eastAsia="fr-FR"/>
        </w:rPr>
        <w:t xml:space="preserve"> and </w:t>
      </w:r>
      <m:oMath>
        <m:sSub>
          <m:sSubPr>
            <m:ctrlPr>
              <w:rPr>
                <w:rFonts w:ascii="Cambria Math" w:hAnsi="Cambria Math" w:cs="Times New Roman"/>
                <w:sz w:val="24"/>
                <w:szCs w:val="24"/>
                <w:lang w:val="en-US" w:eastAsia="fr-FR"/>
              </w:rPr>
            </m:ctrlPr>
          </m:sSubPr>
          <m:e>
            <m:r>
              <m:rPr>
                <m:sty m:val="p"/>
              </m:rPr>
              <w:rPr>
                <w:rFonts w:ascii="Cambria Math" w:hAnsi="Cambria Math" w:cs="Times New Roman"/>
                <w:sz w:val="24"/>
                <w:szCs w:val="24"/>
                <w:lang w:val="en-US" w:eastAsia="fr-FR"/>
              </w:rPr>
              <m:t>μ</m:t>
            </m:r>
          </m:e>
          <m:sub>
            <m:r>
              <m:rPr>
                <m:sty m:val="p"/>
              </m:rPr>
              <w:rPr>
                <w:rFonts w:ascii="Cambria Math" w:hAnsi="Cambria Math" w:cs="Times New Roman"/>
                <w:sz w:val="24"/>
                <w:szCs w:val="24"/>
                <w:lang w:val="en-US" w:eastAsia="fr-FR"/>
              </w:rPr>
              <m:t>1</m:t>
            </m:r>
          </m:sub>
        </m:sSub>
      </m:oMath>
      <w:r w:rsidR="003D2322">
        <w:rPr>
          <w:rFonts w:ascii="Times New Roman" w:hAnsi="Times New Roman" w:cs="Times New Roman"/>
          <w:sz w:val="24"/>
          <w:szCs w:val="24"/>
          <w:lang w:val="en-US" w:eastAsia="fr-FR"/>
        </w:rPr>
        <w:t xml:space="preserve"> followed a Poisson distribution </w:t>
      </w:r>
      <w:r w:rsidR="003D2322" w:rsidRPr="003D2322">
        <w:rPr>
          <w:rFonts w:ascii="Times New Roman" w:hAnsi="Times New Roman" w:cs="Times New Roman"/>
          <w:i/>
          <w:sz w:val="24"/>
          <w:szCs w:val="24"/>
          <w:lang w:val="en-US" w:eastAsia="fr-FR"/>
        </w:rPr>
        <w:t>P(7)</w:t>
      </w:r>
      <w:r w:rsidR="003D2322">
        <w:rPr>
          <w:rFonts w:ascii="Times New Roman" w:hAnsi="Times New Roman" w:cs="Times New Roman"/>
          <w:sz w:val="24"/>
          <w:szCs w:val="24"/>
          <w:lang w:val="en-US" w:eastAsia="fr-FR"/>
        </w:rPr>
        <w:t xml:space="preserve"> divided by 1000</w:t>
      </w:r>
    </w:p>
    <w:p w:rsidR="005D52E9" w:rsidRDefault="005E2EA6" w:rsidP="00CA1C54">
      <w:pPr>
        <w:pStyle w:val="NoSpacing"/>
        <w:numPr>
          <w:ilvl w:val="0"/>
          <w:numId w:val="1"/>
        </w:numPr>
        <w:spacing w:line="480" w:lineRule="auto"/>
        <w:jc w:val="both"/>
        <w:rPr>
          <w:rFonts w:ascii="Times New Roman" w:hAnsi="Times New Roman" w:cs="Times New Roman"/>
          <w:sz w:val="24"/>
          <w:szCs w:val="24"/>
          <w:lang w:val="en-US" w:eastAsia="fr-FR"/>
        </w:rPr>
      </w:pPr>
      <w:r>
        <w:rPr>
          <w:rFonts w:ascii="Times New Roman" w:hAnsi="Times New Roman" w:cs="Times New Roman"/>
          <w:sz w:val="24"/>
          <w:szCs w:val="24"/>
          <w:lang w:val="en-US" w:eastAsia="fr-FR"/>
        </w:rPr>
        <w:t xml:space="preserve">Step 6: 95% confidence intervals were </w:t>
      </w:r>
      <w:r w:rsidR="00DD5B1B">
        <w:rPr>
          <w:rFonts w:ascii="Times New Roman" w:hAnsi="Times New Roman" w:cs="Times New Roman"/>
          <w:sz w:val="24"/>
          <w:szCs w:val="24"/>
          <w:lang w:val="en-US" w:eastAsia="fr-FR"/>
        </w:rPr>
        <w:t>obtained</w:t>
      </w:r>
      <w:r>
        <w:rPr>
          <w:rFonts w:ascii="Times New Roman" w:hAnsi="Times New Roman" w:cs="Times New Roman"/>
          <w:sz w:val="24"/>
          <w:szCs w:val="24"/>
          <w:lang w:val="en-US" w:eastAsia="fr-FR"/>
        </w:rPr>
        <w:t xml:space="preserve"> with the 2.5</w:t>
      </w:r>
      <w:r w:rsidRPr="005E2EA6">
        <w:rPr>
          <w:rFonts w:ascii="Times New Roman" w:hAnsi="Times New Roman" w:cs="Times New Roman"/>
          <w:sz w:val="24"/>
          <w:szCs w:val="24"/>
          <w:vertAlign w:val="superscript"/>
          <w:lang w:val="en-US" w:eastAsia="fr-FR"/>
        </w:rPr>
        <w:t>th</w:t>
      </w:r>
      <w:r>
        <w:rPr>
          <w:rFonts w:ascii="Times New Roman" w:hAnsi="Times New Roman" w:cs="Times New Roman"/>
          <w:sz w:val="24"/>
          <w:szCs w:val="24"/>
          <w:lang w:val="en-US" w:eastAsia="fr-FR"/>
        </w:rPr>
        <w:t xml:space="preserve"> and 97.5</w:t>
      </w:r>
      <w:r w:rsidRPr="005E2EA6">
        <w:rPr>
          <w:rFonts w:ascii="Times New Roman" w:hAnsi="Times New Roman" w:cs="Times New Roman"/>
          <w:sz w:val="24"/>
          <w:szCs w:val="24"/>
          <w:vertAlign w:val="superscript"/>
          <w:lang w:val="en-US" w:eastAsia="fr-FR"/>
        </w:rPr>
        <w:t>th</w:t>
      </w:r>
      <w:r>
        <w:rPr>
          <w:rFonts w:ascii="Times New Roman" w:hAnsi="Times New Roman" w:cs="Times New Roman"/>
          <w:sz w:val="24"/>
          <w:szCs w:val="24"/>
          <w:lang w:val="en-US" w:eastAsia="fr-FR"/>
        </w:rPr>
        <w:t xml:space="preserve"> percentile</w:t>
      </w:r>
      <w:r w:rsidR="00A209A5">
        <w:rPr>
          <w:rFonts w:ascii="Times New Roman" w:hAnsi="Times New Roman" w:cs="Times New Roman"/>
          <w:sz w:val="24"/>
          <w:szCs w:val="24"/>
          <w:lang w:val="en-US" w:eastAsia="fr-FR"/>
        </w:rPr>
        <w:t>s</w:t>
      </w:r>
      <w:r>
        <w:rPr>
          <w:rFonts w:ascii="Times New Roman" w:hAnsi="Times New Roman" w:cs="Times New Roman"/>
          <w:sz w:val="24"/>
          <w:szCs w:val="24"/>
          <w:lang w:val="en-US" w:eastAsia="fr-FR"/>
        </w:rPr>
        <w:t xml:space="preserve"> of the distribution.</w:t>
      </w:r>
    </w:p>
    <w:p w:rsidR="005E719E" w:rsidRDefault="00326E37" w:rsidP="005E719E">
      <w:pPr>
        <w:pStyle w:val="NoSpacing"/>
        <w:spacing w:line="480" w:lineRule="auto"/>
        <w:jc w:val="both"/>
        <w:rPr>
          <w:rFonts w:ascii="Times New Roman" w:hAnsi="Times New Roman" w:cs="Times New Roman"/>
          <w:sz w:val="24"/>
          <w:szCs w:val="24"/>
          <w:lang w:val="en-US" w:eastAsia="fr-FR"/>
        </w:rPr>
      </w:pPr>
      <w:r w:rsidRPr="00496B12">
        <w:rPr>
          <w:rFonts w:ascii="Times New Roman" w:hAnsi="Times New Roman" w:cs="Times New Roman"/>
          <w:sz w:val="24"/>
          <w:szCs w:val="24"/>
          <w:lang w:val="en-US" w:eastAsia="fr-FR"/>
        </w:rPr>
        <w:t>C</w:t>
      </w:r>
      <w:r w:rsidR="005E719E" w:rsidRPr="00496B12">
        <w:rPr>
          <w:rFonts w:ascii="Times New Roman" w:hAnsi="Times New Roman" w:cs="Times New Roman"/>
          <w:sz w:val="24"/>
          <w:szCs w:val="24"/>
          <w:lang w:val="en-US" w:eastAsia="fr-FR"/>
        </w:rPr>
        <w:t xml:space="preserve">onfidence </w:t>
      </w:r>
      <w:r w:rsidR="008E2DA7" w:rsidRPr="00496B12">
        <w:rPr>
          <w:rFonts w:ascii="Times New Roman" w:hAnsi="Times New Roman" w:cs="Times New Roman"/>
          <w:sz w:val="24"/>
          <w:szCs w:val="24"/>
          <w:lang w:val="en-US" w:eastAsia="fr-FR"/>
        </w:rPr>
        <w:t>band</w:t>
      </w:r>
      <w:r w:rsidR="005E719E" w:rsidRPr="00496B12">
        <w:rPr>
          <w:rFonts w:ascii="Times New Roman" w:hAnsi="Times New Roman" w:cs="Times New Roman"/>
          <w:sz w:val="24"/>
          <w:szCs w:val="24"/>
          <w:lang w:val="en-US" w:eastAsia="fr-FR"/>
        </w:rPr>
        <w:t xml:space="preserve">s for prevalence </w:t>
      </w:r>
      <w:r w:rsidRPr="00496B12">
        <w:rPr>
          <w:rFonts w:ascii="Times New Roman" w:hAnsi="Times New Roman" w:cs="Times New Roman"/>
          <w:sz w:val="24"/>
          <w:szCs w:val="24"/>
          <w:lang w:val="en-US" w:eastAsia="fr-FR"/>
        </w:rPr>
        <w:t xml:space="preserve">are presented </w:t>
      </w:r>
      <w:r w:rsidR="005E719E" w:rsidRPr="00496B12">
        <w:rPr>
          <w:rFonts w:ascii="Times New Roman" w:hAnsi="Times New Roman" w:cs="Times New Roman"/>
          <w:sz w:val="24"/>
          <w:szCs w:val="24"/>
          <w:lang w:val="en-US" w:eastAsia="fr-FR"/>
        </w:rPr>
        <w:t>in Figures A</w:t>
      </w:r>
      <w:r w:rsidR="008E2DA7" w:rsidRPr="00496B12">
        <w:rPr>
          <w:rFonts w:ascii="Times New Roman" w:hAnsi="Times New Roman" w:cs="Times New Roman"/>
          <w:sz w:val="24"/>
          <w:szCs w:val="24"/>
          <w:lang w:val="en-US" w:eastAsia="fr-FR"/>
        </w:rPr>
        <w:t>2</w:t>
      </w:r>
      <w:r w:rsidR="005E719E" w:rsidRPr="00496B12">
        <w:rPr>
          <w:rFonts w:ascii="Times New Roman" w:hAnsi="Times New Roman" w:cs="Times New Roman"/>
          <w:sz w:val="24"/>
          <w:szCs w:val="24"/>
          <w:lang w:val="en-US" w:eastAsia="fr-FR"/>
        </w:rPr>
        <w:t>, A3, A4 and A5 according to each sub-population.</w:t>
      </w:r>
    </w:p>
    <w:p w:rsidR="00755ED7" w:rsidRDefault="00A36F50" w:rsidP="00A36F50">
      <w:pPr>
        <w:spacing w:after="0" w:line="240" w:lineRule="auto"/>
        <w:jc w:val="center"/>
        <w:rPr>
          <w:b/>
          <w:lang w:val="en-GB" w:eastAsia="fr-FR"/>
        </w:rPr>
      </w:pPr>
      <w:r>
        <w:rPr>
          <w:b/>
          <w:noProof/>
          <w:lang w:val="en-GB" w:eastAsia="en-GB"/>
        </w:rPr>
        <w:lastRenderedPageBreak/>
        <w:drawing>
          <wp:inline distT="0" distB="0" distL="0" distR="0" wp14:anchorId="3EB357AC" wp14:editId="01373E06">
            <wp:extent cx="4279392" cy="4274297"/>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9392" cy="4274297"/>
                    </a:xfrm>
                    <a:prstGeom prst="rect">
                      <a:avLst/>
                    </a:prstGeom>
                    <a:noFill/>
                    <a:ln>
                      <a:noFill/>
                    </a:ln>
                  </pic:spPr>
                </pic:pic>
              </a:graphicData>
            </a:graphic>
          </wp:inline>
        </w:drawing>
      </w:r>
    </w:p>
    <w:p w:rsidR="00755ED7" w:rsidRDefault="00755ED7" w:rsidP="00755ED7">
      <w:pPr>
        <w:spacing w:after="0" w:line="240" w:lineRule="auto"/>
        <w:jc w:val="both"/>
        <w:rPr>
          <w:lang w:val="en-GB" w:eastAsia="fr-FR"/>
        </w:rPr>
      </w:pPr>
      <w:r w:rsidRPr="00496B12">
        <w:rPr>
          <w:b/>
          <w:lang w:val="en-GB" w:eastAsia="fr-FR"/>
        </w:rPr>
        <w:t>Figure A2</w:t>
      </w:r>
      <w:r w:rsidRPr="00496B12">
        <w:rPr>
          <w:lang w:val="en-GB" w:eastAsia="fr-FR"/>
        </w:rPr>
        <w:t>. Curves represent the age-dependent HCV prevalence estimates from the logistic models among drug users in 2004 (gray) and 2011 (black) with their confidence intervals (d</w:t>
      </w:r>
      <w:r w:rsidR="00872754" w:rsidRPr="00496B12">
        <w:rPr>
          <w:lang w:val="en-GB" w:eastAsia="fr-FR"/>
        </w:rPr>
        <w:t>ash</w:t>
      </w:r>
      <w:r w:rsidRPr="00496B12">
        <w:rPr>
          <w:lang w:val="en-GB" w:eastAsia="fr-FR"/>
        </w:rPr>
        <w:t>ed curves).</w:t>
      </w:r>
      <w:r w:rsidRPr="001E264B">
        <w:rPr>
          <w:lang w:val="en-GB" w:eastAsia="fr-FR"/>
        </w:rPr>
        <w:t xml:space="preserve"> </w:t>
      </w:r>
    </w:p>
    <w:p w:rsidR="005B49BD" w:rsidRDefault="005B49BD" w:rsidP="00182655">
      <w:pPr>
        <w:pStyle w:val="NoSpacing"/>
        <w:spacing w:line="480" w:lineRule="auto"/>
        <w:jc w:val="both"/>
        <w:rPr>
          <w:rFonts w:ascii="Times New Roman" w:eastAsiaTheme="minorEastAsia" w:hAnsi="Times New Roman" w:cs="Times New Roman"/>
          <w:sz w:val="24"/>
          <w:szCs w:val="24"/>
          <w:lang w:val="en-GB" w:eastAsia="fr-FR"/>
        </w:rPr>
      </w:pPr>
    </w:p>
    <w:p w:rsidR="00872754" w:rsidRDefault="00872754" w:rsidP="00182655">
      <w:pPr>
        <w:pStyle w:val="NoSpacing"/>
        <w:spacing w:line="480" w:lineRule="auto"/>
        <w:jc w:val="both"/>
        <w:rPr>
          <w:rFonts w:ascii="Times New Roman" w:eastAsiaTheme="minorEastAsia" w:hAnsi="Times New Roman" w:cs="Times New Roman"/>
          <w:sz w:val="24"/>
          <w:szCs w:val="24"/>
          <w:lang w:val="en-GB" w:eastAsia="fr-FR"/>
        </w:rPr>
      </w:pPr>
    </w:p>
    <w:p w:rsidR="00872754" w:rsidRDefault="00B02EA8" w:rsidP="00182655">
      <w:pPr>
        <w:pStyle w:val="NoSpacing"/>
        <w:spacing w:line="480" w:lineRule="auto"/>
        <w:jc w:val="both"/>
        <w:rPr>
          <w:rFonts w:ascii="Times New Roman" w:eastAsiaTheme="minorEastAsia" w:hAnsi="Times New Roman" w:cs="Times New Roman"/>
          <w:sz w:val="24"/>
          <w:szCs w:val="24"/>
          <w:lang w:val="en-GB" w:eastAsia="fr-FR"/>
        </w:rPr>
      </w:pPr>
      <w:r>
        <w:rPr>
          <w:rFonts w:ascii="Times New Roman" w:eastAsiaTheme="minorEastAsia" w:hAnsi="Times New Roman" w:cs="Times New Roman"/>
          <w:noProof/>
          <w:sz w:val="24"/>
          <w:szCs w:val="24"/>
          <w:lang w:val="en-GB" w:eastAsia="en-GB"/>
        </w:rPr>
        <w:lastRenderedPageBreak/>
        <w:drawing>
          <wp:inline distT="0" distB="0" distL="0" distR="0">
            <wp:extent cx="5657785" cy="4176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7785" cy="4176000"/>
                    </a:xfrm>
                    <a:prstGeom prst="rect">
                      <a:avLst/>
                    </a:prstGeom>
                    <a:noFill/>
                    <a:ln>
                      <a:noFill/>
                    </a:ln>
                  </pic:spPr>
                </pic:pic>
              </a:graphicData>
            </a:graphic>
          </wp:inline>
        </w:drawing>
      </w:r>
    </w:p>
    <w:p w:rsidR="00B46A4E" w:rsidRPr="00755ED7" w:rsidRDefault="00B46A4E" w:rsidP="00182655">
      <w:pPr>
        <w:pStyle w:val="NoSpacing"/>
        <w:spacing w:line="480" w:lineRule="auto"/>
        <w:jc w:val="both"/>
        <w:rPr>
          <w:rFonts w:ascii="Times New Roman" w:eastAsiaTheme="minorEastAsia" w:hAnsi="Times New Roman" w:cs="Times New Roman"/>
          <w:sz w:val="24"/>
          <w:szCs w:val="24"/>
          <w:lang w:val="en-GB" w:eastAsia="fr-FR"/>
        </w:rPr>
      </w:pPr>
    </w:p>
    <w:p w:rsidR="00872754" w:rsidRDefault="00872754" w:rsidP="00872754">
      <w:pPr>
        <w:spacing w:after="0" w:line="240" w:lineRule="auto"/>
        <w:jc w:val="both"/>
        <w:rPr>
          <w:lang w:val="en-GB" w:eastAsia="fr-FR"/>
        </w:rPr>
      </w:pPr>
      <w:r w:rsidRPr="00496B12">
        <w:rPr>
          <w:b/>
          <w:lang w:val="en-GB" w:eastAsia="fr-FR"/>
        </w:rPr>
        <w:t>Figure A3</w:t>
      </w:r>
      <w:r w:rsidRPr="00496B12">
        <w:rPr>
          <w:lang w:val="en-GB" w:eastAsia="fr-FR"/>
        </w:rPr>
        <w:t>. Curves represent the age-dependent HCV prevalence estimates from the logistic models in 2004 (gray) and 2011 (black) with their confidence intervals (dashed curves) among</w:t>
      </w:r>
      <w:r w:rsidR="00A467C4" w:rsidRPr="00496B12">
        <w:rPr>
          <w:lang w:val="en-GB" w:eastAsia="fr-FR"/>
        </w:rPr>
        <w:t xml:space="preserve"> those not reporting</w:t>
      </w:r>
      <w:r w:rsidRPr="00496B12">
        <w:rPr>
          <w:lang w:val="en-GB" w:eastAsia="fr-FR"/>
        </w:rPr>
        <w:t xml:space="preserve"> injecting drug use (Left) and </w:t>
      </w:r>
      <w:r w:rsidR="00A467C4" w:rsidRPr="00496B12">
        <w:rPr>
          <w:lang w:val="en-GB" w:eastAsia="fr-FR"/>
        </w:rPr>
        <w:t xml:space="preserve">those reporting </w:t>
      </w:r>
      <w:r w:rsidRPr="00496B12">
        <w:rPr>
          <w:lang w:val="en-GB" w:eastAsia="fr-FR"/>
        </w:rPr>
        <w:t>injecting drug use (Right).</w:t>
      </w:r>
      <w:r w:rsidRPr="001E264B">
        <w:rPr>
          <w:lang w:val="en-GB" w:eastAsia="fr-FR"/>
        </w:rPr>
        <w:t xml:space="preserve"> </w:t>
      </w:r>
    </w:p>
    <w:p w:rsidR="00172248" w:rsidRPr="00872754" w:rsidRDefault="00B02EA8" w:rsidP="00B02EA8">
      <w:pPr>
        <w:pStyle w:val="NoSpacing"/>
        <w:spacing w:line="480" w:lineRule="auto"/>
        <w:jc w:val="center"/>
        <w:rPr>
          <w:rStyle w:val="hps"/>
          <w:rFonts w:ascii="Times New Roman" w:hAnsi="Times New Roman" w:cs="Times New Roman"/>
          <w:lang w:val="en-GB"/>
        </w:rPr>
      </w:pPr>
      <w:r>
        <w:rPr>
          <w:rFonts w:ascii="Times New Roman" w:hAnsi="Times New Roman" w:cs="Times New Roman"/>
          <w:noProof/>
          <w:lang w:val="en-GB" w:eastAsia="en-GB"/>
        </w:rPr>
        <w:lastRenderedPageBreak/>
        <w:drawing>
          <wp:inline distT="0" distB="0" distL="0" distR="0">
            <wp:extent cx="4180977" cy="41760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0977" cy="4176000"/>
                    </a:xfrm>
                    <a:prstGeom prst="rect">
                      <a:avLst/>
                    </a:prstGeom>
                    <a:noFill/>
                    <a:ln>
                      <a:noFill/>
                    </a:ln>
                  </pic:spPr>
                </pic:pic>
              </a:graphicData>
            </a:graphic>
          </wp:inline>
        </w:drawing>
      </w:r>
    </w:p>
    <w:p w:rsidR="00182655" w:rsidRPr="008E2DA7" w:rsidRDefault="00182655" w:rsidP="00A36F50">
      <w:pPr>
        <w:pStyle w:val="NoSpacing"/>
        <w:jc w:val="center"/>
        <w:rPr>
          <w:rStyle w:val="hps"/>
          <w:rFonts w:eastAsiaTheme="minorEastAsia"/>
          <w:sz w:val="24"/>
          <w:szCs w:val="24"/>
          <w:highlight w:val="yellow"/>
          <w:lang w:val="en-US" w:eastAsia="fr-FR"/>
        </w:rPr>
      </w:pPr>
    </w:p>
    <w:p w:rsidR="00A36F50" w:rsidRDefault="00A36F50" w:rsidP="00A36F50">
      <w:pPr>
        <w:spacing w:after="0" w:line="240" w:lineRule="auto"/>
        <w:jc w:val="both"/>
        <w:rPr>
          <w:lang w:val="en-GB" w:eastAsia="fr-FR"/>
        </w:rPr>
      </w:pPr>
      <w:r w:rsidRPr="00496B12">
        <w:rPr>
          <w:b/>
          <w:lang w:val="en-GB" w:eastAsia="fr-FR"/>
        </w:rPr>
        <w:t>Figure A4</w:t>
      </w:r>
      <w:r w:rsidRPr="00496B12">
        <w:rPr>
          <w:lang w:val="en-GB" w:eastAsia="fr-FR"/>
        </w:rPr>
        <w:t xml:space="preserve">.  Curves represent the age-dependent HCV prevalence estimates from the logistic models among </w:t>
      </w:r>
      <w:r w:rsidR="005B607C" w:rsidRPr="00496B12">
        <w:rPr>
          <w:lang w:val="en-GB" w:eastAsia="fr-FR"/>
        </w:rPr>
        <w:t xml:space="preserve">those reporting </w:t>
      </w:r>
      <w:r w:rsidRPr="00496B12">
        <w:rPr>
          <w:lang w:val="en-GB" w:eastAsia="fr-FR"/>
        </w:rPr>
        <w:t>active injecting drug use in 2004 (gray) and 2011 (black</w:t>
      </w:r>
      <w:r w:rsidR="006022E5" w:rsidRPr="00496B12">
        <w:rPr>
          <w:lang w:val="en-GB" w:eastAsia="fr-FR"/>
        </w:rPr>
        <w:t>)</w:t>
      </w:r>
      <w:r w:rsidRPr="00496B12">
        <w:rPr>
          <w:lang w:val="en-GB" w:eastAsia="fr-FR"/>
        </w:rPr>
        <w:t xml:space="preserve"> with their confidence intervals (dashed curves).</w:t>
      </w:r>
      <w:r w:rsidRPr="001E264B">
        <w:rPr>
          <w:lang w:val="en-GB" w:eastAsia="fr-FR"/>
        </w:rPr>
        <w:t xml:space="preserve"> </w:t>
      </w:r>
    </w:p>
    <w:p w:rsidR="00A36F50" w:rsidRDefault="00A36F50" w:rsidP="00A36F50">
      <w:pPr>
        <w:spacing w:after="0" w:line="240" w:lineRule="auto"/>
        <w:jc w:val="both"/>
        <w:rPr>
          <w:rStyle w:val="hps"/>
          <w:rFonts w:eastAsiaTheme="minorEastAsia"/>
          <w:highlight w:val="yellow"/>
          <w:lang w:val="en-GB" w:eastAsia="fr-FR"/>
        </w:rPr>
      </w:pPr>
    </w:p>
    <w:p w:rsidR="006022E5" w:rsidRDefault="006022E5" w:rsidP="00A36F50">
      <w:pPr>
        <w:spacing w:after="0" w:line="240" w:lineRule="auto"/>
        <w:jc w:val="both"/>
        <w:rPr>
          <w:rStyle w:val="hps"/>
          <w:rFonts w:eastAsiaTheme="minorEastAsia"/>
          <w:highlight w:val="yellow"/>
          <w:lang w:val="en-GB" w:eastAsia="fr-FR"/>
        </w:rPr>
      </w:pPr>
      <w:r>
        <w:rPr>
          <w:rFonts w:eastAsiaTheme="minorEastAsia"/>
          <w:noProof/>
          <w:lang w:val="en-GB" w:eastAsia="en-GB"/>
        </w:rPr>
        <w:lastRenderedPageBreak/>
        <w:drawing>
          <wp:inline distT="0" distB="0" distL="0" distR="0" wp14:anchorId="5C9C31F0" wp14:editId="6F34AB49">
            <wp:extent cx="5760720" cy="405450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054506"/>
                    </a:xfrm>
                    <a:prstGeom prst="rect">
                      <a:avLst/>
                    </a:prstGeom>
                    <a:noFill/>
                    <a:ln>
                      <a:noFill/>
                    </a:ln>
                  </pic:spPr>
                </pic:pic>
              </a:graphicData>
            </a:graphic>
          </wp:inline>
        </w:drawing>
      </w:r>
    </w:p>
    <w:p w:rsidR="006022E5" w:rsidRPr="00496B12" w:rsidRDefault="006022E5" w:rsidP="0071514B">
      <w:pPr>
        <w:pStyle w:val="NoSpacing"/>
        <w:jc w:val="both"/>
        <w:rPr>
          <w:rFonts w:ascii="Times New Roman" w:hAnsi="Times New Roman" w:cs="Times New Roman"/>
          <w:sz w:val="24"/>
          <w:szCs w:val="24"/>
          <w:lang w:val="en-GB" w:eastAsia="fr-FR"/>
        </w:rPr>
      </w:pPr>
      <w:r w:rsidRPr="00496B12">
        <w:rPr>
          <w:rFonts w:ascii="Times New Roman" w:hAnsi="Times New Roman" w:cs="Times New Roman"/>
          <w:b/>
          <w:sz w:val="24"/>
          <w:szCs w:val="24"/>
          <w:lang w:val="en-GB" w:eastAsia="fr-FR"/>
        </w:rPr>
        <w:t xml:space="preserve">Figure </w:t>
      </w:r>
      <w:r w:rsidR="0071514B" w:rsidRPr="00496B12">
        <w:rPr>
          <w:rFonts w:ascii="Times New Roman" w:hAnsi="Times New Roman" w:cs="Times New Roman"/>
          <w:b/>
          <w:sz w:val="24"/>
          <w:szCs w:val="24"/>
          <w:lang w:val="en-GB" w:eastAsia="fr-FR"/>
        </w:rPr>
        <w:t>A5</w:t>
      </w:r>
      <w:r w:rsidRPr="00496B12">
        <w:rPr>
          <w:rFonts w:ascii="Times New Roman" w:hAnsi="Times New Roman" w:cs="Times New Roman"/>
          <w:sz w:val="24"/>
          <w:szCs w:val="24"/>
          <w:lang w:val="en-GB" w:eastAsia="fr-FR"/>
        </w:rPr>
        <w:t xml:space="preserve">. Curves represent the age-dependent HCV prevalence estimates from the logistic models in 2004 (gray) and 2011 (black) with their confidence intervals (dashed curves) among HIV-negative drug users (Left) and HIV-positive drug users (Right). </w:t>
      </w:r>
    </w:p>
    <w:p w:rsidR="006022E5" w:rsidRPr="00496B12" w:rsidRDefault="006022E5" w:rsidP="00A36F50">
      <w:pPr>
        <w:spacing w:after="0" w:line="240" w:lineRule="auto"/>
        <w:jc w:val="both"/>
        <w:rPr>
          <w:rStyle w:val="hps"/>
          <w:rFonts w:eastAsiaTheme="minorEastAsia"/>
          <w:lang w:val="en-GB" w:eastAsia="fr-FR"/>
        </w:rPr>
      </w:pPr>
    </w:p>
    <w:p w:rsidR="00903DF4" w:rsidRPr="00496B12" w:rsidRDefault="00903DF4" w:rsidP="00A36F50">
      <w:pPr>
        <w:spacing w:after="0" w:line="240" w:lineRule="auto"/>
        <w:jc w:val="both"/>
        <w:rPr>
          <w:rStyle w:val="hps"/>
          <w:rFonts w:eastAsiaTheme="minorEastAsia"/>
          <w:lang w:val="en-GB" w:eastAsia="fr-FR"/>
        </w:rPr>
      </w:pPr>
    </w:p>
    <w:p w:rsidR="00903DF4" w:rsidRPr="00496B12" w:rsidRDefault="00903DF4" w:rsidP="00A36F50">
      <w:pPr>
        <w:spacing w:after="0" w:line="240" w:lineRule="auto"/>
        <w:jc w:val="both"/>
        <w:rPr>
          <w:rStyle w:val="hps"/>
          <w:rFonts w:eastAsiaTheme="minorEastAsia"/>
          <w:lang w:eastAsia="fr-FR"/>
        </w:rPr>
      </w:pPr>
      <w:r w:rsidRPr="00496B12">
        <w:rPr>
          <w:rStyle w:val="hps"/>
          <w:rFonts w:eastAsiaTheme="minorEastAsia"/>
          <w:lang w:eastAsia="fr-FR"/>
        </w:rPr>
        <w:t>Reference</w:t>
      </w:r>
      <w:r w:rsidR="00326E37" w:rsidRPr="00496B12">
        <w:rPr>
          <w:rStyle w:val="hps"/>
          <w:rFonts w:eastAsiaTheme="minorEastAsia"/>
          <w:lang w:eastAsia="fr-FR"/>
        </w:rPr>
        <w:t>s</w:t>
      </w:r>
    </w:p>
    <w:p w:rsidR="00903DF4" w:rsidRPr="00496B12" w:rsidRDefault="00903DF4" w:rsidP="00A36F50">
      <w:pPr>
        <w:spacing w:after="0" w:line="240" w:lineRule="auto"/>
        <w:jc w:val="both"/>
        <w:rPr>
          <w:rStyle w:val="hps"/>
          <w:rFonts w:eastAsiaTheme="minorEastAsia"/>
          <w:lang w:eastAsia="fr-FR"/>
        </w:rPr>
      </w:pPr>
    </w:p>
    <w:p w:rsidR="007E6F7F" w:rsidRPr="00496B12" w:rsidRDefault="007E6F7F" w:rsidP="00A36F50">
      <w:pPr>
        <w:spacing w:after="0" w:line="240" w:lineRule="auto"/>
        <w:jc w:val="both"/>
        <w:rPr>
          <w:rStyle w:val="hps"/>
          <w:rFonts w:eastAsiaTheme="minorEastAsia"/>
          <w:lang w:eastAsia="fr-FR"/>
        </w:rPr>
      </w:pPr>
    </w:p>
    <w:p w:rsidR="00C42B2A" w:rsidRPr="00496B12" w:rsidRDefault="007E6F7F" w:rsidP="00C42B2A">
      <w:pPr>
        <w:pStyle w:val="EndNoteBibliography"/>
        <w:spacing w:after="0"/>
      </w:pPr>
      <w:r w:rsidRPr="00496B12">
        <w:rPr>
          <w:rStyle w:val="hps"/>
          <w:rFonts w:eastAsiaTheme="minorEastAsia"/>
          <w:lang w:val="en-GB" w:eastAsia="fr-FR"/>
        </w:rPr>
        <w:fldChar w:fldCharType="begin"/>
      </w:r>
      <w:r w:rsidRPr="00496B12">
        <w:rPr>
          <w:rStyle w:val="hps"/>
          <w:rFonts w:eastAsiaTheme="minorEastAsia"/>
          <w:lang w:val="fr-FR" w:eastAsia="fr-FR"/>
        </w:rPr>
        <w:instrText xml:space="preserve"> ADDIN EN.REFLIST </w:instrText>
      </w:r>
      <w:r w:rsidRPr="00496B12">
        <w:rPr>
          <w:rStyle w:val="hps"/>
          <w:rFonts w:eastAsiaTheme="minorEastAsia"/>
          <w:lang w:val="en-GB" w:eastAsia="fr-FR"/>
        </w:rPr>
        <w:fldChar w:fldCharType="separate"/>
      </w:r>
      <w:r w:rsidR="00C42B2A" w:rsidRPr="00496B12">
        <w:rPr>
          <w:lang w:val="fr-FR"/>
        </w:rPr>
        <w:t>(1)</w:t>
      </w:r>
      <w:r w:rsidR="00C42B2A" w:rsidRPr="00496B12">
        <w:rPr>
          <w:lang w:val="fr-FR"/>
        </w:rPr>
        <w:tab/>
      </w:r>
      <w:r w:rsidR="00C42B2A" w:rsidRPr="00496B12">
        <w:rPr>
          <w:b/>
          <w:lang w:val="fr-FR"/>
        </w:rPr>
        <w:t>Soulier A, et al.</w:t>
      </w:r>
      <w:r w:rsidR="00C42B2A" w:rsidRPr="00496B12">
        <w:rPr>
          <w:lang w:val="fr-FR"/>
        </w:rPr>
        <w:t xml:space="preserve"> </w:t>
      </w:r>
      <w:r w:rsidR="00C42B2A" w:rsidRPr="00496B12">
        <w:t xml:space="preserve">Dried blood spots: a tool to ensure broad access to hepatitis C screening, diagnosis and treatment monitoring. </w:t>
      </w:r>
      <w:r w:rsidR="00C42B2A" w:rsidRPr="00496B12">
        <w:rPr>
          <w:i/>
        </w:rPr>
        <w:t>Journal of Infectious Diseases</w:t>
      </w:r>
      <w:r w:rsidR="00C42B2A" w:rsidRPr="00496B12">
        <w:t xml:space="preserve"> 2015: jiv423.</w:t>
      </w:r>
    </w:p>
    <w:p w:rsidR="00C42B2A" w:rsidRPr="00496B12" w:rsidRDefault="00C42B2A" w:rsidP="00C42B2A">
      <w:pPr>
        <w:pStyle w:val="EndNoteBibliography"/>
        <w:spacing w:after="0"/>
      </w:pPr>
      <w:r w:rsidRPr="00496B12">
        <w:t>(2)</w:t>
      </w:r>
      <w:r w:rsidRPr="00496B12">
        <w:tab/>
      </w:r>
      <w:r w:rsidRPr="00496B12">
        <w:rPr>
          <w:b/>
        </w:rPr>
        <w:t>Bollaerts K, et al.</w:t>
      </w:r>
      <w:r w:rsidRPr="00496B12">
        <w:t xml:space="preserve"> Estimating the population prevalence and force of infection directly from antibody titres. </w:t>
      </w:r>
      <w:r w:rsidRPr="00496B12">
        <w:rPr>
          <w:i/>
        </w:rPr>
        <w:t>Statistical Modelling</w:t>
      </w:r>
      <w:r w:rsidRPr="00496B12">
        <w:t xml:space="preserve"> 2012;</w:t>
      </w:r>
      <w:r w:rsidRPr="00496B12">
        <w:rPr>
          <w:b/>
        </w:rPr>
        <w:t xml:space="preserve"> 12</w:t>
      </w:r>
      <w:r w:rsidRPr="00496B12">
        <w:t>(5): 441-462.</w:t>
      </w:r>
    </w:p>
    <w:p w:rsidR="00C42B2A" w:rsidRPr="00496B12" w:rsidRDefault="00C42B2A" w:rsidP="00C42B2A">
      <w:pPr>
        <w:pStyle w:val="EndNoteBibliography"/>
      </w:pPr>
      <w:r w:rsidRPr="00496B12">
        <w:t>(3)</w:t>
      </w:r>
      <w:r w:rsidRPr="00496B12">
        <w:tab/>
      </w:r>
      <w:r w:rsidRPr="00496B12">
        <w:rPr>
          <w:b/>
        </w:rPr>
        <w:t>Kafatos G, et al.</w:t>
      </w:r>
      <w:r w:rsidRPr="00496B12">
        <w:t xml:space="preserve"> Is it appropriate to use fixed assay cut-offs for estimating seroprevalence? </w:t>
      </w:r>
      <w:r w:rsidRPr="00496B12">
        <w:rPr>
          <w:i/>
        </w:rPr>
        <w:t>Epidemiology and Infection</w:t>
      </w:r>
      <w:r w:rsidRPr="00496B12">
        <w:t xml:space="preserve"> 2016;</w:t>
      </w:r>
      <w:r w:rsidRPr="00496B12">
        <w:rPr>
          <w:b/>
        </w:rPr>
        <w:t xml:space="preserve"> 144</w:t>
      </w:r>
      <w:r w:rsidRPr="00496B12">
        <w:t>(04): 887-895.</w:t>
      </w:r>
    </w:p>
    <w:p w:rsidR="00903DF4" w:rsidRPr="00A36F50" w:rsidRDefault="007E6F7F" w:rsidP="00A36F50">
      <w:pPr>
        <w:spacing w:after="0" w:line="240" w:lineRule="auto"/>
        <w:jc w:val="both"/>
        <w:rPr>
          <w:rStyle w:val="hps"/>
          <w:rFonts w:eastAsiaTheme="minorEastAsia"/>
          <w:highlight w:val="yellow"/>
          <w:lang w:val="en-GB" w:eastAsia="fr-FR"/>
        </w:rPr>
      </w:pPr>
      <w:r w:rsidRPr="00496B12">
        <w:rPr>
          <w:rStyle w:val="hps"/>
          <w:rFonts w:eastAsiaTheme="minorEastAsia"/>
          <w:lang w:val="en-GB" w:eastAsia="fr-FR"/>
        </w:rPr>
        <w:fldChar w:fldCharType="end"/>
      </w:r>
    </w:p>
    <w:sectPr w:rsidR="00903DF4" w:rsidRPr="00A36F50" w:rsidSect="00AF27B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92A" w:rsidRDefault="0007592A" w:rsidP="00F75EA9">
      <w:pPr>
        <w:spacing w:after="0" w:line="240" w:lineRule="auto"/>
      </w:pPr>
      <w:r>
        <w:separator/>
      </w:r>
    </w:p>
  </w:endnote>
  <w:endnote w:type="continuationSeparator" w:id="0">
    <w:p w:rsidR="0007592A" w:rsidRDefault="0007592A" w:rsidP="00F75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046966"/>
      <w:docPartObj>
        <w:docPartGallery w:val="Page Numbers (Bottom of Page)"/>
        <w:docPartUnique/>
      </w:docPartObj>
    </w:sdtPr>
    <w:sdtEndPr/>
    <w:sdtContent>
      <w:p w:rsidR="00F75EA9" w:rsidRDefault="000E454C">
        <w:pPr>
          <w:pStyle w:val="Footer"/>
          <w:jc w:val="right"/>
        </w:pPr>
        <w:r>
          <w:fldChar w:fldCharType="begin"/>
        </w:r>
        <w:r w:rsidR="00F75EA9">
          <w:instrText>PAGE   \* MERGEFORMAT</w:instrText>
        </w:r>
        <w:r>
          <w:fldChar w:fldCharType="separate"/>
        </w:r>
        <w:r w:rsidR="00271384">
          <w:rPr>
            <w:noProof/>
          </w:rPr>
          <w:t>1</w:t>
        </w:r>
        <w:r>
          <w:fldChar w:fldCharType="end"/>
        </w:r>
      </w:p>
    </w:sdtContent>
  </w:sdt>
  <w:p w:rsidR="00F75EA9" w:rsidRDefault="00F75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92A" w:rsidRDefault="0007592A" w:rsidP="00F75EA9">
      <w:pPr>
        <w:spacing w:after="0" w:line="240" w:lineRule="auto"/>
      </w:pPr>
      <w:r>
        <w:separator/>
      </w:r>
    </w:p>
  </w:footnote>
  <w:footnote w:type="continuationSeparator" w:id="0">
    <w:p w:rsidR="0007592A" w:rsidRDefault="0007592A" w:rsidP="00F75E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51968"/>
    <w:multiLevelType w:val="hybridMultilevel"/>
    <w:tmpl w:val="6DB42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pidemiology Infection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sr9azwuav55ie55e2p5veeee0rsxsp0202&quot;&gt;DynamicVHC2&lt;record-ids&gt;&lt;item&gt;185&lt;/item&gt;&lt;item&gt;203&lt;/item&gt;&lt;item&gt;204&lt;/item&gt;&lt;/record-ids&gt;&lt;/item&gt;&lt;/Libraries&gt;"/>
  </w:docVars>
  <w:rsids>
    <w:rsidRoot w:val="00182655"/>
    <w:rsid w:val="0001313E"/>
    <w:rsid w:val="00033B59"/>
    <w:rsid w:val="00044EA4"/>
    <w:rsid w:val="00057DAD"/>
    <w:rsid w:val="0007592A"/>
    <w:rsid w:val="000B60EF"/>
    <w:rsid w:val="000E454C"/>
    <w:rsid w:val="000E47E1"/>
    <w:rsid w:val="001455B9"/>
    <w:rsid w:val="0016097B"/>
    <w:rsid w:val="00164AAF"/>
    <w:rsid w:val="00172248"/>
    <w:rsid w:val="00182655"/>
    <w:rsid w:val="001842A7"/>
    <w:rsid w:val="0018712B"/>
    <w:rsid w:val="0019336A"/>
    <w:rsid w:val="001D6E48"/>
    <w:rsid w:val="002256C4"/>
    <w:rsid w:val="00230AF4"/>
    <w:rsid w:val="00271384"/>
    <w:rsid w:val="00284AD6"/>
    <w:rsid w:val="002A0F46"/>
    <w:rsid w:val="002C187F"/>
    <w:rsid w:val="002C1AF1"/>
    <w:rsid w:val="0030512F"/>
    <w:rsid w:val="00326E37"/>
    <w:rsid w:val="00345D51"/>
    <w:rsid w:val="00367CA5"/>
    <w:rsid w:val="003C364F"/>
    <w:rsid w:val="003D2322"/>
    <w:rsid w:val="003E78F4"/>
    <w:rsid w:val="003F0D4B"/>
    <w:rsid w:val="00424C2D"/>
    <w:rsid w:val="004858C6"/>
    <w:rsid w:val="00494932"/>
    <w:rsid w:val="0049568E"/>
    <w:rsid w:val="00496B12"/>
    <w:rsid w:val="004A7FD1"/>
    <w:rsid w:val="005568F9"/>
    <w:rsid w:val="005A43BF"/>
    <w:rsid w:val="005B49BD"/>
    <w:rsid w:val="005B607C"/>
    <w:rsid w:val="005B65E1"/>
    <w:rsid w:val="005C48F8"/>
    <w:rsid w:val="005D52E9"/>
    <w:rsid w:val="005E2EA6"/>
    <w:rsid w:val="005E719E"/>
    <w:rsid w:val="005F5218"/>
    <w:rsid w:val="005F6A45"/>
    <w:rsid w:val="006022E5"/>
    <w:rsid w:val="00603BE8"/>
    <w:rsid w:val="006071E4"/>
    <w:rsid w:val="00615D86"/>
    <w:rsid w:val="006361D3"/>
    <w:rsid w:val="00656C8F"/>
    <w:rsid w:val="00670F48"/>
    <w:rsid w:val="00686704"/>
    <w:rsid w:val="006A5232"/>
    <w:rsid w:val="006E2FDE"/>
    <w:rsid w:val="006F0448"/>
    <w:rsid w:val="0071514B"/>
    <w:rsid w:val="00737F0F"/>
    <w:rsid w:val="00755ED7"/>
    <w:rsid w:val="007A22B2"/>
    <w:rsid w:val="007A5592"/>
    <w:rsid w:val="007E6F7F"/>
    <w:rsid w:val="007F178B"/>
    <w:rsid w:val="007F3910"/>
    <w:rsid w:val="00823375"/>
    <w:rsid w:val="00864F6D"/>
    <w:rsid w:val="00872754"/>
    <w:rsid w:val="00882015"/>
    <w:rsid w:val="008E2DA7"/>
    <w:rsid w:val="00903DF4"/>
    <w:rsid w:val="00905F56"/>
    <w:rsid w:val="00915A1E"/>
    <w:rsid w:val="009527CF"/>
    <w:rsid w:val="00976AC2"/>
    <w:rsid w:val="00991E40"/>
    <w:rsid w:val="009C777D"/>
    <w:rsid w:val="009E11A4"/>
    <w:rsid w:val="009F7387"/>
    <w:rsid w:val="009F7DAE"/>
    <w:rsid w:val="00A209A5"/>
    <w:rsid w:val="00A23A3A"/>
    <w:rsid w:val="00A36F50"/>
    <w:rsid w:val="00A467C4"/>
    <w:rsid w:val="00A62469"/>
    <w:rsid w:val="00AC5EC6"/>
    <w:rsid w:val="00AC747D"/>
    <w:rsid w:val="00AE007A"/>
    <w:rsid w:val="00AF27B9"/>
    <w:rsid w:val="00B02EA8"/>
    <w:rsid w:val="00B06D85"/>
    <w:rsid w:val="00B3207C"/>
    <w:rsid w:val="00B44123"/>
    <w:rsid w:val="00B46A4E"/>
    <w:rsid w:val="00B52F65"/>
    <w:rsid w:val="00B71C61"/>
    <w:rsid w:val="00C04DED"/>
    <w:rsid w:val="00C24C82"/>
    <w:rsid w:val="00C42B2A"/>
    <w:rsid w:val="00C81321"/>
    <w:rsid w:val="00C970C3"/>
    <w:rsid w:val="00CA1C54"/>
    <w:rsid w:val="00CF2BC6"/>
    <w:rsid w:val="00D171C5"/>
    <w:rsid w:val="00D241A5"/>
    <w:rsid w:val="00D42989"/>
    <w:rsid w:val="00DC0650"/>
    <w:rsid w:val="00DC548C"/>
    <w:rsid w:val="00DD5B1B"/>
    <w:rsid w:val="00E021C4"/>
    <w:rsid w:val="00E232A0"/>
    <w:rsid w:val="00E4747F"/>
    <w:rsid w:val="00E5752A"/>
    <w:rsid w:val="00E62400"/>
    <w:rsid w:val="00E963C2"/>
    <w:rsid w:val="00EA5BA0"/>
    <w:rsid w:val="00EB0470"/>
    <w:rsid w:val="00EE6D7E"/>
    <w:rsid w:val="00EF7ED5"/>
    <w:rsid w:val="00F1416C"/>
    <w:rsid w:val="00F372C1"/>
    <w:rsid w:val="00F705C0"/>
    <w:rsid w:val="00F75EA9"/>
    <w:rsid w:val="00F9246A"/>
    <w:rsid w:val="00F970D1"/>
    <w:rsid w:val="00FB71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2FFAD-F7E7-430D-9C4F-37D905BD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5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82655"/>
    <w:pPr>
      <w:spacing w:after="0" w:line="240" w:lineRule="auto"/>
    </w:pPr>
  </w:style>
  <w:style w:type="character" w:customStyle="1" w:styleId="hps">
    <w:name w:val="hps"/>
    <w:basedOn w:val="DefaultParagraphFont"/>
    <w:rsid w:val="00182655"/>
  </w:style>
  <w:style w:type="table" w:styleId="TableGrid">
    <w:name w:val="Table Grid"/>
    <w:basedOn w:val="TableNormal"/>
    <w:uiPriority w:val="59"/>
    <w:rsid w:val="0018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2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655"/>
    <w:rPr>
      <w:rFonts w:ascii="Tahoma" w:hAnsi="Tahoma" w:cs="Tahoma"/>
      <w:sz w:val="16"/>
      <w:szCs w:val="16"/>
    </w:rPr>
  </w:style>
  <w:style w:type="character" w:styleId="PlaceholderText">
    <w:name w:val="Placeholder Text"/>
    <w:basedOn w:val="DefaultParagraphFont"/>
    <w:uiPriority w:val="99"/>
    <w:semiHidden/>
    <w:rsid w:val="004A7FD1"/>
    <w:rPr>
      <w:color w:val="808080"/>
    </w:rPr>
  </w:style>
  <w:style w:type="character" w:customStyle="1" w:styleId="shorttext">
    <w:name w:val="short_text"/>
    <w:basedOn w:val="DefaultParagraphFont"/>
    <w:rsid w:val="00F75EA9"/>
  </w:style>
  <w:style w:type="paragraph" w:styleId="Header">
    <w:name w:val="header"/>
    <w:basedOn w:val="Normal"/>
    <w:link w:val="HeaderChar"/>
    <w:uiPriority w:val="99"/>
    <w:unhideWhenUsed/>
    <w:rsid w:val="00F75E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5EA9"/>
    <w:rPr>
      <w:rFonts w:ascii="Times New Roman" w:hAnsi="Times New Roman" w:cs="Times New Roman"/>
      <w:sz w:val="24"/>
      <w:szCs w:val="24"/>
    </w:rPr>
  </w:style>
  <w:style w:type="paragraph" w:styleId="Footer">
    <w:name w:val="footer"/>
    <w:basedOn w:val="Normal"/>
    <w:link w:val="FooterChar"/>
    <w:uiPriority w:val="99"/>
    <w:unhideWhenUsed/>
    <w:rsid w:val="00F75E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5EA9"/>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44EA4"/>
    <w:rPr>
      <w:sz w:val="16"/>
      <w:szCs w:val="16"/>
    </w:rPr>
  </w:style>
  <w:style w:type="paragraph" w:styleId="CommentText">
    <w:name w:val="annotation text"/>
    <w:basedOn w:val="Normal"/>
    <w:link w:val="CommentTextChar"/>
    <w:uiPriority w:val="99"/>
    <w:unhideWhenUsed/>
    <w:rsid w:val="00044EA4"/>
    <w:pPr>
      <w:spacing w:line="240" w:lineRule="auto"/>
    </w:pPr>
    <w:rPr>
      <w:sz w:val="20"/>
      <w:szCs w:val="20"/>
    </w:rPr>
  </w:style>
  <w:style w:type="character" w:customStyle="1" w:styleId="CommentTextChar">
    <w:name w:val="Comment Text Char"/>
    <w:basedOn w:val="DefaultParagraphFont"/>
    <w:link w:val="CommentText"/>
    <w:uiPriority w:val="99"/>
    <w:rsid w:val="00044EA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4EA4"/>
    <w:rPr>
      <w:b/>
      <w:bCs/>
    </w:rPr>
  </w:style>
  <w:style w:type="character" w:customStyle="1" w:styleId="CommentSubjectChar">
    <w:name w:val="Comment Subject Char"/>
    <w:basedOn w:val="CommentTextChar"/>
    <w:link w:val="CommentSubject"/>
    <w:uiPriority w:val="99"/>
    <w:semiHidden/>
    <w:rsid w:val="00044EA4"/>
    <w:rPr>
      <w:rFonts w:ascii="Times New Roman" w:hAnsi="Times New Roman" w:cs="Times New Roman"/>
      <w:b/>
      <w:bCs/>
      <w:sz w:val="20"/>
      <w:szCs w:val="20"/>
    </w:rPr>
  </w:style>
  <w:style w:type="paragraph" w:styleId="PlainText">
    <w:name w:val="Plain Text"/>
    <w:basedOn w:val="Normal"/>
    <w:link w:val="PlainTextChar"/>
    <w:uiPriority w:val="99"/>
    <w:unhideWhenUsed/>
    <w:rsid w:val="00755ED7"/>
    <w:pPr>
      <w:spacing w:after="0" w:line="240" w:lineRule="auto"/>
    </w:pPr>
    <w:rPr>
      <w:rFonts w:ascii="Calibri" w:hAnsi="Calibri" w:cs="Consolas"/>
      <w:sz w:val="22"/>
      <w:szCs w:val="21"/>
    </w:rPr>
  </w:style>
  <w:style w:type="character" w:customStyle="1" w:styleId="PlainTextChar">
    <w:name w:val="Plain Text Char"/>
    <w:basedOn w:val="DefaultParagraphFont"/>
    <w:link w:val="PlainText"/>
    <w:uiPriority w:val="99"/>
    <w:rsid w:val="00755ED7"/>
    <w:rPr>
      <w:rFonts w:ascii="Calibri" w:hAnsi="Calibri" w:cs="Consolas"/>
      <w:szCs w:val="21"/>
    </w:rPr>
  </w:style>
  <w:style w:type="paragraph" w:customStyle="1" w:styleId="EndNoteBibliographyTitle">
    <w:name w:val="EndNote Bibliography Title"/>
    <w:basedOn w:val="Normal"/>
    <w:link w:val="EndNoteBibliographyTitleCar"/>
    <w:rsid w:val="007E6F7F"/>
    <w:pPr>
      <w:spacing w:after="0"/>
      <w:jc w:val="center"/>
    </w:pPr>
    <w:rPr>
      <w:noProof/>
      <w:lang w:val="en-US"/>
    </w:rPr>
  </w:style>
  <w:style w:type="character" w:customStyle="1" w:styleId="NoSpacingChar">
    <w:name w:val="No Spacing Char"/>
    <w:basedOn w:val="DefaultParagraphFont"/>
    <w:link w:val="NoSpacing"/>
    <w:uiPriority w:val="1"/>
    <w:rsid w:val="007E6F7F"/>
  </w:style>
  <w:style w:type="character" w:customStyle="1" w:styleId="EndNoteBibliographyTitleCar">
    <w:name w:val="EndNote Bibliography Title Car"/>
    <w:basedOn w:val="NoSpacingChar"/>
    <w:link w:val="EndNoteBibliographyTitle"/>
    <w:rsid w:val="007E6F7F"/>
    <w:rPr>
      <w:rFonts w:ascii="Times New Roman" w:hAnsi="Times New Roman" w:cs="Times New Roman"/>
      <w:noProof/>
      <w:sz w:val="24"/>
      <w:szCs w:val="24"/>
      <w:lang w:val="en-US"/>
    </w:rPr>
  </w:style>
  <w:style w:type="paragraph" w:customStyle="1" w:styleId="EndNoteBibliography">
    <w:name w:val="EndNote Bibliography"/>
    <w:basedOn w:val="Normal"/>
    <w:link w:val="EndNoteBibliographyCar"/>
    <w:rsid w:val="007E6F7F"/>
    <w:pPr>
      <w:spacing w:line="240" w:lineRule="auto"/>
      <w:jc w:val="both"/>
    </w:pPr>
    <w:rPr>
      <w:noProof/>
      <w:lang w:val="en-US"/>
    </w:rPr>
  </w:style>
  <w:style w:type="character" w:customStyle="1" w:styleId="EndNoteBibliographyCar">
    <w:name w:val="EndNote Bibliography Car"/>
    <w:basedOn w:val="NoSpacingChar"/>
    <w:link w:val="EndNoteBibliography"/>
    <w:rsid w:val="007E6F7F"/>
    <w:rPr>
      <w:rFonts w:ascii="Times New Roman" w:hAnsi="Times New Roman"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77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1490</Words>
  <Characters>8495</Characters>
  <Application>Microsoft Office Word</Application>
  <DocSecurity>0</DocSecurity>
  <Lines>70</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InVS</Company>
  <LinksUpToDate>false</LinksUpToDate>
  <CharactersWithSpaces>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Lucie</dc:creator>
  <cp:lastModifiedBy>User</cp:lastModifiedBy>
  <cp:revision>5</cp:revision>
  <cp:lastPrinted>2016-08-17T09:05:00Z</cp:lastPrinted>
  <dcterms:created xsi:type="dcterms:W3CDTF">2016-09-07T07:15:00Z</dcterms:created>
  <dcterms:modified xsi:type="dcterms:W3CDTF">2016-11-28T14:51:00Z</dcterms:modified>
</cp:coreProperties>
</file>