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37C" w:rsidRDefault="001E737C" w:rsidP="001E737C">
      <w:pPr>
        <w:rPr>
          <w:b/>
        </w:rPr>
      </w:pPr>
      <w:r>
        <w:rPr>
          <w:b/>
        </w:rPr>
        <w:t>Epidemiology and Infection</w:t>
      </w:r>
    </w:p>
    <w:p w:rsidR="001E737C" w:rsidRDefault="001E737C" w:rsidP="001E737C">
      <w:pPr>
        <w:rPr>
          <w:b/>
        </w:rPr>
      </w:pPr>
    </w:p>
    <w:p w:rsidR="001E737C" w:rsidRDefault="001E737C" w:rsidP="001E737C">
      <w:pPr>
        <w:rPr>
          <w:b/>
        </w:rPr>
      </w:pPr>
      <w:r w:rsidRPr="00B73A9B">
        <w:rPr>
          <w:b/>
        </w:rPr>
        <w:t>Comprehensive screening for immunodeficiency-associated vaccine-derived poliovirus: an essential OPV cessation risk management strategy</w:t>
      </w:r>
    </w:p>
    <w:p w:rsidR="001E737C" w:rsidRDefault="001E737C" w:rsidP="001E737C">
      <w:pPr>
        <w:rPr>
          <w:b/>
        </w:rPr>
      </w:pPr>
    </w:p>
    <w:p w:rsidR="001E737C" w:rsidRDefault="001E737C" w:rsidP="001E737C">
      <w:pPr>
        <w:rPr>
          <w:b/>
        </w:rPr>
      </w:pPr>
      <w:r>
        <w:rPr>
          <w:b/>
        </w:rPr>
        <w:t xml:space="preserve">R.J. </w:t>
      </w:r>
      <w:proofErr w:type="spellStart"/>
      <w:r>
        <w:rPr>
          <w:b/>
        </w:rPr>
        <w:t>Duintjer</w:t>
      </w:r>
      <w:proofErr w:type="spellEnd"/>
      <w:r>
        <w:rPr>
          <w:b/>
        </w:rPr>
        <w:t xml:space="preserve"> </w:t>
      </w:r>
      <w:proofErr w:type="spellStart"/>
      <w:r>
        <w:rPr>
          <w:b/>
        </w:rPr>
        <w:t>Tebbens</w:t>
      </w:r>
      <w:proofErr w:type="spellEnd"/>
      <w:r>
        <w:rPr>
          <w:b/>
        </w:rPr>
        <w:t xml:space="preserve"> and K.M. Thompson</w:t>
      </w:r>
    </w:p>
    <w:p w:rsidR="001E737C" w:rsidRDefault="001E737C" w:rsidP="001E737C">
      <w:pPr>
        <w:rPr>
          <w:b/>
        </w:rPr>
      </w:pPr>
    </w:p>
    <w:p w:rsidR="001E737C" w:rsidRDefault="001E737C" w:rsidP="001E737C">
      <w:pPr>
        <w:rPr>
          <w:b/>
        </w:rPr>
      </w:pPr>
      <w:r>
        <w:rPr>
          <w:b/>
        </w:rPr>
        <w:t>SUPPLEMENTARY MATERIAL</w:t>
      </w:r>
    </w:p>
    <w:p w:rsidR="005146CC" w:rsidRDefault="005146CC" w:rsidP="001E737C"/>
    <w:p w:rsidR="005146CC" w:rsidRPr="005146CC" w:rsidRDefault="005146CC" w:rsidP="001E737C">
      <w:r w:rsidRPr="005146CC">
        <w:t xml:space="preserve">This </w:t>
      </w:r>
      <w:r>
        <w:t>file provides technical details and additional results.  We refer to the main paper for abbreviations not separately defined in this file.</w:t>
      </w:r>
    </w:p>
    <w:p w:rsidR="001E737C" w:rsidRDefault="001E737C" w:rsidP="001E737C">
      <w:pPr>
        <w:rPr>
          <w:b/>
          <w:i/>
          <w:lang w:eastAsia="ko-KR"/>
        </w:rPr>
      </w:pPr>
    </w:p>
    <w:p w:rsidR="001E737C" w:rsidRPr="00992F1D" w:rsidRDefault="001E737C" w:rsidP="001E737C">
      <w:pPr>
        <w:rPr>
          <w:b/>
          <w:i/>
          <w:lang w:eastAsia="ko-KR"/>
        </w:rPr>
      </w:pPr>
      <w:r>
        <w:rPr>
          <w:b/>
          <w:i/>
          <w:lang w:eastAsia="ko-KR"/>
        </w:rPr>
        <w:t>S</w:t>
      </w:r>
      <w:r w:rsidRPr="00992F1D">
        <w:rPr>
          <w:b/>
          <w:i/>
          <w:lang w:eastAsia="ko-KR"/>
        </w:rPr>
        <w:t>1. DES model details and uncertainty analysis</w:t>
      </w:r>
    </w:p>
    <w:p w:rsidR="001E737C" w:rsidRDefault="001E737C" w:rsidP="001E737C">
      <w:pPr>
        <w:rPr>
          <w:lang w:eastAsia="ko-KR"/>
        </w:rPr>
      </w:pPr>
    </w:p>
    <w:p w:rsidR="001E737C" w:rsidRDefault="001E737C" w:rsidP="001E737C">
      <w:pPr>
        <w:rPr>
          <w:lang w:eastAsia="ko-KR"/>
        </w:rPr>
      </w:pPr>
      <w:r>
        <w:rPr>
          <w:lang w:eastAsia="ko-KR"/>
        </w:rPr>
        <w:t xml:space="preserve">The DES model of global long-term </w:t>
      </w:r>
      <w:proofErr w:type="spellStart"/>
      <w:r>
        <w:rPr>
          <w:lang w:eastAsia="ko-KR"/>
        </w:rPr>
        <w:t>iVDPV</w:t>
      </w:r>
      <w:proofErr w:type="spellEnd"/>
      <w:r>
        <w:rPr>
          <w:lang w:eastAsia="ko-KR"/>
        </w:rPr>
        <w:t xml:space="preserve"> prevalence differentiates between common variable immunodeficiency disease (CVID) and all other PIDs that may lead to reduced ability to clear OPV infections (</w:t>
      </w:r>
      <w:proofErr w:type="spellStart"/>
      <w:r>
        <w:rPr>
          <w:lang w:eastAsia="ko-KR"/>
        </w:rPr>
        <w:t>oPIDs</w:t>
      </w:r>
      <w:proofErr w:type="spellEnd"/>
      <w:r>
        <w:rPr>
          <w:lang w:eastAsia="ko-KR"/>
        </w:rPr>
        <w:t>)</w:t>
      </w:r>
      <w:r>
        <w:rPr>
          <w:lang w:eastAsia="ko-KR"/>
        </w:rPr>
        <w:fldChar w:fldCharType="begin"/>
      </w:r>
      <w:r w:rsidR="005146CC">
        <w:rPr>
          <w:lang w:eastAsia="ko-KR"/>
        </w:rPr>
        <w:instrText xml:space="preserve"> ADDIN EN.CITE &lt;EndNote&gt;&lt;Cite&gt;&lt;Author&gt;Duintjer Tebbens&lt;/Author&gt;&lt;Year&gt;2015&lt;/Year&gt;&lt;RecNum&gt;1964&lt;/RecNum&gt;&lt;DisplayText&gt;[1]&lt;/DisplayText&gt;&lt;record&gt;&lt;rec-number&gt;1964&lt;/rec-number&gt;&lt;foreign-keys&gt;&lt;key app="EN" db-id="fa2xwf9f6tzsp8exae95vzepfaftffpad5ws"&gt;1964&lt;/key&gt;&lt;/foreign-keys&gt;&lt;ref-type name="Journal Article"&gt;17&lt;/ref-type&gt;&lt;contributors&gt;&lt;authors&gt;&lt;author&gt;Duintjer Tebbens, Radboud Jacobus&lt;/author&gt;&lt;author&gt;Pallansch, Mark A.&lt;/author&gt;&lt;author&gt;Thompson, Kimberly M.&lt;/author&gt;&lt;/authors&gt;&lt;/contributors&gt;&lt;titles&gt;&lt;title&gt;Modeling the prevalence of immunodeficiency-associated long-term vaccine-derived poliovirus excretors and the potential benefits of antiviral drugs&lt;/title&gt;&lt;secondary-title&gt;BMC Infectious Diseases&lt;/secondary-title&gt;&lt;/titles&gt;&lt;periodical&gt;&lt;full-title&gt;BMC Infectious Diseases&lt;/full-title&gt;&lt;abbr-1&gt;BMC Infect Dis&lt;/abbr-1&gt;&lt;/periodical&gt;&lt;pages&gt;379&lt;/pages&gt;&lt;volume&gt;15&lt;/volume&gt;&lt;dates&gt;&lt;year&gt;2015&lt;/year&gt;&lt;/dates&gt;&lt;urls&gt;&lt;/urls&gt;&lt;electronic-resource-num&gt;10.1186/s12879-015-1115-5&lt;/electronic-resource-num&gt;&lt;/record&gt;&lt;/Cite&gt;&lt;/EndNote&gt;</w:instrText>
      </w:r>
      <w:r>
        <w:rPr>
          <w:lang w:eastAsia="ko-KR"/>
        </w:rPr>
        <w:fldChar w:fldCharType="separate"/>
      </w:r>
      <w:r w:rsidR="005146CC">
        <w:rPr>
          <w:noProof/>
          <w:lang w:eastAsia="ko-KR"/>
        </w:rPr>
        <w:t>[</w:t>
      </w:r>
      <w:hyperlink w:anchor="_ENREF_1" w:tooltip="Duintjer Tebbens, 2015 #1964" w:history="1">
        <w:r w:rsidR="005146CC">
          <w:rPr>
            <w:noProof/>
            <w:lang w:eastAsia="ko-KR"/>
          </w:rPr>
          <w:t>1</w:t>
        </w:r>
      </w:hyperlink>
      <w:r w:rsidR="005146CC">
        <w:rPr>
          <w:noProof/>
          <w:lang w:eastAsia="ko-KR"/>
        </w:rPr>
        <w:t>]</w:t>
      </w:r>
      <w:r>
        <w:rPr>
          <w:lang w:eastAsia="ko-KR"/>
        </w:rPr>
        <w:fldChar w:fldCharType="end"/>
      </w:r>
      <w:r>
        <w:rPr>
          <w:lang w:eastAsia="ko-KR"/>
        </w:rPr>
        <w:t xml:space="preserve">, which represent a wide spectrum of B-cell related conditions for which insufficient data exist for further differentiation.  The prevalence of long-term </w:t>
      </w:r>
      <w:proofErr w:type="spellStart"/>
      <w:r>
        <w:rPr>
          <w:lang w:eastAsia="ko-KR"/>
        </w:rPr>
        <w:t>iVDPV</w:t>
      </w:r>
      <w:proofErr w:type="spellEnd"/>
      <w:r>
        <w:rPr>
          <w:lang w:eastAsia="ko-KR"/>
        </w:rPr>
        <w:t xml:space="preserve"> </w:t>
      </w:r>
      <w:proofErr w:type="spellStart"/>
      <w:r>
        <w:rPr>
          <w:lang w:eastAsia="ko-KR"/>
        </w:rPr>
        <w:t>excretors</w:t>
      </w:r>
      <w:proofErr w:type="spellEnd"/>
      <w:r>
        <w:rPr>
          <w:lang w:eastAsia="ko-KR"/>
        </w:rPr>
        <w:t xml:space="preserve"> depends on the overall incidence of CVID and </w:t>
      </w:r>
      <w:proofErr w:type="spellStart"/>
      <w:r>
        <w:rPr>
          <w:lang w:eastAsia="ko-KR"/>
        </w:rPr>
        <w:t>oPIDs</w:t>
      </w:r>
      <w:proofErr w:type="spellEnd"/>
      <w:r>
        <w:rPr>
          <w:lang w:eastAsia="ko-KR"/>
        </w:rPr>
        <w:t xml:space="preserve"> per birth, the average age of PID onset, the exposure to OPV viruses, the proportion of CVID and </w:t>
      </w:r>
      <w:proofErr w:type="spellStart"/>
      <w:r>
        <w:rPr>
          <w:lang w:eastAsia="ko-KR"/>
        </w:rPr>
        <w:t>oPID</w:t>
      </w:r>
      <w:proofErr w:type="spellEnd"/>
      <w:r>
        <w:rPr>
          <w:lang w:eastAsia="ko-KR"/>
        </w:rPr>
        <w:t xml:space="preserve"> patients pre-disposed to develop a long-term infection (if infected with OPV after PID onset and surviving long enough), and the survival rates of CVID and </w:t>
      </w:r>
      <w:proofErr w:type="spellStart"/>
      <w:r>
        <w:rPr>
          <w:lang w:eastAsia="ko-KR"/>
        </w:rPr>
        <w:t>oPID</w:t>
      </w:r>
      <w:proofErr w:type="spellEnd"/>
      <w:r>
        <w:rPr>
          <w:lang w:eastAsia="ko-KR"/>
        </w:rPr>
        <w:t xml:space="preserve"> patients in different countries (which depend on </w:t>
      </w:r>
      <w:r w:rsidR="005146CC">
        <w:rPr>
          <w:lang w:eastAsia="ko-KR"/>
        </w:rPr>
        <w:t>intravenous immunoglobulin</w:t>
      </w:r>
      <w:r>
        <w:rPr>
          <w:lang w:eastAsia="ko-KR"/>
        </w:rPr>
        <w:t xml:space="preserve"> treatment rates and hygienic conditions).  Any PID patient excreting an </w:t>
      </w:r>
      <w:proofErr w:type="spellStart"/>
      <w:r>
        <w:rPr>
          <w:lang w:eastAsia="ko-KR"/>
        </w:rPr>
        <w:t>iVDPV</w:t>
      </w:r>
      <w:proofErr w:type="spellEnd"/>
      <w:r>
        <w:rPr>
          <w:lang w:eastAsia="ko-KR"/>
        </w:rPr>
        <w:t xml:space="preserve"> after cessation of OPV of the excreted serotype results in potential </w:t>
      </w:r>
      <w:proofErr w:type="spellStart"/>
      <w:r>
        <w:rPr>
          <w:lang w:eastAsia="ko-KR"/>
        </w:rPr>
        <w:t>iVDPV</w:t>
      </w:r>
      <w:proofErr w:type="spellEnd"/>
      <w:r>
        <w:rPr>
          <w:lang w:eastAsia="ko-KR"/>
        </w:rPr>
        <w:t xml:space="preserve"> introductions into the general population based on assumed contact rates with the general population (i.e., beyond presumed immune close contacts), which we determine randomly for each </w:t>
      </w:r>
      <w:proofErr w:type="spellStart"/>
      <w:r>
        <w:rPr>
          <w:lang w:eastAsia="ko-KR"/>
        </w:rPr>
        <w:t>excretor</w:t>
      </w:r>
      <w:proofErr w:type="spellEnd"/>
      <w:r>
        <w:rPr>
          <w:lang w:eastAsia="ko-KR"/>
        </w:rPr>
        <w:t>.</w:t>
      </w:r>
      <w:r>
        <w:rPr>
          <w:lang w:eastAsia="ko-KR"/>
        </w:rPr>
        <w:fldChar w:fldCharType="begin"/>
      </w:r>
      <w:r w:rsidR="005146CC">
        <w:rPr>
          <w:lang w:eastAsia="ko-KR"/>
        </w:rPr>
        <w:instrText xml:space="preserve"> ADDIN EN.CITE &lt;EndNote&gt;&lt;Cite&gt;&lt;Author&gt;Duintjer Tebbens&lt;/Author&gt;&lt;Year&gt;2015&lt;/Year&gt;&lt;RecNum&gt;1940&lt;/RecNum&gt;&lt;DisplayText&gt;[2]&lt;/DisplayText&gt;&lt;record&gt;&lt;rec-number&gt;1940&lt;/rec-number&gt;&lt;foreign-keys&gt;&lt;key app="EN" db-id="fa2xwf9f6tzsp8exae95vzepfaftffpad5ws"&gt;1940&lt;/key&gt;&lt;/foreign-keys&gt;&lt;ref-type name="Journal Article"&gt;17&lt;/ref-type&gt;&lt;contributors&gt;&lt;authors&gt;&lt;author&gt;Duintjer Tebbens, Radboud Jacobus&lt;/author&gt;&lt;author&gt;Pallansch, Mark A.&lt;/author&gt;&lt;author&gt;Cochi, Stephen L.&lt;/author&gt;&lt;author&gt;Wassilak, Steven G. F.&lt;/author&gt;&lt;author&gt;Thompson, Kimberly M.&lt;/author&gt;&lt;/authors&gt;&lt;/contributors&gt;&lt;titles&gt;&lt;title&gt;An economic analysis of poliovirus risk management policy options for 2013-2052&lt;/title&gt;&lt;secondary-title&gt;BMC Infectious Diseases&lt;/secondary-title&gt;&lt;/titles&gt;&lt;periodical&gt;&lt;full-title&gt;BMC Infectious Diseases&lt;/full-title&gt;&lt;abbr-1&gt;BMC Infect Dis&lt;/abbr-1&gt;&lt;/periodical&gt;&lt;pages&gt;389&lt;/pages&gt;&lt;volume&gt;15&lt;/volume&gt;&lt;dates&gt;&lt;year&gt;2015&lt;/year&gt;&lt;/dates&gt;&lt;urls&gt;&lt;/urls&gt;&lt;electronic-resource-num&gt;10.1186/s12879-015-1113-7&lt;/electronic-resource-num&gt;&lt;/record&gt;&lt;/Cite&gt;&lt;/EndNote&gt;</w:instrText>
      </w:r>
      <w:r>
        <w:rPr>
          <w:lang w:eastAsia="ko-KR"/>
        </w:rPr>
        <w:fldChar w:fldCharType="separate"/>
      </w:r>
      <w:r w:rsidR="005146CC">
        <w:rPr>
          <w:noProof/>
          <w:lang w:eastAsia="ko-KR"/>
        </w:rPr>
        <w:t>[</w:t>
      </w:r>
      <w:hyperlink w:anchor="_ENREF_2" w:tooltip="Duintjer Tebbens, 2015 #1940" w:history="1">
        <w:r w:rsidR="005146CC">
          <w:rPr>
            <w:noProof/>
            <w:lang w:eastAsia="ko-KR"/>
          </w:rPr>
          <w:t>2</w:t>
        </w:r>
      </w:hyperlink>
      <w:r w:rsidR="005146CC">
        <w:rPr>
          <w:noProof/>
          <w:lang w:eastAsia="ko-KR"/>
        </w:rPr>
        <w:t>]</w:t>
      </w:r>
      <w:r>
        <w:rPr>
          <w:lang w:eastAsia="ko-KR"/>
        </w:rPr>
        <w:fldChar w:fldCharType="end"/>
      </w:r>
    </w:p>
    <w:p w:rsidR="001E737C" w:rsidRDefault="001E737C" w:rsidP="001E737C">
      <w:pPr>
        <w:rPr>
          <w:lang w:eastAsia="ko-KR"/>
        </w:rPr>
      </w:pPr>
    </w:p>
    <w:p w:rsidR="001E737C" w:rsidRDefault="001E737C" w:rsidP="001E737C">
      <w:pPr>
        <w:rPr>
          <w:lang w:eastAsia="ko-KR"/>
        </w:rPr>
      </w:pPr>
      <w:r>
        <w:rPr>
          <w:lang w:eastAsia="ko-KR"/>
        </w:rPr>
        <w:t>To consider the role of major uncertainties in the DES model,</w:t>
      </w:r>
      <w:r>
        <w:rPr>
          <w:lang w:eastAsia="ko-KR"/>
        </w:rPr>
        <w:fldChar w:fldCharType="begin"/>
      </w:r>
      <w:r w:rsidR="005146CC">
        <w:rPr>
          <w:lang w:eastAsia="ko-KR"/>
        </w:rPr>
        <w:instrText xml:space="preserve"> ADDIN EN.CITE &lt;EndNote&gt;&lt;Cite&gt;&lt;Author&gt;Duintjer Tebbens&lt;/Author&gt;&lt;Year&gt;2015&lt;/Year&gt;&lt;RecNum&gt;1964&lt;/RecNum&gt;&lt;DisplayText&gt;[1]&lt;/DisplayText&gt;&lt;record&gt;&lt;rec-number&gt;1964&lt;/rec-number&gt;&lt;foreign-keys&gt;&lt;key app="EN" db-id="fa2xwf9f6tzsp8exae95vzepfaftffpad5ws"&gt;1964&lt;/key&gt;&lt;/foreign-keys&gt;&lt;ref-type name="Journal Article"&gt;17&lt;/ref-type&gt;&lt;contributors&gt;&lt;authors&gt;&lt;author&gt;Duintjer Tebbens, Radboud Jacobus&lt;/author&gt;&lt;author&gt;Pallansch, Mark A.&lt;/author&gt;&lt;author&gt;Thompson, Kimberly M.&lt;/author&gt;&lt;/authors&gt;&lt;/contributors&gt;&lt;titles&gt;&lt;title&gt;Modeling the prevalence of immunodeficiency-associated long-term vaccine-derived poliovirus excretors and the potential benefits of antiviral drugs&lt;/title&gt;&lt;secondary-title&gt;BMC Infectious Diseases&lt;/secondary-title&gt;&lt;/titles&gt;&lt;periodical&gt;&lt;full-title&gt;BMC Infectious Diseases&lt;/full-title&gt;&lt;abbr-1&gt;BMC Infect Dis&lt;/abbr-1&gt;&lt;/periodical&gt;&lt;pages&gt;379&lt;/pages&gt;&lt;volume&gt;15&lt;/volume&gt;&lt;dates&gt;&lt;year&gt;2015&lt;/year&gt;&lt;/dates&gt;&lt;urls&gt;&lt;/urls&gt;&lt;electronic-resource-num&gt;10.1186/s12879-015-1115-5&lt;/electronic-resource-num&gt;&lt;/record&gt;&lt;/Cite&gt;&lt;/EndNote&gt;</w:instrText>
      </w:r>
      <w:r>
        <w:rPr>
          <w:lang w:eastAsia="ko-KR"/>
        </w:rPr>
        <w:fldChar w:fldCharType="separate"/>
      </w:r>
      <w:r w:rsidR="005146CC">
        <w:rPr>
          <w:noProof/>
          <w:lang w:eastAsia="ko-KR"/>
        </w:rPr>
        <w:t>[</w:t>
      </w:r>
      <w:hyperlink w:anchor="_ENREF_1" w:tooltip="Duintjer Tebbens, 2015 #1964" w:history="1">
        <w:r w:rsidR="005146CC">
          <w:rPr>
            <w:noProof/>
            <w:lang w:eastAsia="ko-KR"/>
          </w:rPr>
          <w:t>1</w:t>
        </w:r>
      </w:hyperlink>
      <w:r w:rsidR="005146CC">
        <w:rPr>
          <w:noProof/>
          <w:lang w:eastAsia="ko-KR"/>
        </w:rPr>
        <w:t>]</w:t>
      </w:r>
      <w:r>
        <w:rPr>
          <w:lang w:eastAsia="ko-KR"/>
        </w:rPr>
        <w:fldChar w:fldCharType="end"/>
      </w:r>
      <w:r>
        <w:rPr>
          <w:lang w:eastAsia="ko-KR"/>
        </w:rPr>
        <w:t xml:space="preserve"> we performed 1,000 iterations of the DES model, with key uncertain model inputs randomly and independently drawn from the uncertainty distributions in Table S1.  For model inputs with values that vary by characteristic (e.g., type of PID, R</w:t>
      </w:r>
      <w:r>
        <w:rPr>
          <w:vertAlign w:val="subscript"/>
          <w:lang w:eastAsia="ko-KR"/>
        </w:rPr>
        <w:t>0</w:t>
      </w:r>
      <w:r>
        <w:rPr>
          <w:lang w:eastAsia="ko-KR"/>
        </w:rPr>
        <w:t xml:space="preserve"> value), we fully correlate these values by drawing a single random uniform number to determine realizations for each characteristic based on the inverse cumulative distribution functions.</w:t>
      </w:r>
      <w:r>
        <w:rPr>
          <w:lang w:eastAsia="ko-KR"/>
        </w:rPr>
        <w:fldChar w:fldCharType="begin"/>
      </w:r>
      <w:r w:rsidR="005146CC">
        <w:rPr>
          <w:lang w:eastAsia="ko-KR"/>
        </w:rPr>
        <w:instrText xml:space="preserve"> ADDIN EN.CITE &lt;EndNote&gt;&lt;Cite&gt;&lt;Author&gt;Duintjer Tebbens&lt;/Author&gt;&lt;Year&gt;2016&lt;/Year&gt;&lt;RecNum&gt;2061&lt;/RecNum&gt;&lt;DisplayText&gt;[3]&lt;/DisplayText&gt;&lt;record&gt;&lt;rec-number&gt;2061&lt;/rec-number&gt;&lt;foreign-keys&gt;&lt;key app="EN" db-id="fa2xwf9f6tzsp8exae95vzepfaftffpad5ws"&gt;2061&lt;/key&gt;&lt;/foreign-keys&gt;&lt;ref-type name="Journal Article"&gt;17&lt;/ref-type&gt;&lt;contributors&gt;&lt;authors&gt;&lt;author&gt;Duintjer Tebbens, Radboud Jacobus&lt;/author&gt;&lt;author&gt;Thompson, Kimberly M.&lt;/author&gt;&lt;/authors&gt;&lt;/contributors&gt;&lt;titles&gt;&lt;title&gt;Uncertainty and sensitivity analysis of cost assumptions for global long-term poliovirus risk management (in press)&lt;/title&gt;&lt;secondary-title&gt;Journal of Vaccines and Vaccination&lt;/secondary-title&gt;&lt;/titles&gt;&lt;periodical&gt;&lt;full-title&gt;Journal of Vaccines and Vaccination&lt;/full-title&gt;&lt;abbr-1&gt;J Vaccines Vaccin&lt;/abbr-1&gt;&lt;/periodical&gt;&lt;dates&gt;&lt;year&gt;2016&lt;/year&gt;&lt;/dates&gt;&lt;urls&gt;&lt;/urls&gt;&lt;/record&gt;&lt;/Cite&gt;&lt;/EndNote&gt;</w:instrText>
      </w:r>
      <w:r>
        <w:rPr>
          <w:lang w:eastAsia="ko-KR"/>
        </w:rPr>
        <w:fldChar w:fldCharType="separate"/>
      </w:r>
      <w:r w:rsidR="005146CC">
        <w:rPr>
          <w:noProof/>
          <w:lang w:eastAsia="ko-KR"/>
        </w:rPr>
        <w:t>[</w:t>
      </w:r>
      <w:hyperlink w:anchor="_ENREF_3" w:tooltip="Duintjer Tebbens, 2016 #2061" w:history="1">
        <w:r w:rsidR="005146CC">
          <w:rPr>
            <w:noProof/>
            <w:lang w:eastAsia="ko-KR"/>
          </w:rPr>
          <w:t>3</w:t>
        </w:r>
      </w:hyperlink>
      <w:r w:rsidR="005146CC">
        <w:rPr>
          <w:noProof/>
          <w:lang w:eastAsia="ko-KR"/>
        </w:rPr>
        <w:t>]</w:t>
      </w:r>
      <w:r>
        <w:rPr>
          <w:lang w:eastAsia="ko-KR"/>
        </w:rPr>
        <w:fldChar w:fldCharType="end"/>
      </w:r>
      <w:r>
        <w:rPr>
          <w:lang w:eastAsia="ko-KR"/>
        </w:rPr>
        <w:t xml:space="preserve">  For inputs with a lognormal distribution with lower limit x, median y, and 99.5</w:t>
      </w:r>
      <w:r w:rsidRPr="00ED2461">
        <w:rPr>
          <w:vertAlign w:val="superscript"/>
          <w:lang w:eastAsia="ko-KR"/>
        </w:rPr>
        <w:t>th</w:t>
      </w:r>
      <w:r>
        <w:rPr>
          <w:lang w:eastAsia="ko-KR"/>
        </w:rPr>
        <w:t xml:space="preserve"> percentile z, we compute the parameters μ and σ of the lognormal distribution as:</w:t>
      </w:r>
    </w:p>
    <w:p w:rsidR="001E737C" w:rsidRDefault="001E737C" w:rsidP="001E737C">
      <w:pPr>
        <w:rPr>
          <w:lang w:eastAsia="ko-KR"/>
        </w:rPr>
      </w:pPr>
    </w:p>
    <w:p w:rsidR="001E737C" w:rsidRDefault="001E737C" w:rsidP="001E737C">
      <w:pPr>
        <w:rPr>
          <w:lang w:eastAsia="ko-KR"/>
        </w:rPr>
      </w:pPr>
      <w:r>
        <w:rPr>
          <w:lang w:eastAsia="ko-KR"/>
        </w:rPr>
        <w:t>μ = Ln(y-x)</w:t>
      </w:r>
    </w:p>
    <w:p w:rsidR="001E737C" w:rsidRDefault="001E737C" w:rsidP="001E737C">
      <w:pPr>
        <w:rPr>
          <w:lang w:eastAsia="ko-KR"/>
        </w:rPr>
      </w:pPr>
      <w:r>
        <w:rPr>
          <w:lang w:eastAsia="ko-KR"/>
        </w:rPr>
        <w:t>σ = min</w:t>
      </w:r>
      <w:r w:rsidRPr="00ED2461">
        <w:rPr>
          <w:vertAlign w:val="subscript"/>
          <w:lang w:eastAsia="ko-KR"/>
        </w:rPr>
        <w:t>σ</w:t>
      </w:r>
      <w:r>
        <w:rPr>
          <w:lang w:eastAsia="ko-KR"/>
        </w:rPr>
        <w:t>|F</w:t>
      </w:r>
      <w:r>
        <w:rPr>
          <w:vertAlign w:val="superscript"/>
          <w:lang w:eastAsia="ko-KR"/>
        </w:rPr>
        <w:t>-1</w:t>
      </w:r>
      <w:r w:rsidRPr="00ED2461">
        <w:rPr>
          <w:vertAlign w:val="subscript"/>
          <w:lang w:eastAsia="ko-KR"/>
        </w:rPr>
        <w:t>μ</w:t>
      </w:r>
      <w:proofErr w:type="gramStart"/>
      <w:r w:rsidRPr="00ED2461">
        <w:rPr>
          <w:vertAlign w:val="subscript"/>
          <w:lang w:eastAsia="ko-KR"/>
        </w:rPr>
        <w:t>,σ</w:t>
      </w:r>
      <w:proofErr w:type="gramEnd"/>
      <w:r>
        <w:rPr>
          <w:lang w:eastAsia="ko-KR"/>
        </w:rPr>
        <w:t>(0.995) – (z-x)|</w:t>
      </w:r>
    </w:p>
    <w:p w:rsidR="001E737C" w:rsidRDefault="001E737C" w:rsidP="001E737C">
      <w:pPr>
        <w:rPr>
          <w:lang w:eastAsia="ko-KR"/>
        </w:rPr>
      </w:pPr>
    </w:p>
    <w:p w:rsidR="001E737C" w:rsidRDefault="001E737C" w:rsidP="001E737C">
      <w:pPr>
        <w:rPr>
          <w:lang w:eastAsia="ko-KR"/>
        </w:rPr>
      </w:pPr>
      <w:r>
        <w:rPr>
          <w:lang w:eastAsia="ko-KR"/>
        </w:rPr>
        <w:t>In the latter equation, F</w:t>
      </w:r>
      <w:r>
        <w:rPr>
          <w:vertAlign w:val="superscript"/>
          <w:lang w:eastAsia="ko-KR"/>
        </w:rPr>
        <w:t>-1</w:t>
      </w:r>
      <w:r w:rsidRPr="00ED2461">
        <w:rPr>
          <w:vertAlign w:val="subscript"/>
          <w:lang w:eastAsia="ko-KR"/>
        </w:rPr>
        <w:t>μ,σ</w:t>
      </w:r>
      <w:r>
        <w:rPr>
          <w:lang w:eastAsia="ko-KR"/>
        </w:rPr>
        <w:t xml:space="preserve"> represents the inverse cumulative lognormal distribution with parameters μ and σ, and we find the σ that minimizes the right hand side of the equation using the goal seek function of MS </w:t>
      </w:r>
      <w:proofErr w:type="spellStart"/>
      <w:r>
        <w:rPr>
          <w:lang w:eastAsia="ko-KR"/>
        </w:rPr>
        <w:t>Excel</w:t>
      </w:r>
      <w:r>
        <w:rPr>
          <w:vertAlign w:val="superscript"/>
          <w:lang w:eastAsia="ko-KR"/>
        </w:rPr>
        <w:t>TM</w:t>
      </w:r>
      <w:proofErr w:type="spellEnd"/>
      <w:r>
        <w:rPr>
          <w:lang w:eastAsia="ko-KR"/>
        </w:rPr>
        <w:t>.  To sample from a lognormal distribution with parameters μ and σ in the DES model that we implemented in JAVA</w:t>
      </w:r>
      <w:r>
        <w:rPr>
          <w:vertAlign w:val="superscript"/>
          <w:lang w:eastAsia="ko-KR"/>
        </w:rPr>
        <w:t>TM</w:t>
      </w:r>
      <w:r>
        <w:rPr>
          <w:lang w:eastAsia="ko-KR"/>
        </w:rPr>
        <w:t>, we first approximate the inverse cumulative normal distribution function (</w:t>
      </w:r>
      <w:proofErr w:type="spellStart"/>
      <w:r>
        <w:rPr>
          <w:lang w:eastAsia="ko-KR"/>
        </w:rPr>
        <w:t>probit</w:t>
      </w:r>
      <w:proofErr w:type="spellEnd"/>
      <w:r>
        <w:rPr>
          <w:lang w:eastAsia="ko-KR"/>
        </w:rPr>
        <w:t xml:space="preserve"> function) </w:t>
      </w:r>
      <w:r>
        <w:rPr>
          <w:lang w:eastAsia="ko-KR"/>
        </w:rPr>
        <w:sym w:font="Symbol" w:char="F066"/>
      </w:r>
      <w:proofErr w:type="spellStart"/>
      <w:r w:rsidRPr="00ED2461">
        <w:rPr>
          <w:vertAlign w:val="subscript"/>
          <w:lang w:eastAsia="ko-KR"/>
        </w:rPr>
        <w:t>μ,σ</w:t>
      </w:r>
      <w:proofErr w:type="spellEnd"/>
      <w:r>
        <w:rPr>
          <w:lang w:eastAsia="ko-KR"/>
        </w:rPr>
        <w:t xml:space="preserve"> using the explicit approximation proposed by </w:t>
      </w:r>
      <w:proofErr w:type="spellStart"/>
      <w:r>
        <w:rPr>
          <w:lang w:eastAsia="ko-KR"/>
        </w:rPr>
        <w:t>Soranzo</w:t>
      </w:r>
      <w:proofErr w:type="spellEnd"/>
      <w:r>
        <w:rPr>
          <w:lang w:eastAsia="ko-KR"/>
        </w:rPr>
        <w:t xml:space="preserve"> and </w:t>
      </w:r>
      <w:proofErr w:type="spellStart"/>
      <w:r>
        <w:rPr>
          <w:lang w:eastAsia="ko-KR"/>
        </w:rPr>
        <w:t>Epure</w:t>
      </w:r>
      <w:proofErr w:type="spellEnd"/>
      <w:r>
        <w:rPr>
          <w:lang w:eastAsia="ko-KR"/>
        </w:rPr>
        <w:t>.</w:t>
      </w:r>
      <w:r>
        <w:rPr>
          <w:lang w:eastAsia="ko-KR"/>
        </w:rPr>
        <w:fldChar w:fldCharType="begin"/>
      </w:r>
      <w:r w:rsidR="005146CC">
        <w:rPr>
          <w:lang w:eastAsia="ko-KR"/>
        </w:rPr>
        <w:instrText xml:space="preserve"> ADDIN EN.CITE &lt;EndNote&gt;&lt;Cite&gt;&lt;Author&gt;Soranzo&lt;/Author&gt;&lt;Year&gt;2014&lt;/Year&gt;&lt;RecNum&gt;2068&lt;/RecNum&gt;&lt;DisplayText&gt;[4]&lt;/DisplayText&gt;&lt;record&gt;&lt;rec-number&gt;2068&lt;/rec-number&gt;&lt;foreign-keys&gt;&lt;key app="EN" db-id="fa2xwf9f6tzsp8exae95vzepfaftffpad5ws"&gt;2068&lt;/key&gt;&lt;/foreign-keys&gt;&lt;ref-type name="Journal Article"&gt;17&lt;/ref-type&gt;&lt;contributors&gt;&lt;authors&gt;&lt;author&gt;Soranzo, Alessandro&lt;/author&gt;&lt;author&gt;Epure, Emanuala&lt;/author&gt;&lt;/authors&gt;&lt;/contributors&gt;&lt;titles&gt;&lt;title&gt;Very simply explicitly invertible approximations of normal cumulative and normal quantile function&lt;/title&gt;&lt;secondary-title&gt;Applied Mathematical Sciences&lt;/secondary-title&gt;&lt;/titles&gt;&lt;periodical&gt;&lt;full-title&gt;Applied Mathematical Sciences&lt;/full-title&gt;&lt;/periodical&gt;&lt;pages&gt;4323-4341&lt;/pages&gt;&lt;volume&gt;8&lt;/volume&gt;&lt;number&gt;87&lt;/number&gt;&lt;dates&gt;&lt;year&gt;2014&lt;/year&gt;&lt;/dates&gt;&lt;urls&gt;&lt;/urls&gt;&lt;/record&gt;&lt;/Cite&gt;&lt;/EndNote&gt;</w:instrText>
      </w:r>
      <w:r>
        <w:rPr>
          <w:lang w:eastAsia="ko-KR"/>
        </w:rPr>
        <w:fldChar w:fldCharType="separate"/>
      </w:r>
      <w:r w:rsidR="005146CC">
        <w:rPr>
          <w:noProof/>
          <w:lang w:eastAsia="ko-KR"/>
        </w:rPr>
        <w:t>[</w:t>
      </w:r>
      <w:hyperlink w:anchor="_ENREF_4" w:tooltip="Soranzo, 2014 #2068" w:history="1">
        <w:r w:rsidR="005146CC">
          <w:rPr>
            <w:noProof/>
            <w:lang w:eastAsia="ko-KR"/>
          </w:rPr>
          <w:t>4</w:t>
        </w:r>
      </w:hyperlink>
      <w:r w:rsidR="005146CC">
        <w:rPr>
          <w:noProof/>
          <w:lang w:eastAsia="ko-KR"/>
        </w:rPr>
        <w:t>]</w:t>
      </w:r>
      <w:r>
        <w:rPr>
          <w:lang w:eastAsia="ko-KR"/>
        </w:rPr>
        <w:fldChar w:fldCharType="end"/>
      </w:r>
      <w:r>
        <w:rPr>
          <w:lang w:eastAsia="ko-KR"/>
        </w:rPr>
        <w:t xml:space="preserve">  For a given random standard uniform realization </w:t>
      </w:r>
      <w:r w:rsidRPr="007150CC">
        <w:rPr>
          <w:i/>
          <w:lang w:eastAsia="ko-KR"/>
        </w:rPr>
        <w:t>u</w:t>
      </w:r>
      <w:r>
        <w:rPr>
          <w:lang w:eastAsia="ko-KR"/>
        </w:rPr>
        <w:t xml:space="preserve">, the corresponding lognormal realization </w:t>
      </w:r>
      <w:r w:rsidRPr="007150CC">
        <w:rPr>
          <w:i/>
          <w:lang w:eastAsia="ko-KR"/>
        </w:rPr>
        <w:t>l</w:t>
      </w:r>
      <w:r>
        <w:rPr>
          <w:lang w:eastAsia="ko-KR"/>
        </w:rPr>
        <w:t xml:space="preserve"> then equals:</w:t>
      </w:r>
    </w:p>
    <w:p w:rsidR="001E737C" w:rsidRDefault="001E737C" w:rsidP="001E737C">
      <w:pPr>
        <w:jc w:val="both"/>
        <w:rPr>
          <w:i/>
          <w:lang w:eastAsia="ko-KR"/>
        </w:rPr>
      </w:pPr>
    </w:p>
    <w:p w:rsidR="001E737C" w:rsidRPr="005146CC" w:rsidRDefault="001E737C" w:rsidP="001E737C">
      <w:pPr>
        <w:jc w:val="both"/>
        <w:rPr>
          <w:vertAlign w:val="superscript"/>
          <w:lang w:val="nl-NL" w:eastAsia="ko-KR"/>
        </w:rPr>
      </w:pPr>
      <w:r w:rsidRPr="005146CC">
        <w:rPr>
          <w:i/>
          <w:lang w:val="nl-NL" w:eastAsia="ko-KR"/>
        </w:rPr>
        <w:t xml:space="preserve">l </w:t>
      </w:r>
      <w:r w:rsidRPr="005146CC">
        <w:rPr>
          <w:lang w:val="nl-NL" w:eastAsia="ko-KR"/>
        </w:rPr>
        <w:t>= x + exp(</w:t>
      </w:r>
      <w:r w:rsidRPr="007150CC">
        <w:rPr>
          <w:lang w:eastAsia="ko-KR"/>
        </w:rPr>
        <w:t>μ</w:t>
      </w:r>
      <w:r w:rsidRPr="005146CC">
        <w:rPr>
          <w:lang w:val="nl-NL" w:eastAsia="ko-KR"/>
        </w:rPr>
        <w:t xml:space="preserve">+ </w:t>
      </w:r>
      <w:r w:rsidRPr="007150CC">
        <w:rPr>
          <w:lang w:eastAsia="ko-KR"/>
        </w:rPr>
        <w:t>σ</w:t>
      </w:r>
      <w:r w:rsidRPr="005146CC">
        <w:rPr>
          <w:lang w:val="nl-NL" w:eastAsia="ko-KR"/>
        </w:rPr>
        <w:t>×</w:t>
      </w:r>
      <w:r>
        <w:rPr>
          <w:lang w:eastAsia="ko-KR"/>
        </w:rPr>
        <w:sym w:font="Symbol" w:char="F066"/>
      </w:r>
      <w:r w:rsidRPr="00ED2461">
        <w:rPr>
          <w:vertAlign w:val="subscript"/>
          <w:lang w:eastAsia="ko-KR"/>
        </w:rPr>
        <w:t>μ</w:t>
      </w:r>
      <w:r w:rsidRPr="005146CC">
        <w:rPr>
          <w:vertAlign w:val="subscript"/>
          <w:lang w:val="nl-NL" w:eastAsia="ko-KR"/>
        </w:rPr>
        <w:t>,</w:t>
      </w:r>
      <w:r w:rsidRPr="00ED2461">
        <w:rPr>
          <w:vertAlign w:val="subscript"/>
          <w:lang w:eastAsia="ko-KR"/>
        </w:rPr>
        <w:t>σ</w:t>
      </w:r>
      <w:r w:rsidRPr="005146CC">
        <w:rPr>
          <w:lang w:val="nl-NL" w:eastAsia="ko-KR"/>
        </w:rPr>
        <w:t xml:space="preserve"> (u))</w:t>
      </w:r>
    </w:p>
    <w:p w:rsidR="001E737C" w:rsidRPr="005146CC" w:rsidRDefault="001E737C" w:rsidP="001E737C">
      <w:pPr>
        <w:rPr>
          <w:i/>
          <w:lang w:val="nl-NL" w:eastAsia="ko-KR"/>
        </w:rPr>
      </w:pPr>
      <w:r w:rsidRPr="005146CC">
        <w:rPr>
          <w:lang w:val="nl-NL" w:eastAsia="ko-KR"/>
        </w:rPr>
        <w:t xml:space="preserve"> </w:t>
      </w:r>
    </w:p>
    <w:p w:rsidR="001E737C" w:rsidRDefault="001E737C" w:rsidP="001E737C">
      <w:pPr>
        <w:rPr>
          <w:lang w:eastAsia="ko-KR"/>
        </w:rPr>
      </w:pPr>
      <w:r>
        <w:rPr>
          <w:lang w:eastAsia="ko-KR"/>
        </w:rPr>
        <w:t xml:space="preserve">Based on the 1,000 DES model iterations with input uncertainty, we report the distributions of the time until the last </w:t>
      </w:r>
      <w:proofErr w:type="spellStart"/>
      <w:r>
        <w:rPr>
          <w:lang w:eastAsia="ko-KR"/>
        </w:rPr>
        <w:t>iVDPV</w:t>
      </w:r>
      <w:proofErr w:type="spellEnd"/>
      <w:r>
        <w:rPr>
          <w:lang w:eastAsia="ko-KR"/>
        </w:rPr>
        <w:t xml:space="preserve"> </w:t>
      </w:r>
      <w:proofErr w:type="spellStart"/>
      <w:r>
        <w:rPr>
          <w:lang w:eastAsia="ko-KR"/>
        </w:rPr>
        <w:t>excretor</w:t>
      </w:r>
      <w:proofErr w:type="spellEnd"/>
      <w:r>
        <w:rPr>
          <w:lang w:eastAsia="ko-KR"/>
        </w:rPr>
        <w:t xml:space="preserve"> stops excreting in each income level.  We compare these distributions with the distributions of the set of 1,000 DES model iterations used for the global model base case,</w:t>
      </w:r>
      <w:r>
        <w:rPr>
          <w:lang w:eastAsia="ko-KR"/>
        </w:rPr>
        <w:fldChar w:fldCharType="begin"/>
      </w:r>
      <w:r w:rsidR="005146CC">
        <w:rPr>
          <w:lang w:eastAsia="ko-KR"/>
        </w:rPr>
        <w:instrText xml:space="preserve"> ADDIN EN.CITE &lt;EndNote&gt;&lt;Cite&gt;&lt;Author&gt;Duintjer Tebbens&lt;/Author&gt;&lt;Year&gt;2016&lt;/Year&gt;&lt;RecNum&gt;2061&lt;/RecNum&gt;&lt;DisplayText&gt;[3]&lt;/DisplayText&gt;&lt;record&gt;&lt;rec-number&gt;2061&lt;/rec-number&gt;&lt;foreign-keys&gt;&lt;key app="EN" db-id="fa2xwf9f6tzsp8exae95vzepfaftffpad5ws"&gt;2061&lt;/key&gt;&lt;/foreign-keys&gt;&lt;ref-type name="Journal Article"&gt;17&lt;/ref-type&gt;&lt;contributors&gt;&lt;authors&gt;&lt;author&gt;Duintjer Tebbens, Radboud Jacobus&lt;/author&gt;&lt;author&gt;Thompson, Kimberly M.&lt;/author&gt;&lt;/authors&gt;&lt;/contributors&gt;&lt;titles&gt;&lt;title&gt;Uncertainty and sensitivity analysis of cost assumptions for global long-term poliovirus risk management (in press)&lt;/title&gt;&lt;secondary-title&gt;Journal of Vaccines and Vaccination&lt;/secondary-title&gt;&lt;/titles&gt;&lt;periodical&gt;&lt;full-title&gt;Journal of Vaccines and Vaccination&lt;/full-title&gt;&lt;abbr-1&gt;J Vaccines Vaccin&lt;/abbr-1&gt;&lt;/periodical&gt;&lt;dates&gt;&lt;year&gt;2016&lt;/year&gt;&lt;/dates&gt;&lt;urls&gt;&lt;/urls&gt;&lt;/record&gt;&lt;/Cite&gt;&lt;/EndNote&gt;</w:instrText>
      </w:r>
      <w:r>
        <w:rPr>
          <w:lang w:eastAsia="ko-KR"/>
        </w:rPr>
        <w:fldChar w:fldCharType="separate"/>
      </w:r>
      <w:r w:rsidR="005146CC">
        <w:rPr>
          <w:noProof/>
          <w:lang w:eastAsia="ko-KR"/>
        </w:rPr>
        <w:t>[</w:t>
      </w:r>
      <w:hyperlink w:anchor="_ENREF_3" w:tooltip="Duintjer Tebbens, 2016 #2061" w:history="1">
        <w:r w:rsidR="005146CC">
          <w:rPr>
            <w:noProof/>
            <w:lang w:eastAsia="ko-KR"/>
          </w:rPr>
          <w:t>3</w:t>
        </w:r>
      </w:hyperlink>
      <w:r w:rsidR="005146CC">
        <w:rPr>
          <w:noProof/>
          <w:lang w:eastAsia="ko-KR"/>
        </w:rPr>
        <w:t>]</w:t>
      </w:r>
      <w:r>
        <w:rPr>
          <w:lang w:eastAsia="ko-KR"/>
        </w:rPr>
        <w:fldChar w:fldCharType="end"/>
      </w:r>
      <w:r>
        <w:rPr>
          <w:lang w:eastAsia="ko-KR"/>
        </w:rPr>
        <w:t xml:space="preserve"> which keep all DES model at the base case values from Table S1.  We also rank how much each uncertain DES model input contributes to the overall uncertainty in the time until the last </w:t>
      </w:r>
      <w:proofErr w:type="spellStart"/>
      <w:r>
        <w:rPr>
          <w:lang w:eastAsia="ko-KR"/>
        </w:rPr>
        <w:t>excretor</w:t>
      </w:r>
      <w:proofErr w:type="spellEnd"/>
      <w:r>
        <w:rPr>
          <w:lang w:eastAsia="ko-KR"/>
        </w:rPr>
        <w:t xml:space="preserve"> stops excreting based on the rank (Spearman) correlation.</w:t>
      </w:r>
      <w:r>
        <w:rPr>
          <w:lang w:eastAsia="ko-KR"/>
        </w:rPr>
        <w:fldChar w:fldCharType="begin"/>
      </w:r>
      <w:r w:rsidR="005146CC">
        <w:rPr>
          <w:lang w:eastAsia="ko-KR"/>
        </w:rPr>
        <w:instrText xml:space="preserve"> ADDIN EN.CITE &lt;EndNote&gt;&lt;Cite&gt;&lt;Author&gt;Duintjer Tebbens&lt;/Author&gt;&lt;Year&gt;2016&lt;/Year&gt;&lt;RecNum&gt;2061&lt;/RecNum&gt;&lt;DisplayText&gt;[3]&lt;/DisplayText&gt;&lt;record&gt;&lt;rec-number&gt;2061&lt;/rec-number&gt;&lt;foreign-keys&gt;&lt;key app="EN" db-id="fa2xwf9f6tzsp8exae95vzepfaftffpad5ws"&gt;2061&lt;/key&gt;&lt;/foreign-keys&gt;&lt;ref-type name="Journal Article"&gt;17&lt;/ref-type&gt;&lt;contributors&gt;&lt;authors&gt;&lt;author&gt;Duintjer Tebbens, Radboud Jacobus&lt;/author&gt;&lt;author&gt;Thompson, Kimberly M.&lt;/author&gt;&lt;/authors&gt;&lt;/contributors&gt;&lt;titles&gt;&lt;title&gt;Uncertainty and sensitivity analysis of cost assumptions for global long-term poliovirus risk management (in press)&lt;/title&gt;&lt;secondary-title&gt;Journal of Vaccines and Vaccination&lt;/secondary-title&gt;&lt;/titles&gt;&lt;periodical&gt;&lt;full-title&gt;Journal of Vaccines and Vaccination&lt;/full-title&gt;&lt;abbr-1&gt;J Vaccines Vaccin&lt;/abbr-1&gt;&lt;/periodical&gt;&lt;dates&gt;&lt;year&gt;2016&lt;/year&gt;&lt;/dates&gt;&lt;urls&gt;&lt;/urls&gt;&lt;/record&gt;&lt;/Cite&gt;&lt;/EndNote&gt;</w:instrText>
      </w:r>
      <w:r>
        <w:rPr>
          <w:lang w:eastAsia="ko-KR"/>
        </w:rPr>
        <w:fldChar w:fldCharType="separate"/>
      </w:r>
      <w:r w:rsidR="005146CC">
        <w:rPr>
          <w:noProof/>
          <w:lang w:eastAsia="ko-KR"/>
        </w:rPr>
        <w:t>[</w:t>
      </w:r>
      <w:hyperlink w:anchor="_ENREF_3" w:tooltip="Duintjer Tebbens, 2016 #2061" w:history="1">
        <w:r w:rsidR="005146CC">
          <w:rPr>
            <w:noProof/>
            <w:lang w:eastAsia="ko-KR"/>
          </w:rPr>
          <w:t>3</w:t>
        </w:r>
      </w:hyperlink>
      <w:r w:rsidR="005146CC">
        <w:rPr>
          <w:noProof/>
          <w:lang w:eastAsia="ko-KR"/>
        </w:rPr>
        <w:t>]</w:t>
      </w:r>
      <w:r>
        <w:rPr>
          <w:lang w:eastAsia="ko-KR"/>
        </w:rPr>
        <w:fldChar w:fldCharType="end"/>
      </w:r>
      <w:r>
        <w:rPr>
          <w:lang w:eastAsia="ko-KR"/>
        </w:rPr>
        <w:t xml:space="preserve">  Rank correlation values closer to 1 indicate a stronger increasing relationship between the model input and the time until the last </w:t>
      </w:r>
      <w:proofErr w:type="spellStart"/>
      <w:r>
        <w:rPr>
          <w:lang w:eastAsia="ko-KR"/>
        </w:rPr>
        <w:t>iVDPV</w:t>
      </w:r>
      <w:proofErr w:type="spellEnd"/>
      <w:r>
        <w:rPr>
          <w:lang w:eastAsia="ko-KR"/>
        </w:rPr>
        <w:t xml:space="preserve"> </w:t>
      </w:r>
      <w:proofErr w:type="spellStart"/>
      <w:r>
        <w:rPr>
          <w:lang w:eastAsia="ko-KR"/>
        </w:rPr>
        <w:t>excretors</w:t>
      </w:r>
      <w:proofErr w:type="spellEnd"/>
      <w:r>
        <w:rPr>
          <w:lang w:eastAsia="ko-KR"/>
        </w:rPr>
        <w:t xml:space="preserve"> stops, while values closer to -1 indicate a stronger decreasing relationship, and values near 0 indicate little influence of the model input on the time until the last </w:t>
      </w:r>
      <w:proofErr w:type="spellStart"/>
      <w:r>
        <w:rPr>
          <w:lang w:eastAsia="ko-KR"/>
        </w:rPr>
        <w:t>iVDPV</w:t>
      </w:r>
      <w:proofErr w:type="spellEnd"/>
      <w:r>
        <w:rPr>
          <w:lang w:eastAsia="ko-KR"/>
        </w:rPr>
        <w:t xml:space="preserve"> </w:t>
      </w:r>
      <w:proofErr w:type="spellStart"/>
      <w:r>
        <w:rPr>
          <w:lang w:eastAsia="ko-KR"/>
        </w:rPr>
        <w:t>excretor</w:t>
      </w:r>
      <w:proofErr w:type="spellEnd"/>
      <w:r>
        <w:rPr>
          <w:lang w:eastAsia="ko-KR"/>
        </w:rPr>
        <w:t xml:space="preserve"> stops.</w:t>
      </w:r>
      <w:r>
        <w:rPr>
          <w:lang w:eastAsia="ko-KR"/>
        </w:rPr>
        <w:fldChar w:fldCharType="begin">
          <w:fldData xml:space="preserve">PEVuZE5vdGU+PENpdGU+PEF1dGhvcj5EdWludGplciBUZWJiZW5zPC9BdXRob3I+PFllYXI+MjAx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</w:fldData>
        </w:fldChar>
      </w:r>
      <w:r w:rsidR="005146CC">
        <w:rPr>
          <w:lang w:eastAsia="ko-KR"/>
        </w:rPr>
        <w:instrText xml:space="preserve"> ADDIN EN.CITE </w:instrText>
      </w:r>
      <w:r w:rsidR="005146CC">
        <w:rPr>
          <w:lang w:eastAsia="ko-KR"/>
        </w:rPr>
        <w:fldChar w:fldCharType="begin">
          <w:fldData xml:space="preserve">PEVuZE5vdGU+PENpdGU+PEF1dGhvcj5EdWludGplciBUZWJiZW5zPC9BdXRob3I+PFllYXI+MjAx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</w:fldData>
        </w:fldChar>
      </w:r>
      <w:r w:rsidR="005146CC">
        <w:rPr>
          <w:lang w:eastAsia="ko-KR"/>
        </w:rPr>
        <w:instrText xml:space="preserve"> ADDIN EN.CITE.DATA </w:instrText>
      </w:r>
      <w:r w:rsidR="005146CC">
        <w:rPr>
          <w:lang w:eastAsia="ko-KR"/>
        </w:rPr>
      </w:r>
      <w:r w:rsidR="005146CC">
        <w:rPr>
          <w:lang w:eastAsia="ko-KR"/>
        </w:rPr>
        <w:fldChar w:fldCharType="end"/>
      </w:r>
      <w:r>
        <w:rPr>
          <w:lang w:eastAsia="ko-KR"/>
        </w:rPr>
      </w:r>
      <w:r>
        <w:rPr>
          <w:lang w:eastAsia="ko-KR"/>
        </w:rPr>
        <w:fldChar w:fldCharType="separate"/>
      </w:r>
      <w:r w:rsidR="005146CC">
        <w:rPr>
          <w:noProof/>
          <w:lang w:eastAsia="ko-KR"/>
        </w:rPr>
        <w:t>[</w:t>
      </w:r>
      <w:hyperlink w:anchor="_ENREF_3" w:tooltip="Duintjer Tebbens, 2016 #2061" w:history="1">
        <w:r w:rsidR="005146CC">
          <w:rPr>
            <w:noProof/>
            <w:lang w:eastAsia="ko-KR"/>
          </w:rPr>
          <w:t>3</w:t>
        </w:r>
      </w:hyperlink>
      <w:r w:rsidR="005146CC">
        <w:rPr>
          <w:noProof/>
          <w:lang w:eastAsia="ko-KR"/>
        </w:rPr>
        <w:t xml:space="preserve">, </w:t>
      </w:r>
      <w:hyperlink w:anchor="_ENREF_5" w:tooltip="Duintjer Tebbens, 2008 #488" w:history="1">
        <w:r w:rsidR="005146CC">
          <w:rPr>
            <w:noProof/>
            <w:lang w:eastAsia="ko-KR"/>
          </w:rPr>
          <w:t>5</w:t>
        </w:r>
      </w:hyperlink>
      <w:r w:rsidR="005146CC">
        <w:rPr>
          <w:noProof/>
          <w:lang w:eastAsia="ko-KR"/>
        </w:rPr>
        <w:t xml:space="preserve">, </w:t>
      </w:r>
      <w:hyperlink w:anchor="_ENREF_6" w:tooltip="Duintjer Tebbens, 2008 #656" w:history="1">
        <w:r w:rsidR="005146CC">
          <w:rPr>
            <w:noProof/>
            <w:lang w:eastAsia="ko-KR"/>
          </w:rPr>
          <w:t>6</w:t>
        </w:r>
      </w:hyperlink>
      <w:r w:rsidR="005146CC">
        <w:rPr>
          <w:noProof/>
          <w:lang w:eastAsia="ko-KR"/>
        </w:rPr>
        <w:t>]</w:t>
      </w:r>
      <w:r>
        <w:rPr>
          <w:lang w:eastAsia="ko-KR"/>
        </w:rPr>
        <w:fldChar w:fldCharType="end"/>
      </w:r>
      <w:r>
        <w:rPr>
          <w:lang w:eastAsia="ko-KR"/>
        </w:rPr>
        <w:t xml:space="preserve">  </w:t>
      </w:r>
    </w:p>
    <w:p w:rsidR="001E737C" w:rsidRDefault="001E737C" w:rsidP="001E737C">
      <w:pPr>
        <w:rPr>
          <w:lang w:eastAsia="ko-KR"/>
        </w:rPr>
      </w:pPr>
    </w:p>
    <w:p w:rsidR="001E737C" w:rsidRDefault="001E737C" w:rsidP="001E737C">
      <w:r>
        <w:t xml:space="preserve">Figure S1 shows the distributions of the time when the last long-term </w:t>
      </w:r>
      <w:proofErr w:type="spellStart"/>
      <w:r>
        <w:t>iVDPV</w:t>
      </w:r>
      <w:proofErr w:type="spellEnd"/>
      <w:r>
        <w:t xml:space="preserve"> </w:t>
      </w:r>
      <w:proofErr w:type="spellStart"/>
      <w:r>
        <w:t>excretor</w:t>
      </w:r>
      <w:proofErr w:type="spellEnd"/>
      <w:r>
        <w:t xml:space="preserve"> stops excreting (through spontaneous recovery from the infection or death) with or without accounting for uncertainty in the model inputs from Table S1.  Due to truncation at the end of the analytical time horizon in 2053, all </w:t>
      </w:r>
      <w:proofErr w:type="spellStart"/>
      <w:r>
        <w:t>excretors</w:t>
      </w:r>
      <w:proofErr w:type="spellEnd"/>
      <w:r>
        <w:t xml:space="preserve"> that continue through 2053 show up in the last data point, accounting for the </w:t>
      </w:r>
      <w:bookmarkStart w:id="0" w:name="_GoBack"/>
      <w:r w:rsidR="00BE0EA7">
        <w:t xml:space="preserve">apparent </w:t>
      </w:r>
      <w:bookmarkEnd w:id="0"/>
      <w:r>
        <w:t xml:space="preserve">spike in the distributions for the year 2053.  The distributions without DES model input uncertainty (Figure S1a) reflect only stochastic variability associated with the large number of random events inherent in the DES model.  Although the occurrence of random events in the DES model accounts for much uncertainty in future </w:t>
      </w:r>
      <w:proofErr w:type="spellStart"/>
      <w:r>
        <w:t>iVDPV</w:t>
      </w:r>
      <w:proofErr w:type="spellEnd"/>
      <w:r>
        <w:t xml:space="preserve"> risks, we find substantially wider distributions if we include DES model input uncertainty (Figure S1b).  With input uncertainty, the probability of very long times until the last </w:t>
      </w:r>
      <w:proofErr w:type="spellStart"/>
      <w:r>
        <w:t>iVDPV</w:t>
      </w:r>
      <w:proofErr w:type="spellEnd"/>
      <w:r>
        <w:t xml:space="preserve"> </w:t>
      </w:r>
      <w:proofErr w:type="spellStart"/>
      <w:r>
        <w:t>excretors</w:t>
      </w:r>
      <w:proofErr w:type="spellEnd"/>
      <w:r>
        <w:t xml:space="preserve"> stops excreting increases in each income level and thus also globally.  Without input uncertainty, the mean time when the last </w:t>
      </w:r>
      <w:proofErr w:type="spellStart"/>
      <w:r>
        <w:t>iVDPV</w:t>
      </w:r>
      <w:proofErr w:type="spellEnd"/>
      <w:r>
        <w:t xml:space="preserve"> </w:t>
      </w:r>
      <w:proofErr w:type="spellStart"/>
      <w:r>
        <w:t>excretor</w:t>
      </w:r>
      <w:proofErr w:type="spellEnd"/>
      <w:r>
        <w:t xml:space="preserve"> in the world s</w:t>
      </w:r>
      <w:r w:rsidR="00C326C1">
        <w:t>tops excreting equals early 2028</w:t>
      </w:r>
      <w:r>
        <w:t xml:space="preserve"> (standard deviation approximately 6.0 years), and with input uncertainty the mean time extends to mid-2032 (standard deviation approximately 9.8 years).</w:t>
      </w:r>
    </w:p>
    <w:p w:rsidR="001E737C" w:rsidRDefault="001E737C" w:rsidP="001E737C">
      <w:pPr>
        <w:rPr>
          <w:lang w:eastAsia="ko-KR"/>
        </w:rPr>
      </w:pPr>
    </w:p>
    <w:p w:rsidR="001E737C" w:rsidRPr="00992F1D" w:rsidRDefault="001E737C" w:rsidP="001E737C">
      <w:pPr>
        <w:rPr>
          <w:b/>
          <w:i/>
          <w:lang w:eastAsia="ko-KR"/>
        </w:rPr>
      </w:pPr>
      <w:r>
        <w:rPr>
          <w:b/>
          <w:i/>
          <w:lang w:eastAsia="ko-KR"/>
        </w:rPr>
        <w:t>S2</w:t>
      </w:r>
      <w:r w:rsidRPr="00992F1D">
        <w:rPr>
          <w:b/>
          <w:i/>
          <w:lang w:eastAsia="ko-KR"/>
        </w:rPr>
        <w:t xml:space="preserve">. </w:t>
      </w:r>
      <w:r>
        <w:rPr>
          <w:b/>
          <w:i/>
          <w:lang w:eastAsia="ko-KR"/>
        </w:rPr>
        <w:t>Global model details and characteristics of OPV restart iterations</w:t>
      </w:r>
    </w:p>
    <w:p w:rsidR="001E737C" w:rsidRDefault="001E737C" w:rsidP="001E737C">
      <w:pPr>
        <w:rPr>
          <w:lang w:eastAsia="ko-KR"/>
        </w:rPr>
      </w:pPr>
    </w:p>
    <w:p w:rsidR="001E737C" w:rsidRDefault="001E737C" w:rsidP="001E737C">
      <w:pPr>
        <w:rPr>
          <w:lang w:eastAsia="ko-KR"/>
        </w:rPr>
      </w:pPr>
      <w:r>
        <w:rPr>
          <w:lang w:eastAsia="ko-KR"/>
        </w:rPr>
        <w:t xml:space="preserve">The global model results based on 100 stochastic iterations suggested very small benefits of the PAVD40% scenario, but an increase in </w:t>
      </w:r>
      <w:r w:rsidR="00AA5ABB">
        <w:rPr>
          <w:lang w:eastAsia="ko-KR"/>
        </w:rPr>
        <w:t xml:space="preserve">incremental net benefits </w:t>
      </w:r>
      <w:r>
        <w:rPr>
          <w:lang w:eastAsia="ko-KR"/>
        </w:rPr>
        <w:t xml:space="preserve">for the PAVD90% scenario of approximately $0.5 billion compared to the base case </w:t>
      </w:r>
      <w:r w:rsidR="00AA5ABB">
        <w:rPr>
          <w:lang w:eastAsia="ko-KR"/>
        </w:rPr>
        <w:t xml:space="preserve">incremental net benefits </w:t>
      </w:r>
      <w:r>
        <w:rPr>
          <w:lang w:eastAsia="ko-KR"/>
        </w:rPr>
        <w:t>of $16-17 billion.</w:t>
      </w:r>
      <w:r>
        <w:rPr>
          <w:lang w:eastAsia="ko-KR"/>
        </w:rPr>
        <w:fldChar w:fldCharType="begin"/>
      </w:r>
      <w:r w:rsidR="005146CC">
        <w:rPr>
          <w:lang w:eastAsia="ko-KR"/>
        </w:rPr>
        <w:instrText xml:space="preserve"> ADDIN EN.CITE &lt;EndNote&gt;&lt;Cite&gt;&lt;Author&gt;Duintjer Tebbens&lt;/Author&gt;&lt;Year&gt;2015&lt;/Year&gt;&lt;RecNum&gt;1940&lt;/RecNum&gt;&lt;DisplayText&gt;[2]&lt;/DisplayText&gt;&lt;record&gt;&lt;rec-number&gt;1940&lt;/rec-number&gt;&lt;foreign-keys&gt;&lt;key app="EN" db-id="fa2xwf9f6tzsp8exae95vzepfaftffpad5ws"&gt;1940&lt;/key&gt;&lt;/foreign-keys&gt;&lt;ref-type name="Journal Article"&gt;17&lt;/ref-type&gt;&lt;contributors&gt;&lt;authors&gt;&lt;author&gt;Duintjer Tebbens, Radboud Jacobus&lt;/author&gt;&lt;author&gt;Pallansch, Mark A.&lt;/author&gt;&lt;author&gt;Cochi, Stephen L.&lt;/author&gt;&lt;author&gt;Wassilak, Steven G. F.&lt;/author&gt;&lt;author&gt;Thompson, Kimberly M.&lt;/author&gt;&lt;/authors&gt;&lt;/contributors&gt;&lt;titles&gt;&lt;title&gt;An economic analysis of poliovirus risk management policy options for 2013-2052&lt;/title&gt;&lt;secondary-title&gt;BMC Infectious Diseases&lt;/secondary-title&gt;&lt;/titles&gt;&lt;periodical&gt;&lt;full-title&gt;BMC Infectious Diseases&lt;/full-title&gt;&lt;abbr-1&gt;BMC Infect Dis&lt;/abbr-1&gt;&lt;/periodical&gt;&lt;pages&gt;389&lt;/pages&gt;&lt;volume&gt;15&lt;/volume&gt;&lt;dates&gt;&lt;year&gt;2015&lt;/year&gt;&lt;/dates&gt;&lt;urls&gt;&lt;/urls&gt;&lt;electronic-resource-num&gt;10.1186/s12879-015-1113-7&lt;/electronic-resource-num&gt;&lt;/record&gt;&lt;/Cite&gt;&lt;/EndNote&gt;</w:instrText>
      </w:r>
      <w:r>
        <w:rPr>
          <w:lang w:eastAsia="ko-KR"/>
        </w:rPr>
        <w:fldChar w:fldCharType="separate"/>
      </w:r>
      <w:r w:rsidR="005146CC">
        <w:rPr>
          <w:noProof/>
          <w:lang w:eastAsia="ko-KR"/>
        </w:rPr>
        <w:t>[</w:t>
      </w:r>
      <w:hyperlink w:anchor="_ENREF_2" w:tooltip="Duintjer Tebbens, 2015 #1940" w:history="1">
        <w:r w:rsidR="005146CC">
          <w:rPr>
            <w:noProof/>
            <w:lang w:eastAsia="ko-KR"/>
          </w:rPr>
          <w:t>2</w:t>
        </w:r>
      </w:hyperlink>
      <w:r w:rsidR="005146CC">
        <w:rPr>
          <w:noProof/>
          <w:lang w:eastAsia="ko-KR"/>
        </w:rPr>
        <w:t>]</w:t>
      </w:r>
      <w:r>
        <w:rPr>
          <w:lang w:eastAsia="ko-KR"/>
        </w:rPr>
        <w:fldChar w:fldCharType="end"/>
      </w:r>
      <w:r>
        <w:rPr>
          <w:lang w:eastAsia="ko-KR"/>
        </w:rPr>
        <w:t xml:space="preserve">  We subsequently performed 1,000 stochastic iterations of the global model to obtain more robust estimates of the OPV restart probability and </w:t>
      </w:r>
      <w:r w:rsidR="00AA5ABB">
        <w:rPr>
          <w:lang w:eastAsia="ko-KR"/>
        </w:rPr>
        <w:t>incremental net benefits</w:t>
      </w:r>
      <w:r>
        <w:rPr>
          <w:lang w:eastAsia="ko-KR"/>
        </w:rPr>
        <w:t xml:space="preserve"> for the current plan, which resulted in 57 iterations with an OPV restart (OPV restart fraction 0.0</w:t>
      </w:r>
      <w:r>
        <w:t>57, 95% confidence interval 0.043 to 0.071).</w:t>
      </w:r>
      <w:r>
        <w:rPr>
          <w:lang w:eastAsia="ko-KR"/>
        </w:rPr>
        <w:fldChar w:fldCharType="begin"/>
      </w:r>
      <w:r w:rsidR="005146CC">
        <w:rPr>
          <w:lang w:eastAsia="ko-KR"/>
        </w:rPr>
        <w:instrText xml:space="preserve"> ADDIN EN.CITE &lt;EndNote&gt;&lt;Cite&gt;&lt;Author&gt;Duintjer Tebbens&lt;/Author&gt;&lt;Year&gt;2016&lt;/Year&gt;&lt;RecNum&gt;2061&lt;/RecNum&gt;&lt;DisplayText&gt;[3]&lt;/DisplayText&gt;&lt;record&gt;&lt;rec-number&gt;2061&lt;/rec-number&gt;&lt;foreign-keys&gt;&lt;key app="EN" db-id="fa2xwf9f6tzsp8exae95vzepfaftffpad5ws"&gt;2061&lt;/key&gt;&lt;/foreign-keys&gt;&lt;ref-type name="Journal Article"&gt;17&lt;/ref-type&gt;&lt;contributors&gt;&lt;authors&gt;&lt;author&gt;Duintjer Tebbens, Radboud Jacobus&lt;/author&gt;&lt;author&gt;Thompson, Kimberly M.&lt;/author&gt;&lt;/authors&gt;&lt;/contributors&gt;&lt;titles&gt;&lt;title&gt;Uncertainty and sensitivity analysis of cost assumptions for global long-term poliovirus risk management (in press)&lt;/title&gt;&lt;secondary-title&gt;Journal of Vaccines and Vaccination&lt;/secondary-title&gt;&lt;/titles&gt;&lt;periodical&gt;&lt;full-title&gt;Journal of Vaccines and Vaccination&lt;/full-title&gt;&lt;abbr-1&gt;J Vaccines Vaccin&lt;/abbr-1&gt;&lt;/periodical&gt;&lt;dates&gt;&lt;year&gt;2016&lt;/year&gt;&lt;/dates&gt;&lt;urls&gt;&lt;/urls&gt;&lt;/record&gt;&lt;/Cite&gt;&lt;/EndNote&gt;</w:instrText>
      </w:r>
      <w:r>
        <w:rPr>
          <w:lang w:eastAsia="ko-KR"/>
        </w:rPr>
        <w:fldChar w:fldCharType="separate"/>
      </w:r>
      <w:r w:rsidR="005146CC">
        <w:rPr>
          <w:noProof/>
          <w:lang w:eastAsia="ko-KR"/>
        </w:rPr>
        <w:t>[</w:t>
      </w:r>
      <w:hyperlink w:anchor="_ENREF_3" w:tooltip="Duintjer Tebbens, 2016 #2061" w:history="1">
        <w:r w:rsidR="005146CC">
          <w:rPr>
            <w:noProof/>
            <w:lang w:eastAsia="ko-KR"/>
          </w:rPr>
          <w:t>3</w:t>
        </w:r>
      </w:hyperlink>
      <w:r w:rsidR="005146CC">
        <w:rPr>
          <w:noProof/>
          <w:lang w:eastAsia="ko-KR"/>
        </w:rPr>
        <w:t>]</w:t>
      </w:r>
      <w:r>
        <w:rPr>
          <w:lang w:eastAsia="ko-KR"/>
        </w:rPr>
        <w:fldChar w:fldCharType="end"/>
      </w:r>
      <w:r>
        <w:rPr>
          <w:lang w:eastAsia="ko-KR"/>
        </w:rPr>
        <w:t xml:space="preserve">  Compared with the 2 OPV restart iterations in the original set of 100 stochastic iterations, these 57 iterations provide a larger and more representative sample of conditions that may lead to an OPV restart, including those related to </w:t>
      </w:r>
      <w:proofErr w:type="spellStart"/>
      <w:r>
        <w:rPr>
          <w:lang w:eastAsia="ko-KR"/>
        </w:rPr>
        <w:t>iVDPVs</w:t>
      </w:r>
      <w:proofErr w:type="spellEnd"/>
      <w:r>
        <w:rPr>
          <w:lang w:eastAsia="ko-KR"/>
        </w:rPr>
        <w:t>.  To optimally represent the space of possible outcomes while limiting the computational demands for this study, we selected a set of 120 iterations that comprises all 57 OPV restart iterations and 63 iterations without OPV restart (we used the first 63 iterations, the choice of which did not significantly affect the results).</w:t>
      </w:r>
      <w:r>
        <w:rPr>
          <w:lang w:eastAsia="ko-KR"/>
        </w:rPr>
        <w:fldChar w:fldCharType="begin"/>
      </w:r>
      <w:r w:rsidR="005146CC">
        <w:rPr>
          <w:lang w:eastAsia="ko-KR"/>
        </w:rPr>
        <w:instrText xml:space="preserve"> ADDIN EN.CITE &lt;EndNote&gt;&lt;Cite&gt;&lt;Author&gt;Duintjer Tebbens&lt;/Author&gt;&lt;Year&gt;2016&lt;/Year&gt;&lt;RecNum&gt;2061&lt;/RecNum&gt;&lt;DisplayText&gt;[3]&lt;/DisplayText&gt;&lt;record&gt;&lt;rec-number&gt;2061&lt;/rec-number&gt;&lt;foreign-keys&gt;&lt;key app="EN" db-id="fa2xwf9f6tzsp8exae95vzepfaftffpad5ws"&gt;2061&lt;/key&gt;&lt;/foreign-keys&gt;&lt;ref-type name="Journal Article"&gt;17&lt;/ref-type&gt;&lt;contributors&gt;&lt;authors&gt;&lt;author&gt;Duintjer Tebbens, Radboud Jacobus&lt;/author&gt;&lt;author&gt;Thompson, Kimberly M.&lt;/author&gt;&lt;/authors&gt;&lt;/contributors&gt;&lt;titles&gt;&lt;title&gt;Uncertainty and sensitivity analysis of cost assumptions for global long-term poliovirus risk management (in press)&lt;/title&gt;&lt;secondary-title&gt;Journal of Vaccines and Vaccination&lt;/secondary-title&gt;&lt;/titles&gt;&lt;periodical&gt;&lt;full-title&gt;Journal of Vaccines and Vaccination&lt;/full-title&gt;&lt;abbr-1&gt;J Vaccines Vaccin&lt;/abbr-1&gt;&lt;/periodical&gt;&lt;dates&gt;&lt;year&gt;2016&lt;/year&gt;&lt;/dates&gt;&lt;urls&gt;&lt;/urls&gt;&lt;/record&gt;&lt;/Cite&gt;&lt;/EndNote&gt;</w:instrText>
      </w:r>
      <w:r>
        <w:rPr>
          <w:lang w:eastAsia="ko-KR"/>
        </w:rPr>
        <w:fldChar w:fldCharType="separate"/>
      </w:r>
      <w:r w:rsidR="005146CC">
        <w:rPr>
          <w:noProof/>
          <w:lang w:eastAsia="ko-KR"/>
        </w:rPr>
        <w:t>[</w:t>
      </w:r>
      <w:hyperlink w:anchor="_ENREF_3" w:tooltip="Duintjer Tebbens, 2016 #2061" w:history="1">
        <w:r w:rsidR="005146CC">
          <w:rPr>
            <w:noProof/>
            <w:lang w:eastAsia="ko-KR"/>
          </w:rPr>
          <w:t>3</w:t>
        </w:r>
      </w:hyperlink>
      <w:r w:rsidR="005146CC">
        <w:rPr>
          <w:noProof/>
          <w:lang w:eastAsia="ko-KR"/>
        </w:rPr>
        <w:t>]</w:t>
      </w:r>
      <w:r>
        <w:rPr>
          <w:lang w:eastAsia="ko-KR"/>
        </w:rPr>
        <w:fldChar w:fldCharType="end"/>
      </w:r>
      <w:r>
        <w:rPr>
          <w:lang w:eastAsia="ko-KR"/>
        </w:rPr>
        <w:t xml:space="preserve">  We then compute expected outcomes by giving all 57 OPV restart iterations a weight of 1/1000 (i.e., together they represent 57 out of </w:t>
      </w:r>
      <w:r>
        <w:rPr>
          <w:lang w:eastAsia="ko-KR"/>
        </w:rPr>
        <w:lastRenderedPageBreak/>
        <w:t>1,000 possible iterations) and all iterations without an OPV restart a weight of (1/63</w:t>
      </w:r>
      <w:proofErr w:type="gramStart"/>
      <w:r>
        <w:rPr>
          <w:lang w:eastAsia="ko-KR"/>
        </w:rPr>
        <w:t>)</w:t>
      </w:r>
      <w:r>
        <w:t>×</w:t>
      </w:r>
      <w:proofErr w:type="gramEnd"/>
      <w:r>
        <w:rPr>
          <w:lang w:eastAsia="ko-KR"/>
        </w:rPr>
        <w:t>943/1000 (i.e., together they represent the remaining (1000-57) out of 1,000 possible iterations).</w:t>
      </w:r>
    </w:p>
    <w:p w:rsidR="001E737C" w:rsidRDefault="001E737C" w:rsidP="001E737C">
      <w:pPr>
        <w:rPr>
          <w:lang w:eastAsia="ko-KR"/>
        </w:rPr>
      </w:pPr>
    </w:p>
    <w:p w:rsidR="001E737C" w:rsidRDefault="001E737C" w:rsidP="001E737C">
      <w:r>
        <w:t xml:space="preserve">Table S2 summarizes selected characteristic of all </w:t>
      </w:r>
      <w:r w:rsidRPr="006A3DD1">
        <w:t>57</w:t>
      </w:r>
      <w:r>
        <w:t xml:space="preserve"> </w:t>
      </w:r>
      <w:r w:rsidRPr="006A3DD1">
        <w:t>global model iterations</w:t>
      </w:r>
      <w:r>
        <w:t xml:space="preserve"> (out of 1,000 total iterations performed)</w:t>
      </w:r>
      <w:r w:rsidRPr="006A3DD1">
        <w:t xml:space="preserve"> that resulted in a</w:t>
      </w:r>
      <w:r>
        <w:t>n</w:t>
      </w:r>
      <w:r w:rsidRPr="006A3DD1">
        <w:t xml:space="preserve"> OPV restart w</w:t>
      </w:r>
      <w:r>
        <w:t xml:space="preserve">ith the baseline IPV5 policy and no PAVDs.  Although most triggering events that ultimately resulted in an OPV restart occurred during the first 10 years after OPV cessation, due to the assumed aggressive outbreak response with </w:t>
      </w:r>
      <w:proofErr w:type="spellStart"/>
      <w:r>
        <w:t>mOPV</w:t>
      </w:r>
      <w:proofErr w:type="spellEnd"/>
      <w:r>
        <w:t xml:space="preserve"> (during the first 5 years after OPV cessation of each serotype) and IPV (thereafter), it typically took many years until the cumulative number of polio cases (since 2016) exceeded 50,000 and resulted in the OPV restart.  Consistent with the ordering of R</w:t>
      </w:r>
      <w:r>
        <w:rPr>
          <w:vertAlign w:val="subscript"/>
        </w:rPr>
        <w:t>0</w:t>
      </w:r>
      <w:r>
        <w:t xml:space="preserve"> values and PIRs for WPVs and VDPVs by serotype (1&gt;2&gt;3),</w:t>
      </w:r>
      <w:r>
        <w:fldChar w:fldCharType="begin"/>
      </w:r>
      <w:r w:rsidR="005146CC">
        <w:instrText xml:space="preserve"> ADDIN EN.CITE &lt;EndNote&gt;&lt;Cite&gt;&lt;Author&gt;Duintjer Tebbens&lt;/Author&gt;&lt;Year&gt;2013&lt;/Year&gt;&lt;RecNum&gt;1762&lt;/RecNum&gt;&lt;DisplayText&gt;[7]&lt;/DisplayText&gt;&lt;record&gt;&lt;rec-number&gt;1762&lt;/rec-number&gt;&lt;foreign-keys&gt;&lt;key app="EN" db-id="fa2xwf9f6tzsp8exae95vzepfaftffpad5ws"&gt;1762&lt;/key&gt;&lt;/foreign-keys&gt;&lt;ref-type name="Journal Article"&gt;17&lt;/ref-type&gt;&lt;contributors&gt;&lt;authors&gt;&lt;author&gt;Duintjer Tebbens, Radboud Jacobus&lt;/author&gt;&lt;author&gt;Pallansch, Mark A.&lt;/author&gt;&lt;author&gt;Kalkowska, Dominika A.&lt;/author&gt;&lt;author&gt;Wassilak, Steven GF&lt;/author&gt;&lt;author&gt;Cochi, Stephen L.&lt;/author&gt;&lt;author&gt;Thompson, Kimberly M.&lt;/author&gt;&lt;/authors&gt;&lt;/contributors&gt;&lt;titles&gt;&lt;title&gt;Characterizing poliovirus transmission and evolution: Insights from modeling experiences with wild and vaccine-related polioviruses&lt;/title&gt;&lt;secondary-title&gt;Risk Analysis&lt;/secondary-title&gt;&lt;/titles&gt;&lt;periodical&gt;&lt;full-title&gt;Risk Analysis&lt;/full-title&gt;&lt;abbr-1&gt;Risk Anal&lt;/abbr-1&gt;&lt;/periodical&gt;&lt;pages&gt;703-749&lt;/pages&gt;&lt;volume&gt;23&lt;/volume&gt;&lt;number&gt;4&lt;/number&gt;&lt;dates&gt;&lt;year&gt;2013&lt;/year&gt;&lt;/dates&gt;&lt;urls&gt;&lt;/urls&gt;&lt;/record&gt;&lt;/Cite&gt;&lt;/EndNote&gt;</w:instrText>
      </w:r>
      <w:r>
        <w:fldChar w:fldCharType="separate"/>
      </w:r>
      <w:r w:rsidR="005146CC">
        <w:rPr>
          <w:noProof/>
        </w:rPr>
        <w:t>[</w:t>
      </w:r>
      <w:hyperlink w:anchor="_ENREF_7" w:tooltip="Duintjer Tebbens, 2013 #1762" w:history="1">
        <w:r w:rsidR="005146CC">
          <w:rPr>
            <w:noProof/>
          </w:rPr>
          <w:t>7</w:t>
        </w:r>
      </w:hyperlink>
      <w:r w:rsidR="005146CC">
        <w:rPr>
          <w:noProof/>
        </w:rPr>
        <w:t>]</w:t>
      </w:r>
      <w:r>
        <w:fldChar w:fldCharType="end"/>
      </w:r>
      <w:r>
        <w:t xml:space="preserve"> 67%, 24%, and 9% of OPV restarts related to uncontrolled outbreaks of serotype 1, 2, and 3, respectively.  In part due to the assumption of sufficient OPV intensification before OPV cessation of each serotype to prevent all </w:t>
      </w:r>
      <w:proofErr w:type="spellStart"/>
      <w:r>
        <w:t>cVDPV</w:t>
      </w:r>
      <w:proofErr w:type="spellEnd"/>
      <w:r>
        <w:t xml:space="preserve"> outbreaks,</w:t>
      </w:r>
      <w:r>
        <w:fldChar w:fldCharType="begin"/>
      </w:r>
      <w:r w:rsidR="005146CC">
        <w:instrText xml:space="preserve"> ADDIN EN.CITE &lt;EndNote&gt;&lt;Cite&gt;&lt;Author&gt;Duintjer Tebbens&lt;/Author&gt;&lt;Year&gt;2015&lt;/Year&gt;&lt;RecNum&gt;1940&lt;/RecNum&gt;&lt;DisplayText&gt;[2, 8]&lt;/DisplayText&gt;&lt;record&gt;&lt;rec-number&gt;1940&lt;/rec-number&gt;&lt;foreign-keys&gt;&lt;key app="EN" db-id="fa2xwf9f6tzsp8exae95vzepfaftffpad5ws"&gt;1940&lt;/key&gt;&lt;/foreign-keys&gt;&lt;ref-type name="Journal Article"&gt;17&lt;/ref-type&gt;&lt;contributors&gt;&lt;authors&gt;&lt;author&gt;Duintjer Tebbens, Radboud Jacobus&lt;/author&gt;&lt;author&gt;Pallansch, Mark A.&lt;/author&gt;&lt;author&gt;Cochi, Stephen L.&lt;/author&gt;&lt;author&gt;Wassilak, Steven G. F.&lt;/author&gt;&lt;author&gt;Thompson, Kimberly M.&lt;/author&gt;&lt;/authors&gt;&lt;/contributors&gt;&lt;titles&gt;&lt;title&gt;An economic analysis of poliovirus risk management policy options for 2013-2052&lt;/title&gt;&lt;secondary-title&gt;BMC Infectious Diseases&lt;/secondary-title&gt;&lt;/titles&gt;&lt;periodical&gt;&lt;full-title&gt;BMC Infectious Diseases&lt;/full-title&gt;&lt;abbr-1&gt;BMC Infect Dis&lt;/abbr-1&gt;&lt;/periodical&gt;&lt;pages&gt;389&lt;/pages&gt;&lt;volume&gt;15&lt;/volume&gt;&lt;dates&gt;&lt;year&gt;2015&lt;/year&gt;&lt;/dates&gt;&lt;urls&gt;&lt;/urls&gt;&lt;electronic-resource-num&gt;10.1186/s12879-015-1113-7&lt;/electronic-resource-num&gt;&lt;/record&gt;&lt;/Cite&gt;&lt;Cite&gt;&lt;Author&gt;Duintjer Tebbens&lt;/Author&gt;&lt;Year&gt;2015&lt;/Year&gt;&lt;RecNum&gt;1967&lt;/RecNum&gt;&lt;record&gt;&lt;rec-number&gt;1967&lt;/rec-number&gt;&lt;foreign-keys&gt;&lt;key app="EN" db-id="fa2xwf9f6tzsp8exae95vzepfaftffpad5ws"&gt;1967&lt;/key&gt;&lt;/foreign-keys&gt;&lt;ref-type name="Journal Article"&gt;17&lt;/ref-type&gt;&lt;contributors&gt;&lt;authors&gt;&lt;author&gt;Duintjer Tebbens, Radboud Jacobus&lt;/author&gt;&lt;author&gt;Thompson, Kimberly M.&lt;/author&gt;&lt;/authors&gt;&lt;/contributors&gt;&lt;titles&gt;&lt;title&gt;Managing the risk of circulating vaccine-derived poliovirus during the endgame: Oral poliovirus vaccine needs&lt;/title&gt;&lt;secondary-title&gt;BMC Infectious Diseases&lt;/secondary-title&gt;&lt;/titles&gt;&lt;periodical&gt;&lt;full-title&gt;BMC Infectious Diseases&lt;/full-title&gt;&lt;abbr-1&gt;BMC Infect Dis&lt;/abbr-1&gt;&lt;/periodical&gt;&lt;pages&gt;390&lt;/pages&gt;&lt;volume&gt;15&lt;/volume&gt;&lt;dates&gt;&lt;year&gt;2015&lt;/year&gt;&lt;/dates&gt;&lt;urls&gt;&lt;/urls&gt;&lt;electronic-resource-num&gt;10.1186/s12879-015-1114-6&lt;/electronic-resource-num&gt;&lt;/record&gt;&lt;/Cite&gt;&lt;/EndNote&gt;</w:instrText>
      </w:r>
      <w:r>
        <w:fldChar w:fldCharType="separate"/>
      </w:r>
      <w:r w:rsidR="005146CC">
        <w:rPr>
          <w:noProof/>
        </w:rPr>
        <w:t>[</w:t>
      </w:r>
      <w:hyperlink w:anchor="_ENREF_2" w:tooltip="Duintjer Tebbens, 2015 #1940" w:history="1">
        <w:r w:rsidR="005146CC">
          <w:rPr>
            <w:noProof/>
          </w:rPr>
          <w:t>2</w:t>
        </w:r>
      </w:hyperlink>
      <w:r w:rsidR="005146CC">
        <w:rPr>
          <w:noProof/>
        </w:rPr>
        <w:t xml:space="preserve">, </w:t>
      </w:r>
      <w:hyperlink w:anchor="_ENREF_8" w:tooltip="Duintjer Tebbens, 2015 #1967" w:history="1">
        <w:r w:rsidR="005146CC">
          <w:rPr>
            <w:noProof/>
          </w:rPr>
          <w:t>8</w:t>
        </w:r>
      </w:hyperlink>
      <w:r w:rsidR="005146CC">
        <w:rPr>
          <w:noProof/>
        </w:rPr>
        <w:t>]</w:t>
      </w:r>
      <w:r>
        <w:fldChar w:fldCharType="end"/>
      </w:r>
      <w:r>
        <w:t xml:space="preserve"> OPV restarts overwhelmingly related to poliovirus reintroductions from long-term </w:t>
      </w:r>
      <w:proofErr w:type="spellStart"/>
      <w:r>
        <w:t>iVDPV</w:t>
      </w:r>
      <w:proofErr w:type="spellEnd"/>
      <w:r>
        <w:t xml:space="preserve"> </w:t>
      </w:r>
      <w:proofErr w:type="spellStart"/>
      <w:r>
        <w:t>excretors</w:t>
      </w:r>
      <w:proofErr w:type="spellEnd"/>
      <w:r>
        <w:t xml:space="preserve"> (91% of OPV restarts), including 7 OPV restarts (12%) involving a reintroduction from a long-term </w:t>
      </w:r>
      <w:proofErr w:type="spellStart"/>
      <w:r>
        <w:t>iVDPV</w:t>
      </w:r>
      <w:proofErr w:type="spellEnd"/>
      <w:r>
        <w:t xml:space="preserve"> </w:t>
      </w:r>
      <w:proofErr w:type="spellStart"/>
      <w:r>
        <w:t>excretor</w:t>
      </w:r>
      <w:proofErr w:type="spellEnd"/>
      <w:r>
        <w:t xml:space="preserve"> infected during an </w:t>
      </w:r>
      <w:proofErr w:type="spellStart"/>
      <w:r>
        <w:t>mOPV</w:t>
      </w:r>
      <w:proofErr w:type="spellEnd"/>
      <w:r>
        <w:t xml:space="preserve"> outbreak response SIA after OPV cessation.  Long-range exportations of outbreak virus or viruses related to </w:t>
      </w:r>
      <w:proofErr w:type="spellStart"/>
      <w:r>
        <w:t>mOPV</w:t>
      </w:r>
      <w:proofErr w:type="spellEnd"/>
      <w:r>
        <w:t xml:space="preserve"> used for outbreak response played an essential role in perpetuating outbreaks in only 5 OPV restarts (9%), because typically the triggering event already led to uncontrolled </w:t>
      </w:r>
      <w:r w:rsidRPr="00272301">
        <w:t>outbreaks in the block experiencing</w:t>
      </w:r>
      <w:r>
        <w:t xml:space="preserve"> the event.  We observed two distinct but common types of scenarios that together accounted for 90% of all OPV restarts.  The first type accounted for 26 OPV restarts (46%) and involved prolonged and chronic </w:t>
      </w:r>
      <w:proofErr w:type="spellStart"/>
      <w:r>
        <w:t>iVDPV</w:t>
      </w:r>
      <w:proofErr w:type="spellEnd"/>
      <w:r>
        <w:t xml:space="preserve"> </w:t>
      </w:r>
      <w:proofErr w:type="spellStart"/>
      <w:r>
        <w:t>excretors</w:t>
      </w:r>
      <w:proofErr w:type="spellEnd"/>
      <w:r>
        <w:t xml:space="preserve"> that introduced the virus at least two years after homotypic OPV cessation into populations with an R</w:t>
      </w:r>
      <w:r>
        <w:rPr>
          <w:vertAlign w:val="subscript"/>
        </w:rPr>
        <w:t>0</w:t>
      </w:r>
      <w:r>
        <w:t xml:space="preserve"> between 6-9 for WPV1 (which serves as our measure of inherent poliovirus transmissibility of all poliovirus serotypes and reversion sta</w:t>
      </w:r>
      <w:r w:rsidR="00C326C1">
        <w:t>ges, since they directly relate</w:t>
      </w:r>
      <w:r>
        <w:t xml:space="preserve"> to the R</w:t>
      </w:r>
      <w:r>
        <w:rPr>
          <w:vertAlign w:val="subscript"/>
        </w:rPr>
        <w:t>0</w:t>
      </w:r>
      <w:r>
        <w:t xml:space="preserve"> for WPV1 </w:t>
      </w:r>
      <w:r>
        <w:fldChar w:fldCharType="begin"/>
      </w:r>
      <w:r w:rsidR="005146CC">
        <w:instrText xml:space="preserve"> ADDIN EN.CITE &lt;EndNote&gt;&lt;Cite&gt;&lt;Author&gt;Duintjer Tebbens&lt;/Author&gt;&lt;Year&gt;2013&lt;/Year&gt;&lt;RecNum&gt;1762&lt;/RecNum&gt;&lt;DisplayText&gt;[7]&lt;/DisplayText&gt;&lt;record&gt;&lt;rec-number&gt;1762&lt;/rec-number&gt;&lt;foreign-keys&gt;&lt;key app="EN" db-id="fa2xwf9f6tzsp8exae95vzepfaftffpad5ws"&gt;1762&lt;/key&gt;&lt;/foreign-keys&gt;&lt;ref-type name="Journal Article"&gt;17&lt;/ref-type&gt;&lt;contributors&gt;&lt;authors&gt;&lt;author&gt;Duintjer Tebbens, Radboud Jacobus&lt;/author&gt;&lt;author&gt;Pallansch, Mark A.&lt;/author&gt;&lt;author&gt;Kalkowska, Dominika A.&lt;/author&gt;&lt;author&gt;Wassilak, Steven GF&lt;/author&gt;&lt;author&gt;Cochi, Stephen L.&lt;/author&gt;&lt;author&gt;Thompson, Kimberly M.&lt;/author&gt;&lt;/authors&gt;&lt;/contributors&gt;&lt;titles&gt;&lt;title&gt;Characterizing poliovirus transmission and evolution: Insights from modeling experiences with wild and vaccine-related polioviruses&lt;/title&gt;&lt;secondary-title&gt;Risk Analysis&lt;/secondary-title&gt;&lt;/titles&gt;&lt;periodical&gt;&lt;full-title&gt;Risk Analysis&lt;/full-title&gt;&lt;abbr-1&gt;Risk Anal&lt;/abbr-1&gt;&lt;/periodical&gt;&lt;pages&gt;703-749&lt;/pages&gt;&lt;volume&gt;23&lt;/volume&gt;&lt;number&gt;4&lt;/number&gt;&lt;dates&gt;&lt;year&gt;2013&lt;/year&gt;&lt;/dates&gt;&lt;urls&gt;&lt;/urls&gt;&lt;/record&gt;&lt;/Cite&gt;&lt;/EndNote&gt;</w:instrText>
      </w:r>
      <w:r>
        <w:fldChar w:fldCharType="separate"/>
      </w:r>
      <w:r w:rsidR="005146CC">
        <w:rPr>
          <w:noProof/>
        </w:rPr>
        <w:t>[</w:t>
      </w:r>
      <w:hyperlink w:anchor="_ENREF_7" w:tooltip="Duintjer Tebbens, 2013 #1762" w:history="1">
        <w:r w:rsidR="005146CC">
          <w:rPr>
            <w:noProof/>
          </w:rPr>
          <w:t>7</w:t>
        </w:r>
      </w:hyperlink>
      <w:r w:rsidR="005146CC">
        <w:rPr>
          <w:noProof/>
        </w:rPr>
        <w:t>]</w:t>
      </w:r>
      <w:r>
        <w:fldChar w:fldCharType="end"/>
      </w:r>
      <w:r>
        <w:t xml:space="preserve">), including 16 (28%) between 5-12 years after homotypic OPV cessation.  In this type of OPV restart, the late occurrence of the event after OPV cessation and associated decrease in population immunity to transmission led to a failure to control the outbreaks within the 5-year window of relatively safe </w:t>
      </w:r>
      <w:proofErr w:type="spellStart"/>
      <w:r>
        <w:t>mOPV</w:t>
      </w:r>
      <w:proofErr w:type="spellEnd"/>
      <w:r>
        <w:t xml:space="preserve"> use for outbreak response.  The second type accounted for 25 OPV restarts (44%) and involved prolonged </w:t>
      </w:r>
      <w:proofErr w:type="spellStart"/>
      <w:r>
        <w:t>iVDPV</w:t>
      </w:r>
      <w:proofErr w:type="spellEnd"/>
      <w:r>
        <w:t xml:space="preserve"> </w:t>
      </w:r>
      <w:proofErr w:type="spellStart"/>
      <w:r>
        <w:t>excretors</w:t>
      </w:r>
      <w:proofErr w:type="spellEnd"/>
      <w:r>
        <w:t xml:space="preserve"> that introduced the virus within the first five years after homotypic OPV cessation in populations with an R</w:t>
      </w:r>
      <w:r>
        <w:rPr>
          <w:vertAlign w:val="subscript"/>
        </w:rPr>
        <w:t>0</w:t>
      </w:r>
      <w:r>
        <w:t xml:space="preserve"> for WPV1 between 10-13, such that even aggressive outbreak response could not re-interrupt transmission.  This type included 20 (35%) </w:t>
      </w:r>
      <w:proofErr w:type="spellStart"/>
      <w:r>
        <w:t>iVDPV</w:t>
      </w:r>
      <w:proofErr w:type="spellEnd"/>
      <w:r>
        <w:t xml:space="preserve"> introductions within the first two years in populations with an R</w:t>
      </w:r>
      <w:r>
        <w:rPr>
          <w:vertAlign w:val="subscript"/>
        </w:rPr>
        <w:t>0</w:t>
      </w:r>
      <w:r>
        <w:t xml:space="preserve"> for WPV1 of 13.  As shown in Table S2, high RI coverage with IPV-only in the populations of the triggering event did not prevent OPV restarts because of the ability of fecal-oral transmission to continue despite immunity induced by IPV alone.</w:t>
      </w:r>
    </w:p>
    <w:p w:rsidR="001E737C" w:rsidRDefault="001E737C" w:rsidP="001E737C">
      <w:pPr>
        <w:spacing w:after="200" w:line="276" w:lineRule="auto"/>
      </w:pPr>
      <w:r>
        <w:br w:type="page"/>
      </w:r>
    </w:p>
    <w:p w:rsidR="001E737C" w:rsidRDefault="001E737C" w:rsidP="001E737C">
      <w:pPr>
        <w:rPr>
          <w:b/>
        </w:rPr>
      </w:pPr>
      <w:r w:rsidRPr="00A84E5A">
        <w:rPr>
          <w:b/>
        </w:rPr>
        <w:lastRenderedPageBreak/>
        <w:t xml:space="preserve">Table </w:t>
      </w:r>
      <w:r>
        <w:rPr>
          <w:b/>
        </w:rPr>
        <w:t>S1</w:t>
      </w:r>
      <w:r w:rsidRPr="00A84E5A">
        <w:rPr>
          <w:b/>
        </w:rPr>
        <w:t xml:space="preserve">: </w:t>
      </w:r>
      <w:r>
        <w:rPr>
          <w:b/>
        </w:rPr>
        <w:t>Assumed uncertainty distributions of key inputs in the DES model</w:t>
      </w:r>
      <w:r>
        <w:rPr>
          <w:b/>
        </w:rPr>
        <w:fldChar w:fldCharType="begin"/>
      </w:r>
      <w:r w:rsidR="005146CC">
        <w:rPr>
          <w:b/>
        </w:rPr>
        <w:instrText xml:space="preserve"> ADDIN EN.CITE &lt;EndNote&gt;&lt;Cite&gt;&lt;Author&gt;Duintjer Tebbens&lt;/Author&gt;&lt;Year&gt;2015&lt;/Year&gt;&lt;RecNum&gt;1964&lt;/RecNum&gt;&lt;DisplayText&gt;[1]&lt;/DisplayText&gt;&lt;record&gt;&lt;rec-number&gt;1964&lt;/rec-number&gt;&lt;foreign-keys&gt;&lt;key app="EN" db-id="fa2xwf9f6tzsp8exae95vzepfaftffpad5ws"&gt;1964&lt;/key&gt;&lt;/foreign-keys&gt;&lt;ref-type name="Journal Article"&gt;17&lt;/ref-type&gt;&lt;contributors&gt;&lt;authors&gt;&lt;author&gt;Duintjer Tebbens, Radboud Jacobus&lt;/author&gt;&lt;author&gt;Pallansch, Mark A.&lt;/author&gt;&lt;author&gt;Thompson, Kimberly M.&lt;/author&gt;&lt;/authors&gt;&lt;/contributors&gt;&lt;titles&gt;&lt;title&gt;Modeling the prevalence of immunodeficiency-associated long-term vaccine-derived poliovirus excretors and the potential benefits of antiviral drugs&lt;/title&gt;&lt;secondary-title&gt;BMC Infectious Diseases&lt;/secondary-title&gt;&lt;/titles&gt;&lt;periodical&gt;&lt;full-title&gt;BMC Infectious Diseases&lt;/full-title&gt;&lt;abbr-1&gt;BMC Infect Dis&lt;/abbr-1&gt;&lt;/periodical&gt;&lt;pages&gt;379&lt;/pages&gt;&lt;volume&gt;15&lt;/volume&gt;&lt;dates&gt;&lt;year&gt;2015&lt;/year&gt;&lt;/dates&gt;&lt;urls&gt;&lt;/urls&gt;&lt;electronic-resource-num&gt;10.1186/s12879-015-1115-5&lt;/electronic-resource-num&gt;&lt;/record&gt;&lt;/Cite&gt;&lt;/EndNote&gt;</w:instrText>
      </w:r>
      <w:r>
        <w:rPr>
          <w:b/>
        </w:rPr>
        <w:fldChar w:fldCharType="separate"/>
      </w:r>
      <w:r w:rsidR="005146CC">
        <w:rPr>
          <w:b/>
          <w:noProof/>
        </w:rPr>
        <w:t>[</w:t>
      </w:r>
      <w:hyperlink w:anchor="_ENREF_1" w:tooltip="Duintjer Tebbens, 2015 #1964" w:history="1">
        <w:r w:rsidR="005146CC">
          <w:rPr>
            <w:b/>
            <w:noProof/>
          </w:rPr>
          <w:t>1</w:t>
        </w:r>
      </w:hyperlink>
      <w:r w:rsidR="005146CC">
        <w:rPr>
          <w:b/>
          <w:noProof/>
        </w:rPr>
        <w:t>]</w:t>
      </w:r>
      <w:r>
        <w:rPr>
          <w:b/>
        </w:rPr>
        <w:fldChar w:fldCharType="end"/>
      </w:r>
    </w:p>
    <w:tbl>
      <w:tblPr>
        <w:tblStyle w:val="TableGrid"/>
        <w:tblW w:w="9133" w:type="dxa"/>
        <w:tblLayout w:type="fixed"/>
        <w:tblCellMar>
          <w:left w:w="43" w:type="dxa"/>
          <w:right w:w="43" w:type="dxa"/>
        </w:tblCellMar>
        <w:tblLook w:val="04A0" w:firstRow="1" w:lastRow="0" w:firstColumn="1" w:lastColumn="0" w:noHBand="0" w:noVBand="1"/>
      </w:tblPr>
      <w:tblGrid>
        <w:gridCol w:w="4543"/>
        <w:gridCol w:w="990"/>
        <w:gridCol w:w="3600"/>
      </w:tblGrid>
      <w:tr w:rsidR="001E737C" w:rsidTr="006E4F12">
        <w:tc>
          <w:tcPr>
            <w:tcW w:w="4543" w:type="dxa"/>
          </w:tcPr>
          <w:p w:rsidR="001E737C" w:rsidRPr="005E3844" w:rsidRDefault="001E737C" w:rsidP="006E4F12">
            <w:pPr>
              <w:rPr>
                <w:b/>
              </w:rPr>
            </w:pPr>
            <w:r w:rsidRPr="005E3844">
              <w:rPr>
                <w:b/>
              </w:rPr>
              <w:t>DES model input</w:t>
            </w:r>
          </w:p>
        </w:tc>
        <w:tc>
          <w:tcPr>
            <w:tcW w:w="990" w:type="dxa"/>
          </w:tcPr>
          <w:p w:rsidR="001E737C" w:rsidRPr="005E3844" w:rsidRDefault="001E737C" w:rsidP="006E4F12">
            <w:pPr>
              <w:rPr>
                <w:b/>
              </w:rPr>
            </w:pPr>
            <w:r w:rsidRPr="005E3844">
              <w:rPr>
                <w:b/>
              </w:rPr>
              <w:t>Base case estimate</w:t>
            </w:r>
          </w:p>
        </w:tc>
        <w:tc>
          <w:tcPr>
            <w:tcW w:w="3600" w:type="dxa"/>
          </w:tcPr>
          <w:p w:rsidR="001E737C" w:rsidRPr="005E3844" w:rsidRDefault="001E737C" w:rsidP="006E4F12">
            <w:pPr>
              <w:rPr>
                <w:b/>
                <w:vertAlign w:val="superscript"/>
              </w:rPr>
            </w:pPr>
            <w:r w:rsidRPr="005E3844">
              <w:rPr>
                <w:b/>
              </w:rPr>
              <w:t xml:space="preserve">Assumed uncertainty </w:t>
            </w:r>
            <w:proofErr w:type="spellStart"/>
            <w:r w:rsidRPr="005E3844">
              <w:rPr>
                <w:b/>
              </w:rPr>
              <w:t>distribution</w:t>
            </w:r>
            <w:r>
              <w:rPr>
                <w:b/>
                <w:vertAlign w:val="superscript"/>
              </w:rPr>
              <w:t>a</w:t>
            </w:r>
            <w:proofErr w:type="spellEnd"/>
          </w:p>
        </w:tc>
      </w:tr>
      <w:tr w:rsidR="001E737C" w:rsidTr="006E4F12">
        <w:tc>
          <w:tcPr>
            <w:tcW w:w="4543" w:type="dxa"/>
          </w:tcPr>
          <w:p w:rsidR="001E737C" w:rsidRDefault="001E737C" w:rsidP="006E4F12">
            <w:r>
              <w:t>PID predisposition probability per birth</w:t>
            </w:r>
          </w:p>
          <w:p w:rsidR="001E737C" w:rsidRPr="00483D5E" w:rsidRDefault="001E737C" w:rsidP="001E737C">
            <w:pPr>
              <w:pStyle w:val="ListParagraph"/>
              <w:numPr>
                <w:ilvl w:val="0"/>
                <w:numId w:val="1"/>
              </w:numPr>
              <w:spacing w:after="0" w:line="240" w:lineRule="auto"/>
              <w:ind w:left="288" w:hanging="144"/>
            </w:pPr>
            <w:r>
              <w:t>CVID</w:t>
            </w:r>
          </w:p>
          <w:p w:rsidR="001E737C" w:rsidRDefault="001E737C" w:rsidP="001E737C">
            <w:pPr>
              <w:pStyle w:val="ListParagraph"/>
              <w:numPr>
                <w:ilvl w:val="0"/>
                <w:numId w:val="1"/>
              </w:numPr>
              <w:spacing w:after="0" w:line="240" w:lineRule="auto"/>
              <w:ind w:left="288" w:hanging="144"/>
            </w:pPr>
            <w:proofErr w:type="spellStart"/>
            <w:r>
              <w:t>oPID</w:t>
            </w:r>
            <w:proofErr w:type="spellEnd"/>
          </w:p>
        </w:tc>
        <w:tc>
          <w:tcPr>
            <w:tcW w:w="990" w:type="dxa"/>
          </w:tcPr>
          <w:p w:rsidR="001E737C" w:rsidRDefault="001E737C" w:rsidP="006E4F12"/>
          <w:p w:rsidR="001E737C" w:rsidRDefault="001E737C" w:rsidP="006E4F12">
            <w:r>
              <w:t>1/32,000</w:t>
            </w:r>
          </w:p>
          <w:p w:rsidR="001E737C" w:rsidRDefault="001E737C" w:rsidP="006E4F12">
            <w:r>
              <w:t>1/8,500</w:t>
            </w:r>
          </w:p>
        </w:tc>
        <w:tc>
          <w:tcPr>
            <w:tcW w:w="3600" w:type="dxa"/>
          </w:tcPr>
          <w:p w:rsidR="001E737C" w:rsidRDefault="001E737C" w:rsidP="006E4F12"/>
          <w:p w:rsidR="001E737C" w:rsidRDefault="001E737C" w:rsidP="006E4F12">
            <w:proofErr w:type="spellStart"/>
            <w:r>
              <w:t>Trian</w:t>
            </w:r>
            <w:proofErr w:type="spellEnd"/>
            <w:r>
              <w:t>(1/100,000;1/32,000;1/10,000)</w:t>
            </w:r>
          </w:p>
          <w:p w:rsidR="001E737C" w:rsidRDefault="001E737C" w:rsidP="006E4F12">
            <w:proofErr w:type="spellStart"/>
            <w:r>
              <w:t>Trian</w:t>
            </w:r>
            <w:proofErr w:type="spellEnd"/>
            <w:r>
              <w:t>(1/20,000;1/8,500;1/2,000)</w:t>
            </w:r>
          </w:p>
        </w:tc>
      </w:tr>
      <w:tr w:rsidR="001E737C" w:rsidTr="006E4F12">
        <w:tc>
          <w:tcPr>
            <w:tcW w:w="4543" w:type="dxa"/>
          </w:tcPr>
          <w:p w:rsidR="001E737C" w:rsidRPr="00131C56" w:rsidRDefault="001E737C" w:rsidP="006E4F12">
            <w:pPr>
              <w:rPr>
                <w:vertAlign w:val="superscript"/>
              </w:rPr>
            </w:pPr>
            <w:proofErr w:type="spellStart"/>
            <w:r w:rsidRPr="00EA6F4E">
              <w:t>Potential</w:t>
            </w:r>
            <w:r>
              <w:rPr>
                <w:vertAlign w:val="superscript"/>
              </w:rPr>
              <w:t>b</w:t>
            </w:r>
            <w:proofErr w:type="spellEnd"/>
            <w:r w:rsidRPr="00EA6F4E">
              <w:t xml:space="preserve"> long-term excretion</w:t>
            </w:r>
            <w:r>
              <w:t xml:space="preserve"> probability</w:t>
            </w:r>
          </w:p>
          <w:p w:rsidR="001E737C" w:rsidRDefault="001E737C" w:rsidP="001E737C">
            <w:pPr>
              <w:pStyle w:val="ListParagraph"/>
              <w:numPr>
                <w:ilvl w:val="0"/>
                <w:numId w:val="1"/>
              </w:numPr>
              <w:spacing w:after="0" w:line="240" w:lineRule="auto"/>
              <w:ind w:left="288" w:hanging="144"/>
            </w:pPr>
            <w:r>
              <w:t>Prolonged, CVID</w:t>
            </w:r>
          </w:p>
          <w:p w:rsidR="001E737C" w:rsidRDefault="001E737C" w:rsidP="001E737C">
            <w:pPr>
              <w:pStyle w:val="ListParagraph"/>
              <w:numPr>
                <w:ilvl w:val="0"/>
                <w:numId w:val="1"/>
              </w:numPr>
              <w:spacing w:after="0" w:line="240" w:lineRule="auto"/>
              <w:ind w:left="288" w:hanging="144"/>
            </w:pPr>
            <w:r>
              <w:t xml:space="preserve">Prolonged, </w:t>
            </w:r>
            <w:proofErr w:type="spellStart"/>
            <w:r>
              <w:t>oPID</w:t>
            </w:r>
            <w:proofErr w:type="spellEnd"/>
          </w:p>
          <w:p w:rsidR="001E737C" w:rsidRDefault="001E737C" w:rsidP="001E737C">
            <w:pPr>
              <w:pStyle w:val="ListParagraph"/>
              <w:numPr>
                <w:ilvl w:val="0"/>
                <w:numId w:val="1"/>
              </w:numPr>
              <w:spacing w:after="0" w:line="240" w:lineRule="auto"/>
              <w:ind w:left="288" w:hanging="144"/>
            </w:pPr>
            <w:r>
              <w:t>Chronic, CVID</w:t>
            </w:r>
          </w:p>
          <w:p w:rsidR="001E737C" w:rsidRDefault="001E737C" w:rsidP="001E737C">
            <w:pPr>
              <w:pStyle w:val="ListParagraph"/>
              <w:numPr>
                <w:ilvl w:val="0"/>
                <w:numId w:val="1"/>
              </w:numPr>
              <w:spacing w:after="0" w:line="240" w:lineRule="auto"/>
              <w:ind w:left="288" w:hanging="144"/>
            </w:pPr>
            <w:r>
              <w:t xml:space="preserve">Chronic, </w:t>
            </w:r>
            <w:proofErr w:type="spellStart"/>
            <w:r>
              <w:t>oPID</w:t>
            </w:r>
            <w:proofErr w:type="spellEnd"/>
          </w:p>
        </w:tc>
        <w:tc>
          <w:tcPr>
            <w:tcW w:w="990" w:type="dxa"/>
          </w:tcPr>
          <w:p w:rsidR="001E737C" w:rsidRDefault="001E737C" w:rsidP="006E4F12"/>
          <w:p w:rsidR="001E737C" w:rsidRDefault="001E737C" w:rsidP="006E4F12">
            <w:r>
              <w:t>0.01</w:t>
            </w:r>
          </w:p>
          <w:p w:rsidR="001E737C" w:rsidRDefault="001E737C" w:rsidP="006E4F12">
            <w:r>
              <w:t>0.01</w:t>
            </w:r>
          </w:p>
          <w:p w:rsidR="001E737C" w:rsidRDefault="001E737C" w:rsidP="006E4F12">
            <w:r>
              <w:t>0.005</w:t>
            </w:r>
          </w:p>
          <w:p w:rsidR="001E737C" w:rsidRDefault="001E737C" w:rsidP="006E4F12">
            <w:r>
              <w:t>0</w:t>
            </w:r>
          </w:p>
        </w:tc>
        <w:tc>
          <w:tcPr>
            <w:tcW w:w="3600" w:type="dxa"/>
          </w:tcPr>
          <w:p w:rsidR="001E737C" w:rsidRDefault="001E737C" w:rsidP="006E4F12"/>
          <w:p w:rsidR="001E737C" w:rsidRDefault="001E737C" w:rsidP="006E4F12">
            <w:proofErr w:type="spellStart"/>
            <w:r>
              <w:t>Lognorm</w:t>
            </w:r>
            <w:proofErr w:type="spellEnd"/>
            <w:r>
              <w:t>(0.01;0.001;0.2)</w:t>
            </w:r>
          </w:p>
          <w:p w:rsidR="001E737C" w:rsidRDefault="001E737C" w:rsidP="006E4F12">
            <w:proofErr w:type="spellStart"/>
            <w:r>
              <w:t>Lognorm</w:t>
            </w:r>
            <w:proofErr w:type="spellEnd"/>
            <w:r>
              <w:t>(0.01;0.001;0.2)</w:t>
            </w:r>
          </w:p>
          <w:p w:rsidR="001E737C" w:rsidRDefault="001E737C" w:rsidP="006E4F12">
            <w:proofErr w:type="spellStart"/>
            <w:r>
              <w:t>Lognorm</w:t>
            </w:r>
            <w:proofErr w:type="spellEnd"/>
            <w:r>
              <w:t>(0.005;0.001;0.1)</w:t>
            </w:r>
          </w:p>
          <w:p w:rsidR="001E737C" w:rsidRDefault="001E737C" w:rsidP="006E4F12">
            <w:proofErr w:type="spellStart"/>
            <w:r>
              <w:t>Lognorm</w:t>
            </w:r>
            <w:proofErr w:type="spellEnd"/>
            <w:r>
              <w:t>(0.001;0;0.005)</w:t>
            </w:r>
          </w:p>
        </w:tc>
      </w:tr>
      <w:tr w:rsidR="001E737C" w:rsidTr="006E4F12">
        <w:tc>
          <w:tcPr>
            <w:tcW w:w="4543" w:type="dxa"/>
          </w:tcPr>
          <w:p w:rsidR="001E737C" w:rsidRPr="00FE7236" w:rsidRDefault="001E737C" w:rsidP="006E4F12">
            <w:pPr>
              <w:rPr>
                <w:vertAlign w:val="superscript"/>
              </w:rPr>
            </w:pPr>
            <w:r w:rsidRPr="005C4210">
              <w:t>Relative monthly death rate vs. baseline</w:t>
            </w:r>
          </w:p>
          <w:p w:rsidR="001E737C" w:rsidRDefault="001E737C" w:rsidP="001E737C">
            <w:pPr>
              <w:pStyle w:val="ListParagraph"/>
              <w:numPr>
                <w:ilvl w:val="0"/>
                <w:numId w:val="1"/>
              </w:numPr>
              <w:spacing w:after="0" w:line="240" w:lineRule="auto"/>
              <w:ind w:left="288" w:hanging="144"/>
            </w:pPr>
            <w:r>
              <w:t>Untreated</w:t>
            </w:r>
          </w:p>
          <w:p w:rsidR="001E737C" w:rsidRDefault="001E737C" w:rsidP="001E737C">
            <w:pPr>
              <w:pStyle w:val="ListParagraph"/>
              <w:numPr>
                <w:ilvl w:val="0"/>
                <w:numId w:val="1"/>
              </w:numPr>
              <w:spacing w:after="0" w:line="240" w:lineRule="auto"/>
              <w:ind w:left="288" w:hanging="144"/>
            </w:pPr>
            <w:r w:rsidRPr="00C80F43">
              <w:t>R</w:t>
            </w:r>
            <w:r w:rsidRPr="00C80F43">
              <w:rPr>
                <w:vertAlign w:val="subscript"/>
              </w:rPr>
              <w:t>0</w:t>
            </w:r>
            <w:r>
              <w:t xml:space="preserve"> of WPV1 is </w:t>
            </w:r>
            <w:r w:rsidRPr="00C80F43">
              <w:t>4</w:t>
            </w:r>
            <w:r>
              <w:t xml:space="preserve"> or 5</w:t>
            </w:r>
          </w:p>
          <w:p w:rsidR="001E737C" w:rsidRDefault="001E737C" w:rsidP="001E737C">
            <w:pPr>
              <w:pStyle w:val="ListParagraph"/>
              <w:numPr>
                <w:ilvl w:val="0"/>
                <w:numId w:val="1"/>
              </w:numPr>
              <w:spacing w:after="0" w:line="240" w:lineRule="auto"/>
              <w:ind w:left="288" w:hanging="144"/>
            </w:pPr>
            <w:r w:rsidRPr="00C80F43">
              <w:t>R</w:t>
            </w:r>
            <w:r w:rsidRPr="00C80F43">
              <w:rPr>
                <w:vertAlign w:val="subscript"/>
              </w:rPr>
              <w:t>0</w:t>
            </w:r>
            <w:r>
              <w:t xml:space="preserve"> of WPV1 is 6</w:t>
            </w:r>
          </w:p>
          <w:p w:rsidR="001E737C" w:rsidRDefault="001E737C" w:rsidP="001E737C">
            <w:pPr>
              <w:pStyle w:val="ListParagraph"/>
              <w:numPr>
                <w:ilvl w:val="0"/>
                <w:numId w:val="1"/>
              </w:numPr>
              <w:spacing w:after="0" w:line="240" w:lineRule="auto"/>
              <w:ind w:left="288" w:hanging="144"/>
            </w:pPr>
            <w:r w:rsidRPr="00C80F43">
              <w:t>R</w:t>
            </w:r>
            <w:r w:rsidRPr="00C80F43">
              <w:rPr>
                <w:vertAlign w:val="subscript"/>
              </w:rPr>
              <w:t>0</w:t>
            </w:r>
            <w:r>
              <w:t xml:space="preserve"> of WPV1 is 7</w:t>
            </w:r>
          </w:p>
          <w:p w:rsidR="001E737C" w:rsidRDefault="001E737C" w:rsidP="001E737C">
            <w:pPr>
              <w:pStyle w:val="ListParagraph"/>
              <w:numPr>
                <w:ilvl w:val="0"/>
                <w:numId w:val="1"/>
              </w:numPr>
              <w:spacing w:after="0" w:line="240" w:lineRule="auto"/>
              <w:ind w:left="288" w:hanging="144"/>
            </w:pPr>
            <w:r w:rsidRPr="00C80F43">
              <w:t>R</w:t>
            </w:r>
            <w:r w:rsidRPr="00C80F43">
              <w:rPr>
                <w:vertAlign w:val="subscript"/>
              </w:rPr>
              <w:t>0</w:t>
            </w:r>
            <w:r>
              <w:t xml:space="preserve"> of WPV1 is 8</w:t>
            </w:r>
          </w:p>
          <w:p w:rsidR="001E737C" w:rsidRDefault="001E737C" w:rsidP="001E737C">
            <w:pPr>
              <w:pStyle w:val="ListParagraph"/>
              <w:numPr>
                <w:ilvl w:val="0"/>
                <w:numId w:val="1"/>
              </w:numPr>
              <w:spacing w:after="0" w:line="240" w:lineRule="auto"/>
              <w:ind w:left="288" w:hanging="144"/>
            </w:pPr>
            <w:r w:rsidRPr="00C80F43">
              <w:t>R</w:t>
            </w:r>
            <w:r w:rsidRPr="00C80F43">
              <w:rPr>
                <w:vertAlign w:val="subscript"/>
              </w:rPr>
              <w:t>0</w:t>
            </w:r>
            <w:r>
              <w:t xml:space="preserve"> of WPV1 is 9</w:t>
            </w:r>
          </w:p>
          <w:p w:rsidR="001E737C" w:rsidRDefault="001E737C" w:rsidP="001E737C">
            <w:pPr>
              <w:pStyle w:val="ListParagraph"/>
              <w:numPr>
                <w:ilvl w:val="0"/>
                <w:numId w:val="1"/>
              </w:numPr>
              <w:spacing w:after="0" w:line="240" w:lineRule="auto"/>
              <w:ind w:left="288" w:hanging="144"/>
            </w:pPr>
            <w:r w:rsidRPr="00C80F43">
              <w:t>R</w:t>
            </w:r>
            <w:r w:rsidRPr="00C80F43">
              <w:rPr>
                <w:vertAlign w:val="subscript"/>
              </w:rPr>
              <w:t>0</w:t>
            </w:r>
            <w:r>
              <w:t xml:space="preserve"> of WPV1 is 10</w:t>
            </w:r>
          </w:p>
          <w:p w:rsidR="001E737C" w:rsidRDefault="001E737C" w:rsidP="001E737C">
            <w:pPr>
              <w:pStyle w:val="ListParagraph"/>
              <w:numPr>
                <w:ilvl w:val="0"/>
                <w:numId w:val="1"/>
              </w:numPr>
              <w:spacing w:after="0" w:line="240" w:lineRule="auto"/>
              <w:ind w:left="288" w:hanging="144"/>
            </w:pPr>
            <w:r w:rsidRPr="00C80F43">
              <w:t>R</w:t>
            </w:r>
            <w:r w:rsidRPr="00C80F43">
              <w:rPr>
                <w:vertAlign w:val="subscript"/>
              </w:rPr>
              <w:t>0</w:t>
            </w:r>
            <w:r>
              <w:t xml:space="preserve"> of WPV1 is 11</w:t>
            </w:r>
          </w:p>
          <w:p w:rsidR="001E737C" w:rsidRDefault="001E737C" w:rsidP="001E737C">
            <w:pPr>
              <w:pStyle w:val="ListParagraph"/>
              <w:numPr>
                <w:ilvl w:val="0"/>
                <w:numId w:val="1"/>
              </w:numPr>
              <w:spacing w:after="0" w:line="240" w:lineRule="auto"/>
              <w:ind w:left="288" w:hanging="144"/>
            </w:pPr>
            <w:r w:rsidRPr="00C80F43">
              <w:t>R</w:t>
            </w:r>
            <w:r w:rsidRPr="00C80F43">
              <w:rPr>
                <w:vertAlign w:val="subscript"/>
              </w:rPr>
              <w:t>0</w:t>
            </w:r>
            <w:r>
              <w:t xml:space="preserve"> of WPV1 is 12</w:t>
            </w:r>
          </w:p>
          <w:p w:rsidR="001E737C" w:rsidRDefault="001E737C" w:rsidP="001E737C">
            <w:pPr>
              <w:pStyle w:val="ListParagraph"/>
              <w:numPr>
                <w:ilvl w:val="0"/>
                <w:numId w:val="1"/>
              </w:numPr>
              <w:spacing w:after="0" w:line="240" w:lineRule="auto"/>
              <w:ind w:left="288" w:hanging="144"/>
            </w:pPr>
            <w:r w:rsidRPr="00C80F43">
              <w:t>R</w:t>
            </w:r>
            <w:r w:rsidRPr="00C80F43">
              <w:rPr>
                <w:vertAlign w:val="subscript"/>
              </w:rPr>
              <w:t>0</w:t>
            </w:r>
            <w:r>
              <w:t xml:space="preserve"> of WPV1 is 13</w:t>
            </w:r>
          </w:p>
        </w:tc>
        <w:tc>
          <w:tcPr>
            <w:tcW w:w="990" w:type="dxa"/>
          </w:tcPr>
          <w:p w:rsidR="001E737C" w:rsidRDefault="001E737C" w:rsidP="006E4F12"/>
          <w:p w:rsidR="001E737C" w:rsidRDefault="001E737C" w:rsidP="006E4F12">
            <w:r>
              <w:t>5</w:t>
            </w:r>
          </w:p>
          <w:p w:rsidR="001E737C" w:rsidRDefault="001E737C" w:rsidP="006E4F12">
            <w:r>
              <w:t>1</w:t>
            </w:r>
          </w:p>
          <w:p w:rsidR="001E737C" w:rsidRDefault="001E737C" w:rsidP="006E4F12">
            <w:r>
              <w:t>5</w:t>
            </w:r>
          </w:p>
          <w:p w:rsidR="001E737C" w:rsidRDefault="001E737C" w:rsidP="006E4F12">
            <w:r>
              <w:t>10</w:t>
            </w:r>
          </w:p>
          <w:p w:rsidR="001E737C" w:rsidRDefault="001E737C" w:rsidP="006E4F12">
            <w:r>
              <w:t>20</w:t>
            </w:r>
          </w:p>
          <w:p w:rsidR="001E737C" w:rsidRDefault="001E737C" w:rsidP="006E4F12">
            <w:r>
              <w:t>25</w:t>
            </w:r>
          </w:p>
          <w:p w:rsidR="001E737C" w:rsidRDefault="001E737C" w:rsidP="006E4F12">
            <w:r>
              <w:t>35</w:t>
            </w:r>
          </w:p>
          <w:p w:rsidR="001E737C" w:rsidRDefault="001E737C" w:rsidP="006E4F12">
            <w:r>
              <w:t>40</w:t>
            </w:r>
          </w:p>
          <w:p w:rsidR="001E737C" w:rsidRDefault="001E737C" w:rsidP="006E4F12">
            <w:r>
              <w:t>45</w:t>
            </w:r>
          </w:p>
          <w:p w:rsidR="001E737C" w:rsidRDefault="001E737C" w:rsidP="006E4F12">
            <w:r>
              <w:t>50</w:t>
            </w:r>
          </w:p>
        </w:tc>
        <w:tc>
          <w:tcPr>
            <w:tcW w:w="3600" w:type="dxa"/>
          </w:tcPr>
          <w:p w:rsidR="001E737C" w:rsidRDefault="001E737C" w:rsidP="006E4F12"/>
          <w:p w:rsidR="001E737C" w:rsidRPr="00FE7236" w:rsidRDefault="001E737C" w:rsidP="006E4F12">
            <w:pPr>
              <w:rPr>
                <w:vertAlign w:val="superscript"/>
              </w:rPr>
            </w:pPr>
            <w:proofErr w:type="spellStart"/>
            <w:r>
              <w:t>Unif</w:t>
            </w:r>
            <w:proofErr w:type="spellEnd"/>
            <w:r>
              <w:t>(2.5;7.5)</w:t>
            </w:r>
            <w:r>
              <w:rPr>
                <w:vertAlign w:val="superscript"/>
              </w:rPr>
              <w:t>c</w:t>
            </w:r>
          </w:p>
          <w:p w:rsidR="001E737C" w:rsidRDefault="001E737C" w:rsidP="006E4F12">
            <w:proofErr w:type="spellStart"/>
            <w:r>
              <w:t>Unif</w:t>
            </w:r>
            <w:proofErr w:type="spellEnd"/>
            <w:r>
              <w:t>(0.5;1.5)</w:t>
            </w:r>
          </w:p>
          <w:p w:rsidR="001E737C" w:rsidRDefault="001E737C" w:rsidP="006E4F12">
            <w:proofErr w:type="spellStart"/>
            <w:r>
              <w:t>Unif</w:t>
            </w:r>
            <w:proofErr w:type="spellEnd"/>
            <w:r>
              <w:t>(2.5;7.5)</w:t>
            </w:r>
          </w:p>
          <w:p w:rsidR="001E737C" w:rsidRDefault="001E737C" w:rsidP="006E4F12">
            <w:proofErr w:type="spellStart"/>
            <w:r>
              <w:t>Unif</w:t>
            </w:r>
            <w:proofErr w:type="spellEnd"/>
            <w:r>
              <w:t>(5;15)</w:t>
            </w:r>
          </w:p>
          <w:p w:rsidR="001E737C" w:rsidRDefault="001E737C" w:rsidP="006E4F12">
            <w:proofErr w:type="spellStart"/>
            <w:r>
              <w:t>Unif</w:t>
            </w:r>
            <w:proofErr w:type="spellEnd"/>
            <w:r>
              <w:t>(10;30)</w:t>
            </w:r>
          </w:p>
          <w:p w:rsidR="001E737C" w:rsidRDefault="001E737C" w:rsidP="006E4F12">
            <w:proofErr w:type="spellStart"/>
            <w:r>
              <w:t>Unif</w:t>
            </w:r>
            <w:proofErr w:type="spellEnd"/>
            <w:r>
              <w:t>(12.5;37.5)</w:t>
            </w:r>
          </w:p>
          <w:p w:rsidR="001E737C" w:rsidRDefault="001E737C" w:rsidP="006E4F12">
            <w:proofErr w:type="spellStart"/>
            <w:r>
              <w:t>Unif</w:t>
            </w:r>
            <w:proofErr w:type="spellEnd"/>
            <w:r>
              <w:t>(17.5;52.5)</w:t>
            </w:r>
          </w:p>
          <w:p w:rsidR="001E737C" w:rsidRDefault="001E737C" w:rsidP="006E4F12">
            <w:proofErr w:type="spellStart"/>
            <w:r>
              <w:t>Unif</w:t>
            </w:r>
            <w:proofErr w:type="spellEnd"/>
            <w:r>
              <w:t>(20;60)</w:t>
            </w:r>
          </w:p>
          <w:p w:rsidR="001E737C" w:rsidRDefault="001E737C" w:rsidP="006E4F12">
            <w:proofErr w:type="spellStart"/>
            <w:r>
              <w:t>Unif</w:t>
            </w:r>
            <w:proofErr w:type="spellEnd"/>
            <w:r>
              <w:t>(22.5;67.5)</w:t>
            </w:r>
          </w:p>
          <w:p w:rsidR="001E737C" w:rsidRDefault="001E737C" w:rsidP="006E4F12">
            <w:proofErr w:type="spellStart"/>
            <w:r>
              <w:t>Unif</w:t>
            </w:r>
            <w:proofErr w:type="spellEnd"/>
            <w:r>
              <w:t>(25;75)</w:t>
            </w:r>
          </w:p>
        </w:tc>
      </w:tr>
      <w:tr w:rsidR="001E737C" w:rsidTr="006E4F12">
        <w:tc>
          <w:tcPr>
            <w:tcW w:w="4543" w:type="dxa"/>
          </w:tcPr>
          <w:p w:rsidR="001E737C" w:rsidRPr="00FE7236" w:rsidRDefault="001E737C" w:rsidP="006E4F12">
            <w:pPr>
              <w:rPr>
                <w:vertAlign w:val="superscript"/>
              </w:rPr>
            </w:pPr>
            <w:r>
              <w:t xml:space="preserve">Monthly PID onset </w:t>
            </w:r>
            <w:proofErr w:type="spellStart"/>
            <w:r>
              <w:t>probability</w:t>
            </w:r>
            <w:r>
              <w:rPr>
                <w:vertAlign w:val="superscript"/>
              </w:rPr>
              <w:t>d</w:t>
            </w:r>
            <w:proofErr w:type="spellEnd"/>
          </w:p>
          <w:p w:rsidR="001E737C" w:rsidRDefault="001E737C" w:rsidP="001E737C">
            <w:pPr>
              <w:pStyle w:val="ListParagraph"/>
              <w:numPr>
                <w:ilvl w:val="0"/>
                <w:numId w:val="1"/>
              </w:numPr>
              <w:spacing w:after="0" w:line="240" w:lineRule="auto"/>
              <w:ind w:left="288" w:hanging="144"/>
            </w:pPr>
            <w:r>
              <w:t>CVID</w:t>
            </w:r>
          </w:p>
          <w:p w:rsidR="001E737C" w:rsidRDefault="001E737C" w:rsidP="001E737C">
            <w:pPr>
              <w:pStyle w:val="ListParagraph"/>
              <w:numPr>
                <w:ilvl w:val="0"/>
                <w:numId w:val="1"/>
              </w:numPr>
              <w:spacing w:after="0" w:line="240" w:lineRule="auto"/>
              <w:ind w:left="288" w:hanging="144"/>
            </w:pPr>
            <w:proofErr w:type="spellStart"/>
            <w:r>
              <w:t>oPID</w:t>
            </w:r>
            <w:proofErr w:type="spellEnd"/>
          </w:p>
        </w:tc>
        <w:tc>
          <w:tcPr>
            <w:tcW w:w="990" w:type="dxa"/>
          </w:tcPr>
          <w:p w:rsidR="001E737C" w:rsidRDefault="001E737C" w:rsidP="006E4F12"/>
          <w:p w:rsidR="001E737C" w:rsidRDefault="001E737C" w:rsidP="006E4F12">
            <w:r>
              <w:t>1/300</w:t>
            </w:r>
          </w:p>
          <w:p w:rsidR="001E737C" w:rsidRDefault="001E737C" w:rsidP="006E4F12">
            <w:r>
              <w:t>1/24</w:t>
            </w:r>
          </w:p>
        </w:tc>
        <w:tc>
          <w:tcPr>
            <w:tcW w:w="3600" w:type="dxa"/>
          </w:tcPr>
          <w:p w:rsidR="001E737C" w:rsidRDefault="001E737C" w:rsidP="006E4F12"/>
          <w:p w:rsidR="001E737C" w:rsidRDefault="001E737C" w:rsidP="006E4F12">
            <w:proofErr w:type="spellStart"/>
            <w:r>
              <w:t>Trian</w:t>
            </w:r>
            <w:proofErr w:type="spellEnd"/>
            <w:r>
              <w:t>(1/360;1/300;1/120)</w:t>
            </w:r>
          </w:p>
          <w:p w:rsidR="001E737C" w:rsidRDefault="001E737C" w:rsidP="006E4F12">
            <w:proofErr w:type="spellStart"/>
            <w:r>
              <w:t>Trian</w:t>
            </w:r>
            <w:proofErr w:type="spellEnd"/>
            <w:r>
              <w:t>(1/120;1/24;1/3)</w:t>
            </w:r>
          </w:p>
        </w:tc>
      </w:tr>
      <w:tr w:rsidR="001E737C" w:rsidTr="006E4F12">
        <w:tc>
          <w:tcPr>
            <w:tcW w:w="4543" w:type="dxa"/>
          </w:tcPr>
          <w:p w:rsidR="001E737C" w:rsidRPr="00FE7236" w:rsidRDefault="001E737C" w:rsidP="006E4F12">
            <w:pPr>
              <w:rPr>
                <w:vertAlign w:val="superscript"/>
              </w:rPr>
            </w:pPr>
            <w:r>
              <w:t xml:space="preserve">Increase in all OPV exposure </w:t>
            </w:r>
            <w:proofErr w:type="spellStart"/>
            <w:r>
              <w:t>rates</w:t>
            </w:r>
            <w:r>
              <w:rPr>
                <w:vertAlign w:val="superscript"/>
              </w:rPr>
              <w:t>e</w:t>
            </w:r>
            <w:proofErr w:type="spellEnd"/>
          </w:p>
        </w:tc>
        <w:tc>
          <w:tcPr>
            <w:tcW w:w="990" w:type="dxa"/>
          </w:tcPr>
          <w:p w:rsidR="001E737C" w:rsidRDefault="001E737C" w:rsidP="006E4F12">
            <w:r>
              <w:t>1</w:t>
            </w:r>
          </w:p>
        </w:tc>
        <w:tc>
          <w:tcPr>
            <w:tcW w:w="3600" w:type="dxa"/>
          </w:tcPr>
          <w:p w:rsidR="001E737C" w:rsidRDefault="001E737C" w:rsidP="006E4F12">
            <w:proofErr w:type="spellStart"/>
            <w:r>
              <w:t>Unif</w:t>
            </w:r>
            <w:proofErr w:type="spellEnd"/>
            <w:r>
              <w:t>(0.5;1.5)</w:t>
            </w:r>
          </w:p>
        </w:tc>
      </w:tr>
      <w:tr w:rsidR="001E737C" w:rsidTr="006E4F12">
        <w:tc>
          <w:tcPr>
            <w:tcW w:w="4543" w:type="dxa"/>
          </w:tcPr>
          <w:p w:rsidR="001E737C" w:rsidRPr="00FE7236" w:rsidRDefault="001E737C" w:rsidP="006E4F12">
            <w:pPr>
              <w:rPr>
                <w:vertAlign w:val="superscript"/>
              </w:rPr>
            </w:pPr>
            <w:r>
              <w:t xml:space="preserve">Average duration of </w:t>
            </w:r>
            <w:proofErr w:type="spellStart"/>
            <w:r>
              <w:t>iVDPV</w:t>
            </w:r>
            <w:proofErr w:type="spellEnd"/>
            <w:r>
              <w:t xml:space="preserve"> infection (years)</w:t>
            </w:r>
            <w:r>
              <w:rPr>
                <w:vertAlign w:val="superscript"/>
              </w:rPr>
              <w:t>f</w:t>
            </w:r>
          </w:p>
          <w:p w:rsidR="001E737C" w:rsidRDefault="001E737C" w:rsidP="001E737C">
            <w:pPr>
              <w:pStyle w:val="ListParagraph"/>
              <w:numPr>
                <w:ilvl w:val="0"/>
                <w:numId w:val="1"/>
              </w:numPr>
              <w:spacing w:after="0" w:line="240" w:lineRule="auto"/>
              <w:ind w:left="288" w:hanging="144"/>
            </w:pPr>
            <w:r>
              <w:t>Prolonged</w:t>
            </w:r>
          </w:p>
          <w:p w:rsidR="001E737C" w:rsidRDefault="001E737C" w:rsidP="001E737C">
            <w:pPr>
              <w:pStyle w:val="ListParagraph"/>
              <w:numPr>
                <w:ilvl w:val="0"/>
                <w:numId w:val="1"/>
              </w:numPr>
              <w:spacing w:after="0" w:line="240" w:lineRule="auto"/>
              <w:ind w:left="288" w:hanging="144"/>
            </w:pPr>
            <w:r>
              <w:t>Chronic</w:t>
            </w:r>
          </w:p>
        </w:tc>
        <w:tc>
          <w:tcPr>
            <w:tcW w:w="990" w:type="dxa"/>
          </w:tcPr>
          <w:p w:rsidR="001E737C" w:rsidRDefault="001E737C" w:rsidP="006E4F12"/>
          <w:p w:rsidR="001E737C" w:rsidRDefault="001E737C" w:rsidP="006E4F12">
            <w:r>
              <w:t>2</w:t>
            </w:r>
          </w:p>
          <w:p w:rsidR="001E737C" w:rsidRDefault="001E737C" w:rsidP="006E4F12">
            <w:r>
              <w:t>15</w:t>
            </w:r>
          </w:p>
        </w:tc>
        <w:tc>
          <w:tcPr>
            <w:tcW w:w="3600" w:type="dxa"/>
          </w:tcPr>
          <w:p w:rsidR="001E737C" w:rsidRDefault="001E737C" w:rsidP="006E4F12"/>
          <w:p w:rsidR="001E737C" w:rsidRDefault="001E737C" w:rsidP="006E4F12">
            <w:proofErr w:type="spellStart"/>
            <w:r>
              <w:t>Unif</w:t>
            </w:r>
            <w:proofErr w:type="spellEnd"/>
            <w:r>
              <w:t>(1;3)</w:t>
            </w:r>
          </w:p>
          <w:p w:rsidR="001E737C" w:rsidRDefault="001E737C" w:rsidP="006E4F12">
            <w:proofErr w:type="spellStart"/>
            <w:r>
              <w:t>Unif</w:t>
            </w:r>
            <w:proofErr w:type="spellEnd"/>
            <w:r>
              <w:t>(7;15;23)</w:t>
            </w:r>
          </w:p>
        </w:tc>
      </w:tr>
      <w:tr w:rsidR="001E737C" w:rsidTr="006E4F12">
        <w:tc>
          <w:tcPr>
            <w:tcW w:w="4543" w:type="dxa"/>
          </w:tcPr>
          <w:p w:rsidR="001E737C" w:rsidRDefault="001E737C" w:rsidP="006E4F12">
            <w:r>
              <w:t>Relative probability of long-term OPV infection if treated vs. not treated</w:t>
            </w:r>
          </w:p>
        </w:tc>
        <w:tc>
          <w:tcPr>
            <w:tcW w:w="990" w:type="dxa"/>
          </w:tcPr>
          <w:p w:rsidR="001E737C" w:rsidRDefault="001E737C" w:rsidP="006E4F12">
            <w:r>
              <w:t>0.5</w:t>
            </w:r>
          </w:p>
        </w:tc>
        <w:tc>
          <w:tcPr>
            <w:tcW w:w="3600" w:type="dxa"/>
          </w:tcPr>
          <w:p w:rsidR="001E737C" w:rsidRDefault="001E737C" w:rsidP="006E4F12">
            <w:proofErr w:type="spellStart"/>
            <w:r>
              <w:t>Unif</w:t>
            </w:r>
            <w:proofErr w:type="spellEnd"/>
            <w:r>
              <w:t>(0;1)</w:t>
            </w:r>
          </w:p>
        </w:tc>
      </w:tr>
    </w:tbl>
    <w:p w:rsidR="001E737C" w:rsidRPr="00A4347B" w:rsidRDefault="001E737C" w:rsidP="001E737C">
      <w:pPr>
        <w:rPr>
          <w:sz w:val="20"/>
        </w:rPr>
      </w:pPr>
      <w:r w:rsidRPr="00A4347B">
        <w:rPr>
          <w:b/>
          <w:sz w:val="20"/>
        </w:rPr>
        <w:t xml:space="preserve">Abbreviations: </w:t>
      </w:r>
      <w:r w:rsidRPr="00A4347B">
        <w:rPr>
          <w:sz w:val="20"/>
        </w:rPr>
        <w:t>CVID, common</w:t>
      </w:r>
      <w:r>
        <w:rPr>
          <w:sz w:val="20"/>
        </w:rPr>
        <w:t xml:space="preserve"> </w:t>
      </w:r>
      <w:r w:rsidRPr="00A4347B">
        <w:rPr>
          <w:sz w:val="20"/>
        </w:rPr>
        <w:t>variable immunodeficiency disease;</w:t>
      </w:r>
      <w:r w:rsidRPr="00A4347B">
        <w:rPr>
          <w:b/>
          <w:sz w:val="20"/>
        </w:rPr>
        <w:t xml:space="preserve"> </w:t>
      </w:r>
      <w:r w:rsidRPr="00A4347B">
        <w:rPr>
          <w:sz w:val="20"/>
        </w:rPr>
        <w:t xml:space="preserve">DES, discrete-event simulation; </w:t>
      </w:r>
      <w:proofErr w:type="spellStart"/>
      <w:r w:rsidRPr="00A4347B">
        <w:rPr>
          <w:sz w:val="20"/>
        </w:rPr>
        <w:t>iVDPV</w:t>
      </w:r>
      <w:proofErr w:type="spellEnd"/>
      <w:r w:rsidRPr="00A4347B">
        <w:rPr>
          <w:sz w:val="20"/>
        </w:rPr>
        <w:t xml:space="preserve">, immunodeficiency-associated vaccine-derived poliovirus; </w:t>
      </w:r>
      <w:proofErr w:type="spellStart"/>
      <w:r w:rsidRPr="00A4347B">
        <w:rPr>
          <w:sz w:val="20"/>
        </w:rPr>
        <w:t>oPID</w:t>
      </w:r>
      <w:proofErr w:type="spellEnd"/>
      <w:r w:rsidRPr="00A4347B">
        <w:rPr>
          <w:sz w:val="20"/>
        </w:rPr>
        <w:t>, other PID; OPV, oral poliovirus vaccine; PID, primary immunodeficiency disease</w:t>
      </w:r>
    </w:p>
    <w:p w:rsidR="001E737C" w:rsidRPr="00A4347B" w:rsidRDefault="001E737C" w:rsidP="001E737C">
      <w:pPr>
        <w:rPr>
          <w:b/>
          <w:sz w:val="20"/>
        </w:rPr>
      </w:pPr>
      <w:r w:rsidRPr="00A4347B">
        <w:rPr>
          <w:b/>
          <w:sz w:val="20"/>
        </w:rPr>
        <w:t>Notes:</w:t>
      </w:r>
    </w:p>
    <w:p w:rsidR="001E737C" w:rsidRPr="00A4347B" w:rsidRDefault="001E737C" w:rsidP="001E737C">
      <w:pPr>
        <w:rPr>
          <w:sz w:val="20"/>
        </w:rPr>
      </w:pPr>
      <w:proofErr w:type="gramStart"/>
      <w:r w:rsidRPr="00A4347B">
        <w:rPr>
          <w:sz w:val="20"/>
          <w:vertAlign w:val="superscript"/>
        </w:rPr>
        <w:t>a</w:t>
      </w:r>
      <w:proofErr w:type="gramEnd"/>
      <w:r w:rsidRPr="00A4347B">
        <w:rPr>
          <w:sz w:val="20"/>
        </w:rPr>
        <w:t xml:space="preserve"> </w:t>
      </w:r>
      <w:proofErr w:type="spellStart"/>
      <w:r w:rsidRPr="00A4347B">
        <w:rPr>
          <w:sz w:val="20"/>
        </w:rPr>
        <w:t>Trian</w:t>
      </w:r>
      <w:proofErr w:type="spellEnd"/>
      <w:r w:rsidRPr="00A4347B">
        <w:rPr>
          <w:sz w:val="20"/>
        </w:rPr>
        <w:t>(</w:t>
      </w:r>
      <w:proofErr w:type="spellStart"/>
      <w:r w:rsidRPr="00A4347B">
        <w:rPr>
          <w:sz w:val="20"/>
        </w:rPr>
        <w:t>x,y,z</w:t>
      </w:r>
      <w:proofErr w:type="spellEnd"/>
      <w:r w:rsidRPr="00A4347B">
        <w:rPr>
          <w:sz w:val="20"/>
        </w:rPr>
        <w:t xml:space="preserve">) indicates a triangular uncertainty distribution with lower limit x, mode y, and upper limit z; </w:t>
      </w:r>
      <w:proofErr w:type="spellStart"/>
      <w:r w:rsidRPr="00A4347B">
        <w:rPr>
          <w:sz w:val="20"/>
        </w:rPr>
        <w:t>Lognorm</w:t>
      </w:r>
      <w:proofErr w:type="spellEnd"/>
      <w:r w:rsidRPr="00A4347B">
        <w:rPr>
          <w:sz w:val="20"/>
        </w:rPr>
        <w:t>(</w:t>
      </w:r>
      <w:proofErr w:type="spellStart"/>
      <w:r w:rsidRPr="00A4347B">
        <w:rPr>
          <w:sz w:val="20"/>
        </w:rPr>
        <w:t>x,y,z</w:t>
      </w:r>
      <w:proofErr w:type="spellEnd"/>
      <w:r w:rsidRPr="00A4347B">
        <w:rPr>
          <w:sz w:val="20"/>
        </w:rPr>
        <w:t>) indicates a lognormal uncertainty distribution with lower limit x, median y, and 99.5</w:t>
      </w:r>
      <w:r w:rsidRPr="00A4347B">
        <w:rPr>
          <w:sz w:val="20"/>
          <w:vertAlign w:val="superscript"/>
        </w:rPr>
        <w:t>th</w:t>
      </w:r>
      <w:r w:rsidRPr="00A4347B">
        <w:rPr>
          <w:sz w:val="20"/>
        </w:rPr>
        <w:t xml:space="preserve"> percentile z; </w:t>
      </w:r>
      <w:proofErr w:type="spellStart"/>
      <w:r w:rsidRPr="00A4347B">
        <w:rPr>
          <w:sz w:val="20"/>
        </w:rPr>
        <w:t>Unif</w:t>
      </w:r>
      <w:proofErr w:type="spellEnd"/>
      <w:r w:rsidRPr="00A4347B">
        <w:rPr>
          <w:sz w:val="20"/>
        </w:rPr>
        <w:t>(</w:t>
      </w:r>
      <w:proofErr w:type="spellStart"/>
      <w:r w:rsidRPr="00A4347B">
        <w:rPr>
          <w:sz w:val="20"/>
        </w:rPr>
        <w:t>x,y</w:t>
      </w:r>
      <w:proofErr w:type="spellEnd"/>
      <w:r w:rsidRPr="00A4347B">
        <w:rPr>
          <w:sz w:val="20"/>
        </w:rPr>
        <w:t>) indicates a uniform uncertainty distribution with lower limit x and upper limit y</w:t>
      </w:r>
    </w:p>
    <w:p w:rsidR="001E737C" w:rsidRDefault="001E737C" w:rsidP="001E737C">
      <w:pPr>
        <w:rPr>
          <w:sz w:val="20"/>
        </w:rPr>
      </w:pPr>
      <w:proofErr w:type="spellStart"/>
      <w:proofErr w:type="gramStart"/>
      <w:r w:rsidRPr="00A4347B">
        <w:rPr>
          <w:sz w:val="20"/>
          <w:vertAlign w:val="superscript"/>
        </w:rPr>
        <w:t>b</w:t>
      </w:r>
      <w:r>
        <w:rPr>
          <w:sz w:val="20"/>
        </w:rPr>
        <w:t>”</w:t>
      </w:r>
      <w:proofErr w:type="gramEnd"/>
      <w:r>
        <w:rPr>
          <w:sz w:val="20"/>
        </w:rPr>
        <w:t>Potential</w:t>
      </w:r>
      <w:proofErr w:type="spellEnd"/>
      <w:r>
        <w:rPr>
          <w:sz w:val="20"/>
        </w:rPr>
        <w:t xml:space="preserve">” </w:t>
      </w:r>
      <w:r w:rsidRPr="00A4347B">
        <w:rPr>
          <w:sz w:val="20"/>
        </w:rPr>
        <w:t xml:space="preserve"> </w:t>
      </w:r>
      <w:r>
        <w:rPr>
          <w:sz w:val="20"/>
        </w:rPr>
        <w:t xml:space="preserve">refers to the ability to develop a long-term infection, conditional on an OPV infection after PID onset and sufficiently long survival after the infection to become of prolonged or chronic </w:t>
      </w:r>
      <w:proofErr w:type="spellStart"/>
      <w:r>
        <w:rPr>
          <w:sz w:val="20"/>
        </w:rPr>
        <w:t>excretor</w:t>
      </w:r>
      <w:proofErr w:type="spellEnd"/>
    </w:p>
    <w:p w:rsidR="001E737C" w:rsidRPr="00A4347B" w:rsidRDefault="001E737C" w:rsidP="001E737C">
      <w:pPr>
        <w:rPr>
          <w:sz w:val="20"/>
        </w:rPr>
      </w:pPr>
      <w:r>
        <w:rPr>
          <w:sz w:val="20"/>
          <w:vertAlign w:val="superscript"/>
        </w:rPr>
        <w:t xml:space="preserve">c </w:t>
      </w:r>
      <w:r w:rsidRPr="00A4347B">
        <w:rPr>
          <w:sz w:val="20"/>
        </w:rPr>
        <w:t>All uncertainty distributions for this model input assumed to range from -50% to +50% of the base case estimate</w:t>
      </w:r>
    </w:p>
    <w:p w:rsidR="001E737C" w:rsidRPr="00A4347B" w:rsidRDefault="001E737C" w:rsidP="001E737C">
      <w:pPr>
        <w:rPr>
          <w:sz w:val="20"/>
        </w:rPr>
      </w:pPr>
      <w:r>
        <w:rPr>
          <w:sz w:val="20"/>
          <w:vertAlign w:val="superscript"/>
        </w:rPr>
        <w:t>d</w:t>
      </w:r>
      <w:r w:rsidRPr="00A4347B">
        <w:rPr>
          <w:sz w:val="20"/>
          <w:vertAlign w:val="superscript"/>
        </w:rPr>
        <w:t xml:space="preserve"> </w:t>
      </w:r>
      <w:r w:rsidRPr="00A4347B">
        <w:rPr>
          <w:sz w:val="20"/>
        </w:rPr>
        <w:t>Model input corresponds to 1 divided by 12 times the average age of onset in years, i.e., the base case values imply average ages at onset of 25 (CVID) and 2 (</w:t>
      </w:r>
      <w:proofErr w:type="spellStart"/>
      <w:r w:rsidRPr="00A4347B">
        <w:rPr>
          <w:sz w:val="20"/>
        </w:rPr>
        <w:t>oPID</w:t>
      </w:r>
      <w:proofErr w:type="spellEnd"/>
      <w:r w:rsidRPr="00A4347B">
        <w:rPr>
          <w:sz w:val="20"/>
        </w:rPr>
        <w:t>) years</w:t>
      </w:r>
    </w:p>
    <w:p w:rsidR="001E737C" w:rsidRPr="00A4347B" w:rsidRDefault="001E737C" w:rsidP="001E737C">
      <w:pPr>
        <w:rPr>
          <w:sz w:val="20"/>
        </w:rPr>
      </w:pPr>
      <w:proofErr w:type="gramStart"/>
      <w:r>
        <w:rPr>
          <w:sz w:val="20"/>
          <w:vertAlign w:val="superscript"/>
        </w:rPr>
        <w:t>e</w:t>
      </w:r>
      <w:proofErr w:type="gramEnd"/>
      <w:r w:rsidRPr="00A4347B">
        <w:rPr>
          <w:sz w:val="20"/>
        </w:rPr>
        <w:t xml:space="preserve"> Multiplier applies to primary, secondary OPV exposure rates with or without diagnosis in all income levels and for all immunization schedules</w:t>
      </w:r>
    </w:p>
    <w:p w:rsidR="001E737C" w:rsidRPr="009E2D2C" w:rsidRDefault="001E737C" w:rsidP="001E737C">
      <w:proofErr w:type="gramStart"/>
      <w:r>
        <w:rPr>
          <w:sz w:val="20"/>
          <w:vertAlign w:val="superscript"/>
        </w:rPr>
        <w:t>f</w:t>
      </w:r>
      <w:proofErr w:type="gramEnd"/>
      <w:r w:rsidRPr="00A4347B">
        <w:rPr>
          <w:sz w:val="20"/>
        </w:rPr>
        <w:t xml:space="preserve"> Applied using monthly probabilities as described,[30] which cuts off prolonged infections at 5 years to effectively slightly reduce average duration</w:t>
      </w:r>
    </w:p>
    <w:p w:rsidR="001E737C" w:rsidRDefault="001E737C" w:rsidP="001E737C">
      <w:pPr>
        <w:spacing w:after="200" w:line="276" w:lineRule="auto"/>
        <w:rPr>
          <w:lang w:eastAsia="ko-KR"/>
        </w:rPr>
      </w:pPr>
      <w:r>
        <w:rPr>
          <w:lang w:eastAsia="ko-KR"/>
        </w:rPr>
        <w:br w:type="page"/>
      </w:r>
    </w:p>
    <w:p w:rsidR="001E737C" w:rsidRDefault="001E737C" w:rsidP="001E737C">
      <w:pPr>
        <w:rPr>
          <w:b/>
        </w:rPr>
      </w:pPr>
      <w:r w:rsidRPr="00A84E5A">
        <w:rPr>
          <w:b/>
        </w:rPr>
        <w:lastRenderedPageBreak/>
        <w:t xml:space="preserve">Table </w:t>
      </w:r>
      <w:r>
        <w:rPr>
          <w:b/>
        </w:rPr>
        <w:t>S2</w:t>
      </w:r>
      <w:r w:rsidRPr="00A84E5A">
        <w:rPr>
          <w:b/>
        </w:rPr>
        <w:t xml:space="preserve">: </w:t>
      </w:r>
      <w:r>
        <w:rPr>
          <w:b/>
        </w:rPr>
        <w:t>Characteristics of 57 global model iterations that resulted in an OPV restart with the IPV5 policy and no PAVDs</w:t>
      </w:r>
    </w:p>
    <w:tbl>
      <w:tblPr>
        <w:tblStyle w:val="TableGrid"/>
        <w:tblW w:w="9648" w:type="dxa"/>
        <w:tblCellMar>
          <w:left w:w="43" w:type="dxa"/>
          <w:right w:w="43" w:type="dxa"/>
        </w:tblCellMar>
        <w:tblLook w:val="04A0" w:firstRow="1" w:lastRow="0" w:firstColumn="1" w:lastColumn="0" w:noHBand="0" w:noVBand="1"/>
      </w:tblPr>
      <w:tblGrid>
        <w:gridCol w:w="6523"/>
        <w:gridCol w:w="1620"/>
        <w:gridCol w:w="1505"/>
      </w:tblGrid>
      <w:tr w:rsidR="001E737C" w:rsidTr="006E4F12">
        <w:tc>
          <w:tcPr>
            <w:tcW w:w="6523" w:type="dxa"/>
          </w:tcPr>
          <w:p w:rsidR="001E737C" w:rsidRPr="00A03E43" w:rsidRDefault="001E737C" w:rsidP="006E4F12">
            <w:pPr>
              <w:rPr>
                <w:b/>
              </w:rPr>
            </w:pPr>
            <w:r w:rsidRPr="00A03E43">
              <w:rPr>
                <w:b/>
              </w:rPr>
              <w:t>Characteristic</w:t>
            </w:r>
          </w:p>
        </w:tc>
        <w:tc>
          <w:tcPr>
            <w:tcW w:w="1620" w:type="dxa"/>
          </w:tcPr>
          <w:p w:rsidR="001E737C" w:rsidRPr="00A03E43" w:rsidRDefault="001E737C" w:rsidP="006E4F12">
            <w:pPr>
              <w:rPr>
                <w:b/>
              </w:rPr>
            </w:pPr>
            <w:r w:rsidRPr="00A03E43">
              <w:rPr>
                <w:b/>
              </w:rPr>
              <w:t>Number of iterations (% of OPV restarts)</w:t>
            </w:r>
          </w:p>
        </w:tc>
        <w:tc>
          <w:tcPr>
            <w:tcW w:w="1505" w:type="dxa"/>
          </w:tcPr>
          <w:p w:rsidR="001E737C" w:rsidRPr="00A03E43" w:rsidRDefault="001E737C" w:rsidP="006E4F12">
            <w:pPr>
              <w:rPr>
                <w:b/>
              </w:rPr>
            </w:pPr>
            <w:r w:rsidRPr="00A03E43">
              <w:rPr>
                <w:b/>
              </w:rPr>
              <w:t>Probability, based on 1,000 iterations</w:t>
            </w:r>
          </w:p>
        </w:tc>
      </w:tr>
      <w:tr w:rsidR="001E737C" w:rsidTr="006E4F12">
        <w:tc>
          <w:tcPr>
            <w:tcW w:w="6523" w:type="dxa"/>
          </w:tcPr>
          <w:p w:rsidR="001E737C" w:rsidRPr="00483D5E" w:rsidRDefault="001E737C" w:rsidP="006E4F12">
            <w:r w:rsidRPr="00483D5E">
              <w:t xml:space="preserve">All </w:t>
            </w:r>
            <w:r>
              <w:t>OPV restarts</w:t>
            </w:r>
          </w:p>
        </w:tc>
        <w:tc>
          <w:tcPr>
            <w:tcW w:w="1620" w:type="dxa"/>
          </w:tcPr>
          <w:p w:rsidR="001E737C" w:rsidRPr="00483D5E" w:rsidRDefault="001E737C" w:rsidP="006E4F12">
            <w:r w:rsidRPr="00483D5E">
              <w:t>57 (100)</w:t>
            </w:r>
          </w:p>
        </w:tc>
        <w:tc>
          <w:tcPr>
            <w:tcW w:w="1505" w:type="dxa"/>
          </w:tcPr>
          <w:p w:rsidR="001E737C" w:rsidRPr="00483D5E" w:rsidRDefault="001E737C" w:rsidP="006E4F12">
            <w:r>
              <w:t>0.0057</w:t>
            </w:r>
          </w:p>
        </w:tc>
      </w:tr>
      <w:tr w:rsidR="001E737C" w:rsidTr="006E4F12">
        <w:trPr>
          <w:trHeight w:val="1133"/>
        </w:trPr>
        <w:tc>
          <w:tcPr>
            <w:tcW w:w="6523" w:type="dxa"/>
          </w:tcPr>
          <w:p w:rsidR="001E737C" w:rsidRPr="00483D5E" w:rsidRDefault="001E737C" w:rsidP="006E4F12">
            <w:r w:rsidRPr="00483D5E">
              <w:t>Year of OPV restart</w:t>
            </w:r>
          </w:p>
          <w:p w:rsidR="001E737C" w:rsidRPr="00483D5E" w:rsidRDefault="001E737C" w:rsidP="001E737C">
            <w:pPr>
              <w:pStyle w:val="ListParagraph"/>
              <w:numPr>
                <w:ilvl w:val="0"/>
                <w:numId w:val="1"/>
              </w:numPr>
              <w:spacing w:after="0" w:line="240" w:lineRule="auto"/>
              <w:ind w:left="288" w:hanging="144"/>
            </w:pPr>
            <w:r w:rsidRPr="00483D5E">
              <w:t>2030-2034</w:t>
            </w:r>
          </w:p>
          <w:p w:rsidR="001E737C" w:rsidRPr="00483D5E" w:rsidRDefault="001E737C" w:rsidP="001E737C">
            <w:pPr>
              <w:pStyle w:val="ListParagraph"/>
              <w:numPr>
                <w:ilvl w:val="0"/>
                <w:numId w:val="1"/>
              </w:numPr>
              <w:spacing w:after="0" w:line="240" w:lineRule="auto"/>
              <w:ind w:left="288" w:hanging="144"/>
            </w:pPr>
            <w:r w:rsidRPr="00483D5E">
              <w:t>2035-2039</w:t>
            </w:r>
          </w:p>
          <w:p w:rsidR="001E737C" w:rsidRPr="00483D5E" w:rsidRDefault="001E737C" w:rsidP="001E737C">
            <w:pPr>
              <w:pStyle w:val="ListParagraph"/>
              <w:numPr>
                <w:ilvl w:val="0"/>
                <w:numId w:val="1"/>
              </w:numPr>
              <w:spacing w:after="0" w:line="240" w:lineRule="auto"/>
              <w:ind w:left="288" w:hanging="144"/>
            </w:pPr>
            <w:r w:rsidRPr="00483D5E">
              <w:t>2040-2044</w:t>
            </w:r>
          </w:p>
          <w:p w:rsidR="001E737C" w:rsidRPr="00483D5E" w:rsidRDefault="001E737C" w:rsidP="001E737C">
            <w:pPr>
              <w:pStyle w:val="ListParagraph"/>
              <w:numPr>
                <w:ilvl w:val="0"/>
                <w:numId w:val="1"/>
              </w:numPr>
              <w:spacing w:after="0" w:line="240" w:lineRule="auto"/>
              <w:ind w:left="288" w:hanging="144"/>
            </w:pPr>
            <w:r w:rsidRPr="00483D5E">
              <w:t>2045-2049</w:t>
            </w:r>
          </w:p>
          <w:p w:rsidR="001E737C" w:rsidRPr="00483D5E" w:rsidRDefault="001E737C" w:rsidP="001E737C">
            <w:pPr>
              <w:pStyle w:val="ListParagraph"/>
              <w:numPr>
                <w:ilvl w:val="0"/>
                <w:numId w:val="1"/>
              </w:numPr>
              <w:spacing w:after="0" w:line="240" w:lineRule="auto"/>
              <w:ind w:left="288" w:hanging="144"/>
            </w:pPr>
            <w:r w:rsidRPr="00483D5E">
              <w:t>2050</w:t>
            </w:r>
          </w:p>
        </w:tc>
        <w:tc>
          <w:tcPr>
            <w:tcW w:w="1620" w:type="dxa"/>
          </w:tcPr>
          <w:p w:rsidR="001E737C" w:rsidRPr="00483D5E" w:rsidRDefault="001E737C" w:rsidP="006E4F12"/>
          <w:p w:rsidR="001E737C" w:rsidRPr="00483D5E" w:rsidRDefault="001E737C" w:rsidP="006E4F12">
            <w:r w:rsidRPr="00483D5E">
              <w:t>14 (25)</w:t>
            </w:r>
          </w:p>
          <w:p w:rsidR="001E737C" w:rsidRPr="00483D5E" w:rsidRDefault="001E737C" w:rsidP="006E4F12">
            <w:r w:rsidRPr="00483D5E">
              <w:t>14 (25)</w:t>
            </w:r>
          </w:p>
          <w:p w:rsidR="001E737C" w:rsidRPr="00483D5E" w:rsidRDefault="001E737C" w:rsidP="006E4F12">
            <w:r w:rsidRPr="00483D5E">
              <w:t>19 (33)</w:t>
            </w:r>
          </w:p>
          <w:p w:rsidR="001E737C" w:rsidRPr="00483D5E" w:rsidRDefault="001E737C" w:rsidP="006E4F12">
            <w:r w:rsidRPr="00483D5E">
              <w:t>8 (14)</w:t>
            </w:r>
          </w:p>
          <w:p w:rsidR="001E737C" w:rsidRPr="00483D5E" w:rsidRDefault="001E737C" w:rsidP="006E4F12">
            <w:r w:rsidRPr="00483D5E">
              <w:t>2 (4)</w:t>
            </w:r>
          </w:p>
        </w:tc>
        <w:tc>
          <w:tcPr>
            <w:tcW w:w="1505" w:type="dxa"/>
          </w:tcPr>
          <w:p w:rsidR="001E737C" w:rsidRDefault="001E737C" w:rsidP="006E4F12"/>
          <w:p w:rsidR="001E737C" w:rsidRDefault="001E737C" w:rsidP="006E4F12">
            <w:r>
              <w:t>0.014</w:t>
            </w:r>
          </w:p>
          <w:p w:rsidR="001E737C" w:rsidRDefault="001E737C" w:rsidP="006E4F12">
            <w:r>
              <w:t>0.014</w:t>
            </w:r>
          </w:p>
          <w:p w:rsidR="001E737C" w:rsidRDefault="001E737C" w:rsidP="006E4F12">
            <w:r>
              <w:t>0.019</w:t>
            </w:r>
          </w:p>
          <w:p w:rsidR="001E737C" w:rsidRDefault="001E737C" w:rsidP="006E4F12">
            <w:r>
              <w:t>0.008</w:t>
            </w:r>
          </w:p>
          <w:p w:rsidR="001E737C" w:rsidRPr="00483D5E" w:rsidRDefault="001E737C" w:rsidP="006E4F12">
            <w:r>
              <w:t>0.002</w:t>
            </w:r>
          </w:p>
        </w:tc>
      </w:tr>
      <w:tr w:rsidR="001E737C" w:rsidTr="006E4F12">
        <w:trPr>
          <w:trHeight w:val="1133"/>
        </w:trPr>
        <w:tc>
          <w:tcPr>
            <w:tcW w:w="6523" w:type="dxa"/>
          </w:tcPr>
          <w:p w:rsidR="001E737C" w:rsidRPr="00C85A47" w:rsidRDefault="001E737C" w:rsidP="006E4F12">
            <w:pPr>
              <w:rPr>
                <w:vertAlign w:val="superscript"/>
              </w:rPr>
            </w:pPr>
            <w:r>
              <w:t xml:space="preserve">Year of </w:t>
            </w:r>
            <w:r w:rsidRPr="00483D5E">
              <w:t xml:space="preserve">primary triggering </w:t>
            </w:r>
            <w:proofErr w:type="spellStart"/>
            <w:r w:rsidRPr="00483D5E">
              <w:t>event</w:t>
            </w:r>
            <w:r>
              <w:rPr>
                <w:vertAlign w:val="superscript"/>
              </w:rPr>
              <w:t>a</w:t>
            </w:r>
            <w:proofErr w:type="spellEnd"/>
          </w:p>
          <w:p w:rsidR="001E737C" w:rsidRPr="00483D5E" w:rsidRDefault="001E737C" w:rsidP="001E737C">
            <w:pPr>
              <w:pStyle w:val="ListParagraph"/>
              <w:numPr>
                <w:ilvl w:val="0"/>
                <w:numId w:val="1"/>
              </w:numPr>
              <w:spacing w:after="0" w:line="240" w:lineRule="auto"/>
              <w:ind w:left="288" w:hanging="144"/>
            </w:pPr>
            <w:r>
              <w:t>2018-2019</w:t>
            </w:r>
          </w:p>
          <w:p w:rsidR="001E737C" w:rsidRPr="00483D5E" w:rsidRDefault="001E737C" w:rsidP="001E737C">
            <w:pPr>
              <w:pStyle w:val="ListParagraph"/>
              <w:numPr>
                <w:ilvl w:val="0"/>
                <w:numId w:val="1"/>
              </w:numPr>
              <w:spacing w:after="0" w:line="240" w:lineRule="auto"/>
              <w:ind w:left="288" w:hanging="144"/>
            </w:pPr>
            <w:r>
              <w:t>2020-2024</w:t>
            </w:r>
          </w:p>
          <w:p w:rsidR="001E737C" w:rsidRPr="00483D5E" w:rsidRDefault="001E737C" w:rsidP="001E737C">
            <w:pPr>
              <w:pStyle w:val="ListParagraph"/>
              <w:numPr>
                <w:ilvl w:val="0"/>
                <w:numId w:val="1"/>
              </w:numPr>
              <w:spacing w:after="0" w:line="240" w:lineRule="auto"/>
              <w:ind w:left="288" w:hanging="144"/>
            </w:pPr>
            <w:r>
              <w:t>2025-2029</w:t>
            </w:r>
          </w:p>
          <w:p w:rsidR="001E737C" w:rsidRDefault="001E737C" w:rsidP="001E737C">
            <w:pPr>
              <w:pStyle w:val="ListParagraph"/>
              <w:numPr>
                <w:ilvl w:val="0"/>
                <w:numId w:val="1"/>
              </w:numPr>
              <w:spacing w:after="0" w:line="240" w:lineRule="auto"/>
              <w:ind w:left="288" w:hanging="144"/>
            </w:pPr>
            <w:r>
              <w:t>2030-203</w:t>
            </w:r>
            <w:r w:rsidRPr="00483D5E">
              <w:t>9</w:t>
            </w:r>
          </w:p>
          <w:p w:rsidR="001E737C" w:rsidRPr="00483D5E" w:rsidRDefault="001E737C" w:rsidP="001E737C">
            <w:pPr>
              <w:pStyle w:val="ListParagraph"/>
              <w:numPr>
                <w:ilvl w:val="0"/>
                <w:numId w:val="1"/>
              </w:numPr>
              <w:spacing w:after="0" w:line="240" w:lineRule="auto"/>
              <w:ind w:left="288" w:hanging="144"/>
            </w:pPr>
            <w:r>
              <w:t>2040-2049</w:t>
            </w:r>
          </w:p>
        </w:tc>
        <w:tc>
          <w:tcPr>
            <w:tcW w:w="1620" w:type="dxa"/>
          </w:tcPr>
          <w:p w:rsidR="001E737C" w:rsidRDefault="001E737C" w:rsidP="006E4F12"/>
          <w:p w:rsidR="001E737C" w:rsidRDefault="001E737C" w:rsidP="006E4F12">
            <w:r>
              <w:t>21 (37)</w:t>
            </w:r>
          </w:p>
          <w:p w:rsidR="001E737C" w:rsidRDefault="001E737C" w:rsidP="006E4F12">
            <w:r>
              <w:t>26 (46)</w:t>
            </w:r>
          </w:p>
          <w:p w:rsidR="001E737C" w:rsidRDefault="001E737C" w:rsidP="006E4F12">
            <w:r>
              <w:t>5 (9)</w:t>
            </w:r>
          </w:p>
          <w:p w:rsidR="001E737C" w:rsidRDefault="001E737C" w:rsidP="006E4F12">
            <w:r>
              <w:t>2 (4)</w:t>
            </w:r>
          </w:p>
          <w:p w:rsidR="001E737C" w:rsidRPr="00483D5E" w:rsidRDefault="001E737C" w:rsidP="006E4F12">
            <w:r>
              <w:t>3 (5)</w:t>
            </w:r>
          </w:p>
        </w:tc>
        <w:tc>
          <w:tcPr>
            <w:tcW w:w="1505" w:type="dxa"/>
          </w:tcPr>
          <w:p w:rsidR="001E737C" w:rsidRDefault="001E737C" w:rsidP="006E4F12"/>
          <w:p w:rsidR="001E737C" w:rsidRDefault="001E737C" w:rsidP="006E4F12">
            <w:r>
              <w:t>0.021</w:t>
            </w:r>
          </w:p>
          <w:p w:rsidR="001E737C" w:rsidRDefault="001E737C" w:rsidP="006E4F12">
            <w:r>
              <w:t>0.026</w:t>
            </w:r>
          </w:p>
          <w:p w:rsidR="001E737C" w:rsidRDefault="001E737C" w:rsidP="006E4F12">
            <w:r>
              <w:t>0.005</w:t>
            </w:r>
          </w:p>
          <w:p w:rsidR="001E737C" w:rsidRDefault="001E737C" w:rsidP="006E4F12">
            <w:r>
              <w:t>0.002</w:t>
            </w:r>
          </w:p>
          <w:p w:rsidR="001E737C" w:rsidRDefault="001E737C" w:rsidP="006E4F12">
            <w:r>
              <w:t>0.003</w:t>
            </w:r>
          </w:p>
        </w:tc>
      </w:tr>
      <w:tr w:rsidR="001E737C" w:rsidTr="006E4F12">
        <w:tc>
          <w:tcPr>
            <w:tcW w:w="6523" w:type="dxa"/>
          </w:tcPr>
          <w:p w:rsidR="001E737C" w:rsidRPr="00483D5E" w:rsidRDefault="001E737C" w:rsidP="006E4F12">
            <w:pPr>
              <w:rPr>
                <w:vertAlign w:val="superscript"/>
              </w:rPr>
            </w:pPr>
            <w:r w:rsidRPr="00483D5E">
              <w:t>Serotype of primary triggering event</w:t>
            </w:r>
          </w:p>
          <w:p w:rsidR="001E737C" w:rsidRPr="00483D5E" w:rsidRDefault="001E737C" w:rsidP="001E737C">
            <w:pPr>
              <w:pStyle w:val="ListParagraph"/>
              <w:numPr>
                <w:ilvl w:val="0"/>
                <w:numId w:val="1"/>
              </w:numPr>
              <w:spacing w:after="0" w:line="240" w:lineRule="auto"/>
              <w:ind w:left="288" w:hanging="144"/>
            </w:pPr>
            <w:r w:rsidRPr="00483D5E">
              <w:t>Serotype 1</w:t>
            </w:r>
          </w:p>
          <w:p w:rsidR="001E737C" w:rsidRPr="00483D5E" w:rsidRDefault="001E737C" w:rsidP="001E737C">
            <w:pPr>
              <w:pStyle w:val="ListParagraph"/>
              <w:numPr>
                <w:ilvl w:val="0"/>
                <w:numId w:val="1"/>
              </w:numPr>
              <w:spacing w:after="0" w:line="240" w:lineRule="auto"/>
              <w:ind w:left="288" w:hanging="144"/>
            </w:pPr>
            <w:r w:rsidRPr="00483D5E">
              <w:t>Serotype 2</w:t>
            </w:r>
          </w:p>
          <w:p w:rsidR="001E737C" w:rsidRPr="00483D5E" w:rsidRDefault="001E737C" w:rsidP="001E737C">
            <w:pPr>
              <w:pStyle w:val="ListParagraph"/>
              <w:numPr>
                <w:ilvl w:val="0"/>
                <w:numId w:val="1"/>
              </w:numPr>
              <w:spacing w:after="0" w:line="240" w:lineRule="auto"/>
              <w:ind w:left="288" w:hanging="144"/>
            </w:pPr>
            <w:r w:rsidRPr="00483D5E">
              <w:t>Serotype 3</w:t>
            </w:r>
          </w:p>
        </w:tc>
        <w:tc>
          <w:tcPr>
            <w:tcW w:w="1620" w:type="dxa"/>
          </w:tcPr>
          <w:p w:rsidR="001E737C" w:rsidRPr="00483D5E" w:rsidRDefault="001E737C" w:rsidP="006E4F12"/>
          <w:p w:rsidR="001E737C" w:rsidRPr="00483D5E" w:rsidRDefault="001E737C" w:rsidP="006E4F12">
            <w:r w:rsidRPr="00483D5E">
              <w:t>38 (67)</w:t>
            </w:r>
          </w:p>
          <w:p w:rsidR="001E737C" w:rsidRPr="00483D5E" w:rsidRDefault="001E737C" w:rsidP="006E4F12">
            <w:r w:rsidRPr="00483D5E">
              <w:t>14 (25)</w:t>
            </w:r>
          </w:p>
          <w:p w:rsidR="001E737C" w:rsidRPr="00483D5E" w:rsidRDefault="001E737C" w:rsidP="006E4F12">
            <w:r w:rsidRPr="00483D5E">
              <w:t>5 (9)</w:t>
            </w:r>
          </w:p>
        </w:tc>
        <w:tc>
          <w:tcPr>
            <w:tcW w:w="1505" w:type="dxa"/>
          </w:tcPr>
          <w:p w:rsidR="001E737C" w:rsidRDefault="001E737C" w:rsidP="006E4F12"/>
          <w:p w:rsidR="001E737C" w:rsidRDefault="001E737C" w:rsidP="006E4F12">
            <w:r>
              <w:t>0.038</w:t>
            </w:r>
          </w:p>
          <w:p w:rsidR="001E737C" w:rsidRDefault="001E737C" w:rsidP="006E4F12">
            <w:r>
              <w:t>0.014</w:t>
            </w:r>
          </w:p>
          <w:p w:rsidR="001E737C" w:rsidRPr="00483D5E" w:rsidRDefault="001E737C" w:rsidP="006E4F12">
            <w:r>
              <w:t>0.009</w:t>
            </w:r>
          </w:p>
        </w:tc>
      </w:tr>
      <w:tr w:rsidR="001E737C" w:rsidTr="006E4F12">
        <w:tc>
          <w:tcPr>
            <w:tcW w:w="6523" w:type="dxa"/>
          </w:tcPr>
          <w:p w:rsidR="001E737C" w:rsidRDefault="001E737C" w:rsidP="006E4F12">
            <w:r>
              <w:t>Nature of primary triggering event</w:t>
            </w:r>
          </w:p>
          <w:p w:rsidR="001E737C" w:rsidRDefault="001E737C" w:rsidP="001E737C">
            <w:pPr>
              <w:pStyle w:val="ListParagraph"/>
              <w:numPr>
                <w:ilvl w:val="0"/>
                <w:numId w:val="1"/>
              </w:numPr>
              <w:spacing w:after="0" w:line="240" w:lineRule="auto"/>
              <w:ind w:left="288" w:hanging="144"/>
            </w:pPr>
            <w:proofErr w:type="spellStart"/>
            <w:r>
              <w:t>iVDPV</w:t>
            </w:r>
            <w:proofErr w:type="spellEnd"/>
          </w:p>
          <w:p w:rsidR="001E737C" w:rsidRPr="00483D5E" w:rsidRDefault="001E737C" w:rsidP="001E737C">
            <w:pPr>
              <w:pStyle w:val="ListParagraph"/>
              <w:numPr>
                <w:ilvl w:val="0"/>
                <w:numId w:val="1"/>
              </w:numPr>
              <w:spacing w:after="0" w:line="240" w:lineRule="auto"/>
              <w:ind w:left="288" w:hanging="144"/>
            </w:pPr>
            <w:r>
              <w:t xml:space="preserve">Unintentional release from laboratory or intentional release </w:t>
            </w:r>
          </w:p>
        </w:tc>
        <w:tc>
          <w:tcPr>
            <w:tcW w:w="1620" w:type="dxa"/>
          </w:tcPr>
          <w:p w:rsidR="001E737C" w:rsidRDefault="001E737C" w:rsidP="006E4F12"/>
          <w:p w:rsidR="001E737C" w:rsidRDefault="001E737C" w:rsidP="006E4F12">
            <w:r>
              <w:t>52 (91)</w:t>
            </w:r>
          </w:p>
          <w:p w:rsidR="001E737C" w:rsidRPr="00483D5E" w:rsidRDefault="001E737C" w:rsidP="006E4F12">
            <w:r>
              <w:t>5 (9)</w:t>
            </w:r>
          </w:p>
        </w:tc>
        <w:tc>
          <w:tcPr>
            <w:tcW w:w="1505" w:type="dxa"/>
          </w:tcPr>
          <w:p w:rsidR="001E737C" w:rsidRDefault="001E737C" w:rsidP="006E4F12"/>
          <w:p w:rsidR="001E737C" w:rsidRDefault="001E737C" w:rsidP="006E4F12">
            <w:r>
              <w:t>0.052</w:t>
            </w:r>
          </w:p>
          <w:p w:rsidR="001E737C" w:rsidRDefault="001E737C" w:rsidP="006E4F12">
            <w:r>
              <w:t>0.005</w:t>
            </w:r>
          </w:p>
        </w:tc>
      </w:tr>
      <w:tr w:rsidR="001E737C" w:rsidTr="006E4F12">
        <w:tc>
          <w:tcPr>
            <w:tcW w:w="6523" w:type="dxa"/>
          </w:tcPr>
          <w:p w:rsidR="001E737C" w:rsidRPr="00483D5E" w:rsidRDefault="001E737C" w:rsidP="006E4F12">
            <w:pPr>
              <w:rPr>
                <w:vertAlign w:val="superscript"/>
              </w:rPr>
            </w:pPr>
            <w:r>
              <w:t xml:space="preserve">Secondary triggering </w:t>
            </w:r>
            <w:proofErr w:type="spellStart"/>
            <w:r>
              <w:t>event</w:t>
            </w:r>
            <w:r>
              <w:rPr>
                <w:vertAlign w:val="superscript"/>
              </w:rPr>
              <w:t>b</w:t>
            </w:r>
            <w:proofErr w:type="spellEnd"/>
          </w:p>
          <w:p w:rsidR="001E737C" w:rsidRDefault="001E737C" w:rsidP="001E737C">
            <w:pPr>
              <w:pStyle w:val="ListParagraph"/>
              <w:numPr>
                <w:ilvl w:val="0"/>
                <w:numId w:val="1"/>
              </w:numPr>
              <w:spacing w:after="0" w:line="240" w:lineRule="auto"/>
              <w:ind w:left="288" w:hanging="144"/>
            </w:pPr>
            <w:r>
              <w:t>None (i.e., transmission continued regardless)</w:t>
            </w:r>
          </w:p>
          <w:p w:rsidR="001E737C" w:rsidRDefault="001E737C" w:rsidP="001E737C">
            <w:pPr>
              <w:pStyle w:val="ListParagraph"/>
              <w:numPr>
                <w:ilvl w:val="0"/>
                <w:numId w:val="1"/>
              </w:numPr>
              <w:spacing w:after="0" w:line="240" w:lineRule="auto"/>
              <w:ind w:left="288" w:hanging="144"/>
            </w:pPr>
            <w:proofErr w:type="spellStart"/>
            <w:r>
              <w:t>iVDPV</w:t>
            </w:r>
            <w:proofErr w:type="spellEnd"/>
            <w:r>
              <w:t xml:space="preserve"> </w:t>
            </w:r>
            <w:proofErr w:type="spellStart"/>
            <w:r>
              <w:t>excretor</w:t>
            </w:r>
            <w:proofErr w:type="spellEnd"/>
            <w:r>
              <w:t xml:space="preserve"> infected by </w:t>
            </w:r>
            <w:proofErr w:type="spellStart"/>
            <w:r>
              <w:t>mOPV</w:t>
            </w:r>
            <w:proofErr w:type="spellEnd"/>
            <w:r>
              <w:t xml:space="preserve"> used for outbreak response</w:t>
            </w:r>
          </w:p>
          <w:p w:rsidR="001E737C" w:rsidRDefault="001E737C" w:rsidP="001E737C">
            <w:pPr>
              <w:pStyle w:val="ListParagraph"/>
              <w:numPr>
                <w:ilvl w:val="0"/>
                <w:numId w:val="1"/>
              </w:numPr>
              <w:spacing w:after="0" w:line="240" w:lineRule="auto"/>
              <w:ind w:left="288" w:hanging="144"/>
            </w:pPr>
            <w:r>
              <w:t>Long-</w:t>
            </w:r>
            <w:proofErr w:type="spellStart"/>
            <w:r>
              <w:t>range</w:t>
            </w:r>
            <w:r>
              <w:rPr>
                <w:vertAlign w:val="superscript"/>
              </w:rPr>
              <w:t>c</w:t>
            </w:r>
            <w:proofErr w:type="spellEnd"/>
            <w:r>
              <w:t xml:space="preserve"> outbreak virus exportation</w:t>
            </w:r>
          </w:p>
          <w:p w:rsidR="001E737C" w:rsidRPr="00483D5E" w:rsidRDefault="001E737C" w:rsidP="001E737C">
            <w:pPr>
              <w:pStyle w:val="ListParagraph"/>
              <w:numPr>
                <w:ilvl w:val="0"/>
                <w:numId w:val="1"/>
              </w:numPr>
              <w:spacing w:after="0" w:line="240" w:lineRule="auto"/>
              <w:ind w:left="288" w:hanging="144"/>
            </w:pPr>
            <w:proofErr w:type="spellStart"/>
            <w:r>
              <w:t>Longe-range</w:t>
            </w:r>
            <w:r w:rsidRPr="00954CA5">
              <w:rPr>
                <w:vertAlign w:val="superscript"/>
              </w:rPr>
              <w:t>c</w:t>
            </w:r>
            <w:proofErr w:type="spellEnd"/>
            <w:r>
              <w:t xml:space="preserve"> exportation of virus related to </w:t>
            </w:r>
            <w:proofErr w:type="spellStart"/>
            <w:r>
              <w:t>mOPV</w:t>
            </w:r>
            <w:proofErr w:type="spellEnd"/>
            <w:r>
              <w:t xml:space="preserve"> used for outbreak response</w:t>
            </w:r>
          </w:p>
        </w:tc>
        <w:tc>
          <w:tcPr>
            <w:tcW w:w="1620" w:type="dxa"/>
          </w:tcPr>
          <w:p w:rsidR="001E737C" w:rsidRDefault="001E737C" w:rsidP="006E4F12"/>
          <w:p w:rsidR="001E737C" w:rsidRDefault="001E737C" w:rsidP="006E4F12">
            <w:r>
              <w:t>45 (79)</w:t>
            </w:r>
          </w:p>
          <w:p w:rsidR="001E737C" w:rsidRDefault="001E737C" w:rsidP="006E4F12">
            <w:r>
              <w:t>7 (12)</w:t>
            </w:r>
          </w:p>
          <w:p w:rsidR="001E737C" w:rsidRDefault="001E737C" w:rsidP="006E4F12">
            <w:r>
              <w:t>4 (7)</w:t>
            </w:r>
          </w:p>
          <w:p w:rsidR="001E737C" w:rsidRPr="00483D5E" w:rsidRDefault="001E737C" w:rsidP="006E4F12">
            <w:r>
              <w:t>1 (2)</w:t>
            </w:r>
          </w:p>
        </w:tc>
        <w:tc>
          <w:tcPr>
            <w:tcW w:w="1505" w:type="dxa"/>
          </w:tcPr>
          <w:p w:rsidR="001E737C" w:rsidRDefault="001E737C" w:rsidP="006E4F12"/>
          <w:p w:rsidR="001E737C" w:rsidRDefault="001E737C" w:rsidP="006E4F12">
            <w:r>
              <w:t>0.045</w:t>
            </w:r>
          </w:p>
          <w:p w:rsidR="001E737C" w:rsidRDefault="001E737C" w:rsidP="006E4F12">
            <w:r>
              <w:t>0.007</w:t>
            </w:r>
          </w:p>
          <w:p w:rsidR="001E737C" w:rsidRDefault="001E737C" w:rsidP="006E4F12">
            <w:r>
              <w:t>0.004</w:t>
            </w:r>
          </w:p>
          <w:p w:rsidR="001E737C" w:rsidRDefault="001E737C" w:rsidP="006E4F12">
            <w:r>
              <w:t>0.001</w:t>
            </w:r>
          </w:p>
        </w:tc>
      </w:tr>
      <w:tr w:rsidR="001E737C" w:rsidTr="006E4F12">
        <w:tc>
          <w:tcPr>
            <w:tcW w:w="6523" w:type="dxa"/>
          </w:tcPr>
          <w:p w:rsidR="001E737C" w:rsidRDefault="001E737C" w:rsidP="006E4F12">
            <w:r>
              <w:t>R</w:t>
            </w:r>
            <w:r>
              <w:rPr>
                <w:vertAlign w:val="subscript"/>
              </w:rPr>
              <w:t>0</w:t>
            </w:r>
            <w:r w:rsidRPr="000F4352">
              <w:t xml:space="preserve"> for WPV1</w:t>
            </w:r>
            <w:r>
              <w:rPr>
                <w:vertAlign w:val="subscript"/>
              </w:rPr>
              <w:t xml:space="preserve"> </w:t>
            </w:r>
            <w:r>
              <w:t>in population of primary triggering event</w:t>
            </w:r>
          </w:p>
          <w:p w:rsidR="001E737C" w:rsidRPr="00483D5E" w:rsidRDefault="001E737C" w:rsidP="001E737C">
            <w:pPr>
              <w:pStyle w:val="ListParagraph"/>
              <w:numPr>
                <w:ilvl w:val="0"/>
                <w:numId w:val="1"/>
              </w:numPr>
              <w:spacing w:after="0" w:line="240" w:lineRule="auto"/>
              <w:ind w:left="288" w:hanging="144"/>
            </w:pPr>
            <w:r>
              <w:t>6 or 7</w:t>
            </w:r>
          </w:p>
          <w:p w:rsidR="001E737C" w:rsidRDefault="001E737C" w:rsidP="001E737C">
            <w:pPr>
              <w:pStyle w:val="ListParagraph"/>
              <w:numPr>
                <w:ilvl w:val="0"/>
                <w:numId w:val="1"/>
              </w:numPr>
              <w:spacing w:after="0" w:line="240" w:lineRule="auto"/>
              <w:ind w:left="288" w:hanging="144"/>
            </w:pPr>
            <w:r>
              <w:t>8 or 9</w:t>
            </w:r>
          </w:p>
          <w:p w:rsidR="001E737C" w:rsidRDefault="001E737C" w:rsidP="001E737C">
            <w:pPr>
              <w:pStyle w:val="ListParagraph"/>
              <w:numPr>
                <w:ilvl w:val="0"/>
                <w:numId w:val="1"/>
              </w:numPr>
              <w:spacing w:after="0" w:line="240" w:lineRule="auto"/>
              <w:ind w:left="288" w:hanging="144"/>
            </w:pPr>
            <w:r>
              <w:t>10 or 11</w:t>
            </w:r>
          </w:p>
          <w:p w:rsidR="001E737C" w:rsidRPr="0066590A" w:rsidRDefault="001E737C" w:rsidP="001E737C">
            <w:pPr>
              <w:pStyle w:val="ListParagraph"/>
              <w:numPr>
                <w:ilvl w:val="0"/>
                <w:numId w:val="1"/>
              </w:numPr>
              <w:spacing w:after="0" w:line="240" w:lineRule="auto"/>
              <w:ind w:left="288" w:hanging="144"/>
            </w:pPr>
            <w:r>
              <w:t>12 or 13</w:t>
            </w:r>
          </w:p>
        </w:tc>
        <w:tc>
          <w:tcPr>
            <w:tcW w:w="1620" w:type="dxa"/>
          </w:tcPr>
          <w:p w:rsidR="001E737C" w:rsidRDefault="001E737C" w:rsidP="006E4F12"/>
          <w:p w:rsidR="001E737C" w:rsidRDefault="001E737C" w:rsidP="006E4F12">
            <w:r>
              <w:t>13 (21)</w:t>
            </w:r>
          </w:p>
          <w:p w:rsidR="001E737C" w:rsidRDefault="001E737C" w:rsidP="006E4F12">
            <w:r>
              <w:t>16 (28)</w:t>
            </w:r>
          </w:p>
          <w:p w:rsidR="001E737C" w:rsidRDefault="001E737C" w:rsidP="006E4F12">
            <w:r>
              <w:t>6 (11)</w:t>
            </w:r>
          </w:p>
          <w:p w:rsidR="001E737C" w:rsidRPr="00483D5E" w:rsidRDefault="001E737C" w:rsidP="006E4F12">
            <w:r>
              <w:t>22 (39)</w:t>
            </w:r>
          </w:p>
        </w:tc>
        <w:tc>
          <w:tcPr>
            <w:tcW w:w="1505" w:type="dxa"/>
          </w:tcPr>
          <w:p w:rsidR="001E737C" w:rsidRDefault="001E737C" w:rsidP="006E4F12"/>
          <w:p w:rsidR="001E737C" w:rsidRDefault="001E737C" w:rsidP="006E4F12">
            <w:r>
              <w:t>0.013</w:t>
            </w:r>
          </w:p>
          <w:p w:rsidR="001E737C" w:rsidRDefault="001E737C" w:rsidP="006E4F12">
            <w:r>
              <w:t>0.016</w:t>
            </w:r>
          </w:p>
          <w:p w:rsidR="001E737C" w:rsidRDefault="001E737C" w:rsidP="006E4F12">
            <w:r>
              <w:t>0.006</w:t>
            </w:r>
          </w:p>
          <w:p w:rsidR="001E737C" w:rsidRPr="00483D5E" w:rsidRDefault="001E737C" w:rsidP="006E4F12">
            <w:r>
              <w:t>0.022</w:t>
            </w:r>
          </w:p>
        </w:tc>
      </w:tr>
      <w:tr w:rsidR="001E737C" w:rsidTr="006E4F12">
        <w:tc>
          <w:tcPr>
            <w:tcW w:w="6523" w:type="dxa"/>
          </w:tcPr>
          <w:p w:rsidR="001E737C" w:rsidRDefault="001E737C" w:rsidP="006E4F12">
            <w:r>
              <w:t>POL3 coverage (%) in population of primary triggering event</w:t>
            </w:r>
          </w:p>
          <w:p w:rsidR="001E737C" w:rsidRPr="00483D5E" w:rsidRDefault="001E737C" w:rsidP="001E737C">
            <w:pPr>
              <w:pStyle w:val="ListParagraph"/>
              <w:numPr>
                <w:ilvl w:val="0"/>
                <w:numId w:val="1"/>
              </w:numPr>
              <w:spacing w:after="0" w:line="240" w:lineRule="auto"/>
              <w:ind w:left="288" w:hanging="144"/>
            </w:pPr>
            <w:r>
              <w:t>30</w:t>
            </w:r>
          </w:p>
          <w:p w:rsidR="001E737C" w:rsidRDefault="001E737C" w:rsidP="001E737C">
            <w:pPr>
              <w:pStyle w:val="ListParagraph"/>
              <w:numPr>
                <w:ilvl w:val="0"/>
                <w:numId w:val="1"/>
              </w:numPr>
              <w:spacing w:after="0" w:line="240" w:lineRule="auto"/>
              <w:ind w:left="288" w:hanging="144"/>
            </w:pPr>
            <w:r>
              <w:t>60</w:t>
            </w:r>
          </w:p>
          <w:p w:rsidR="001E737C" w:rsidRDefault="001E737C" w:rsidP="001E737C">
            <w:pPr>
              <w:pStyle w:val="ListParagraph"/>
              <w:numPr>
                <w:ilvl w:val="0"/>
                <w:numId w:val="1"/>
              </w:numPr>
              <w:spacing w:after="0" w:line="240" w:lineRule="auto"/>
              <w:ind w:left="288" w:hanging="144"/>
            </w:pPr>
            <w:r>
              <w:t>90</w:t>
            </w:r>
          </w:p>
          <w:p w:rsidR="001E737C" w:rsidRPr="00483D5E" w:rsidRDefault="001E737C" w:rsidP="001E737C">
            <w:pPr>
              <w:pStyle w:val="ListParagraph"/>
              <w:numPr>
                <w:ilvl w:val="0"/>
                <w:numId w:val="1"/>
              </w:numPr>
              <w:spacing w:after="0" w:line="240" w:lineRule="auto"/>
              <w:ind w:left="288" w:hanging="144"/>
            </w:pPr>
            <w:r>
              <w:t>98</w:t>
            </w:r>
          </w:p>
        </w:tc>
        <w:tc>
          <w:tcPr>
            <w:tcW w:w="1620" w:type="dxa"/>
          </w:tcPr>
          <w:p w:rsidR="001E737C" w:rsidRDefault="001E737C" w:rsidP="006E4F12"/>
          <w:p w:rsidR="001E737C" w:rsidRDefault="001E737C" w:rsidP="006E4F12">
            <w:r>
              <w:t>5 (9)</w:t>
            </w:r>
          </w:p>
          <w:p w:rsidR="001E737C" w:rsidRDefault="001E737C" w:rsidP="006E4F12">
            <w:r>
              <w:t>26 (46)</w:t>
            </w:r>
          </w:p>
          <w:p w:rsidR="001E737C" w:rsidRDefault="001E737C" w:rsidP="006E4F12">
            <w:r>
              <w:t>19 (33)</w:t>
            </w:r>
          </w:p>
          <w:p w:rsidR="001E737C" w:rsidRPr="00483D5E" w:rsidRDefault="001E737C" w:rsidP="006E4F12">
            <w:r>
              <w:t>7 (12)</w:t>
            </w:r>
          </w:p>
        </w:tc>
        <w:tc>
          <w:tcPr>
            <w:tcW w:w="1505" w:type="dxa"/>
          </w:tcPr>
          <w:p w:rsidR="001E737C" w:rsidRDefault="001E737C" w:rsidP="006E4F12"/>
          <w:p w:rsidR="001E737C" w:rsidRDefault="001E737C" w:rsidP="006E4F12">
            <w:r>
              <w:t>0.005</w:t>
            </w:r>
          </w:p>
          <w:p w:rsidR="001E737C" w:rsidRDefault="001E737C" w:rsidP="006E4F12">
            <w:r>
              <w:t>0.026</w:t>
            </w:r>
          </w:p>
          <w:p w:rsidR="001E737C" w:rsidRDefault="001E737C" w:rsidP="006E4F12">
            <w:r>
              <w:t>0.019</w:t>
            </w:r>
          </w:p>
          <w:p w:rsidR="001E737C" w:rsidRPr="00483D5E" w:rsidRDefault="001E737C" w:rsidP="006E4F12">
            <w:r>
              <w:t>0.007</w:t>
            </w:r>
          </w:p>
        </w:tc>
      </w:tr>
    </w:tbl>
    <w:p w:rsidR="001E737C" w:rsidRPr="00A4347B" w:rsidRDefault="001E737C" w:rsidP="001E737C">
      <w:pPr>
        <w:rPr>
          <w:sz w:val="20"/>
          <w:szCs w:val="20"/>
          <w:vertAlign w:val="superscript"/>
        </w:rPr>
      </w:pPr>
      <w:r w:rsidRPr="00A4347B">
        <w:rPr>
          <w:b/>
          <w:sz w:val="20"/>
          <w:szCs w:val="20"/>
        </w:rPr>
        <w:t xml:space="preserve">Abbreviations: </w:t>
      </w:r>
      <w:proofErr w:type="spellStart"/>
      <w:r w:rsidRPr="00A4347B">
        <w:rPr>
          <w:sz w:val="20"/>
          <w:szCs w:val="20"/>
        </w:rPr>
        <w:t>iVDPV</w:t>
      </w:r>
      <w:proofErr w:type="spellEnd"/>
      <w:r w:rsidRPr="00A4347B">
        <w:rPr>
          <w:sz w:val="20"/>
          <w:szCs w:val="20"/>
        </w:rPr>
        <w:t xml:space="preserve">, immunodeficiency-associated vaccine-derived poliovirus; </w:t>
      </w:r>
      <w:proofErr w:type="spellStart"/>
      <w:r w:rsidRPr="00A4347B">
        <w:rPr>
          <w:sz w:val="20"/>
          <w:szCs w:val="20"/>
        </w:rPr>
        <w:t>mOPV</w:t>
      </w:r>
      <w:proofErr w:type="spellEnd"/>
      <w:r w:rsidRPr="00A4347B">
        <w:rPr>
          <w:sz w:val="20"/>
          <w:szCs w:val="20"/>
        </w:rPr>
        <w:t>, monovalent OPV; OPV, oral poliovirus vaccine; PAVD, polio antiviral drug; POL3, coverage with 3 or more non-birth polio routine immunization doses; R</w:t>
      </w:r>
      <w:r w:rsidRPr="00A4347B">
        <w:rPr>
          <w:sz w:val="20"/>
          <w:szCs w:val="20"/>
          <w:vertAlign w:val="subscript"/>
        </w:rPr>
        <w:t>0</w:t>
      </w:r>
      <w:r w:rsidRPr="00A4347B">
        <w:rPr>
          <w:sz w:val="20"/>
          <w:szCs w:val="20"/>
        </w:rPr>
        <w:t>, basic reproduction number; WPV1, serotype 1 wild poliovirus</w:t>
      </w:r>
    </w:p>
    <w:p w:rsidR="001E737C" w:rsidRPr="00A4347B" w:rsidRDefault="001E737C" w:rsidP="001E737C">
      <w:pPr>
        <w:rPr>
          <w:sz w:val="20"/>
          <w:szCs w:val="20"/>
        </w:rPr>
      </w:pPr>
      <w:proofErr w:type="spellStart"/>
      <w:proofErr w:type="gramStart"/>
      <w:r w:rsidRPr="00A4347B">
        <w:rPr>
          <w:sz w:val="20"/>
          <w:szCs w:val="20"/>
          <w:vertAlign w:val="superscript"/>
        </w:rPr>
        <w:t>a</w:t>
      </w:r>
      <w:proofErr w:type="spellEnd"/>
      <w:proofErr w:type="gramEnd"/>
      <w:r w:rsidRPr="00A4347B">
        <w:rPr>
          <w:sz w:val="20"/>
          <w:szCs w:val="20"/>
        </w:rPr>
        <w:t xml:space="preserve"> We define a primary triggering event defined as a poliovirus reintroduction that triggers an outbreak and/or new events (exportations of outbreak virus, exportations of virus related to </w:t>
      </w:r>
      <w:proofErr w:type="spellStart"/>
      <w:r w:rsidRPr="00A4347B">
        <w:rPr>
          <w:sz w:val="20"/>
          <w:szCs w:val="20"/>
        </w:rPr>
        <w:t>mOPV</w:t>
      </w:r>
      <w:proofErr w:type="spellEnd"/>
      <w:r w:rsidRPr="00A4347B">
        <w:rPr>
          <w:sz w:val="20"/>
          <w:szCs w:val="20"/>
        </w:rPr>
        <w:t xml:space="preserve"> used for outbreak response, or newly </w:t>
      </w:r>
      <w:r w:rsidRPr="00A4347B">
        <w:rPr>
          <w:sz w:val="20"/>
          <w:szCs w:val="20"/>
        </w:rPr>
        <w:lastRenderedPageBreak/>
        <w:t xml:space="preserve">infected </w:t>
      </w:r>
      <w:proofErr w:type="spellStart"/>
      <w:r w:rsidRPr="00A4347B">
        <w:rPr>
          <w:sz w:val="20"/>
          <w:szCs w:val="20"/>
        </w:rPr>
        <w:t>iVDPV</w:t>
      </w:r>
      <w:proofErr w:type="spellEnd"/>
      <w:r w:rsidRPr="00A4347B">
        <w:rPr>
          <w:sz w:val="20"/>
          <w:szCs w:val="20"/>
        </w:rPr>
        <w:t xml:space="preserve"> </w:t>
      </w:r>
      <w:proofErr w:type="spellStart"/>
      <w:r w:rsidRPr="00A4347B">
        <w:rPr>
          <w:sz w:val="20"/>
          <w:szCs w:val="20"/>
        </w:rPr>
        <w:t>excretor</w:t>
      </w:r>
      <w:proofErr w:type="spellEnd"/>
      <w:r w:rsidRPr="00A4347B">
        <w:rPr>
          <w:sz w:val="20"/>
          <w:szCs w:val="20"/>
        </w:rPr>
        <w:t xml:space="preserve"> by </w:t>
      </w:r>
      <w:proofErr w:type="spellStart"/>
      <w:r w:rsidRPr="00A4347B">
        <w:rPr>
          <w:sz w:val="20"/>
          <w:szCs w:val="20"/>
        </w:rPr>
        <w:t>mOPV</w:t>
      </w:r>
      <w:proofErr w:type="spellEnd"/>
      <w:r w:rsidRPr="00A4347B">
        <w:rPr>
          <w:sz w:val="20"/>
          <w:szCs w:val="20"/>
        </w:rPr>
        <w:t xml:space="preserve"> used for outbreak response) that result ultimately in over 50,000 polio cases since 2016   </w:t>
      </w:r>
    </w:p>
    <w:p w:rsidR="001E737C" w:rsidRPr="00A4347B" w:rsidRDefault="001E737C" w:rsidP="001E737C">
      <w:pPr>
        <w:rPr>
          <w:sz w:val="20"/>
          <w:szCs w:val="20"/>
        </w:rPr>
      </w:pPr>
      <w:proofErr w:type="gramStart"/>
      <w:r w:rsidRPr="00A4347B">
        <w:rPr>
          <w:sz w:val="20"/>
          <w:szCs w:val="20"/>
          <w:vertAlign w:val="superscript"/>
        </w:rPr>
        <w:t>b</w:t>
      </w:r>
      <w:proofErr w:type="gramEnd"/>
      <w:r w:rsidRPr="00A4347B">
        <w:rPr>
          <w:sz w:val="20"/>
          <w:szCs w:val="20"/>
          <w:vertAlign w:val="superscript"/>
        </w:rPr>
        <w:t xml:space="preserve"> </w:t>
      </w:r>
      <w:r w:rsidRPr="00A4347B">
        <w:rPr>
          <w:sz w:val="20"/>
          <w:szCs w:val="20"/>
        </w:rPr>
        <w:t xml:space="preserve">We define a secondary triggering event as an extra-block outbreak-related or </w:t>
      </w:r>
      <w:proofErr w:type="spellStart"/>
      <w:r w:rsidRPr="00A4347B">
        <w:rPr>
          <w:sz w:val="20"/>
          <w:szCs w:val="20"/>
        </w:rPr>
        <w:t>mOPV</w:t>
      </w:r>
      <w:proofErr w:type="spellEnd"/>
      <w:r w:rsidRPr="00A4347B">
        <w:rPr>
          <w:sz w:val="20"/>
          <w:szCs w:val="20"/>
        </w:rPr>
        <w:t xml:space="preserve">-related virus exportation or poliovirus reintroduction from a newly infected </w:t>
      </w:r>
      <w:proofErr w:type="spellStart"/>
      <w:r w:rsidRPr="00A4347B">
        <w:rPr>
          <w:sz w:val="20"/>
          <w:szCs w:val="20"/>
        </w:rPr>
        <w:t>iVDPV</w:t>
      </w:r>
      <w:proofErr w:type="spellEnd"/>
      <w:r w:rsidRPr="00A4347B">
        <w:rPr>
          <w:sz w:val="20"/>
          <w:szCs w:val="20"/>
        </w:rPr>
        <w:t xml:space="preserve"> </w:t>
      </w:r>
      <w:proofErr w:type="spellStart"/>
      <w:r w:rsidRPr="00A4347B">
        <w:rPr>
          <w:sz w:val="20"/>
          <w:szCs w:val="20"/>
        </w:rPr>
        <w:t>excretor</w:t>
      </w:r>
      <w:proofErr w:type="spellEnd"/>
      <w:r w:rsidRPr="00A4347B">
        <w:rPr>
          <w:sz w:val="20"/>
          <w:szCs w:val="20"/>
        </w:rPr>
        <w:t xml:space="preserve"> by </w:t>
      </w:r>
      <w:proofErr w:type="spellStart"/>
      <w:r w:rsidRPr="00A4347B">
        <w:rPr>
          <w:sz w:val="20"/>
          <w:szCs w:val="20"/>
        </w:rPr>
        <w:t>mOPV</w:t>
      </w:r>
      <w:proofErr w:type="spellEnd"/>
      <w:r w:rsidRPr="00A4347B">
        <w:rPr>
          <w:sz w:val="20"/>
          <w:szCs w:val="20"/>
        </w:rPr>
        <w:t xml:space="preserve"> used for outbreak response, without which transmission would have stopped globally </w:t>
      </w:r>
    </w:p>
    <w:p w:rsidR="001E737C" w:rsidRDefault="001E737C" w:rsidP="001E737C">
      <w:pPr>
        <w:rPr>
          <w:lang w:eastAsia="ko-KR"/>
        </w:rPr>
      </w:pPr>
      <w:proofErr w:type="gramStart"/>
      <w:r w:rsidRPr="00A4347B">
        <w:rPr>
          <w:sz w:val="20"/>
          <w:szCs w:val="20"/>
          <w:vertAlign w:val="superscript"/>
        </w:rPr>
        <w:t>c</w:t>
      </w:r>
      <w:proofErr w:type="gramEnd"/>
      <w:r w:rsidRPr="00A4347B">
        <w:rPr>
          <w:sz w:val="20"/>
          <w:szCs w:val="20"/>
        </w:rPr>
        <w:t xml:space="preserve"> Defined as an effective importation into a subpopulation of a different blocks than the exporting subpopulation</w:t>
      </w:r>
    </w:p>
    <w:p w:rsidR="001E737C" w:rsidRDefault="001E737C" w:rsidP="001E737C">
      <w:pPr>
        <w:spacing w:after="200" w:line="276" w:lineRule="auto"/>
        <w:rPr>
          <w:b/>
        </w:rPr>
      </w:pPr>
      <w:r>
        <w:rPr>
          <w:b/>
        </w:rPr>
        <w:br w:type="page"/>
      </w:r>
    </w:p>
    <w:p w:rsidR="001E737C" w:rsidRDefault="001E737C" w:rsidP="001E737C">
      <w:pPr>
        <w:rPr>
          <w:b/>
        </w:rPr>
      </w:pPr>
      <w:r>
        <w:rPr>
          <w:b/>
        </w:rPr>
        <w:lastRenderedPageBreak/>
        <w:t>Figure S1: Probability distribution functions of the time until the last immunodeficiency-associated vaccine-derived poliovirus (</w:t>
      </w:r>
      <w:proofErr w:type="spellStart"/>
      <w:r>
        <w:rPr>
          <w:b/>
        </w:rPr>
        <w:t>iVDPV</w:t>
      </w:r>
      <w:proofErr w:type="spellEnd"/>
      <w:r>
        <w:rPr>
          <w:b/>
        </w:rPr>
        <w:t xml:space="preserve">) </w:t>
      </w:r>
      <w:proofErr w:type="spellStart"/>
      <w:r>
        <w:rPr>
          <w:b/>
        </w:rPr>
        <w:t>excretor</w:t>
      </w:r>
      <w:proofErr w:type="spellEnd"/>
      <w:r>
        <w:rPr>
          <w:b/>
        </w:rPr>
        <w:t xml:space="preserve"> stops excreting </w:t>
      </w:r>
      <w:r w:rsidRPr="00B2392A">
        <w:rPr>
          <w:b/>
        </w:rPr>
        <w:t>by income level</w:t>
      </w:r>
      <w:r>
        <w:rPr>
          <w:b/>
        </w:rPr>
        <w:t>, with or without the discrete-event simulation (DES) model input uncertainty specified in Table A1.</w:t>
      </w:r>
    </w:p>
    <w:p w:rsidR="001E737C" w:rsidRDefault="001E737C" w:rsidP="001E737C">
      <w:pPr>
        <w:rPr>
          <w:b/>
        </w:rPr>
      </w:pPr>
      <w:r>
        <w:rPr>
          <w:b/>
        </w:rPr>
        <w:t>(a) DES model inputs at their base case values</w:t>
      </w:r>
    </w:p>
    <w:p w:rsidR="001E737C" w:rsidRDefault="001E737C" w:rsidP="001E737C">
      <w:pPr>
        <w:rPr>
          <w:b/>
        </w:rPr>
      </w:pPr>
      <w:r>
        <w:rPr>
          <w:b/>
          <w:noProof/>
        </w:rPr>
        <w:drawing>
          <wp:inline distT="0" distB="0" distL="0" distR="0" wp14:anchorId="2899743D" wp14:editId="220D2380">
            <wp:extent cx="4572000" cy="3319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3319649"/>
                    </a:xfrm>
                    <a:prstGeom prst="rect">
                      <a:avLst/>
                    </a:prstGeom>
                    <a:noFill/>
                  </pic:spPr>
                </pic:pic>
              </a:graphicData>
            </a:graphic>
          </wp:inline>
        </w:drawing>
      </w:r>
    </w:p>
    <w:p w:rsidR="001E737C" w:rsidRDefault="001E737C" w:rsidP="001E737C">
      <w:pPr>
        <w:rPr>
          <w:b/>
        </w:rPr>
      </w:pPr>
      <w:r>
        <w:rPr>
          <w:b/>
        </w:rPr>
        <w:t xml:space="preserve">(b) DES model input uncertainty included </w:t>
      </w:r>
    </w:p>
    <w:p w:rsidR="001E737C" w:rsidRDefault="001E737C" w:rsidP="001E737C">
      <w:pPr>
        <w:rPr>
          <w:b/>
        </w:rPr>
      </w:pPr>
      <w:r>
        <w:rPr>
          <w:b/>
          <w:noProof/>
        </w:rPr>
        <w:drawing>
          <wp:inline distT="0" distB="0" distL="0" distR="0" wp14:anchorId="0AF529BC" wp14:editId="7A4EC3F2">
            <wp:extent cx="4572000" cy="3319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3319649"/>
                    </a:xfrm>
                    <a:prstGeom prst="rect">
                      <a:avLst/>
                    </a:prstGeom>
                    <a:noFill/>
                  </pic:spPr>
                </pic:pic>
              </a:graphicData>
            </a:graphic>
          </wp:inline>
        </w:drawing>
      </w:r>
    </w:p>
    <w:p w:rsidR="001E737C" w:rsidRDefault="001E737C" w:rsidP="001E737C">
      <w:pPr>
        <w:rPr>
          <w:lang w:eastAsia="ko-KR"/>
        </w:rPr>
      </w:pPr>
    </w:p>
    <w:p w:rsidR="005146CC" w:rsidRDefault="005146CC"/>
    <w:p w:rsidR="005146CC" w:rsidRDefault="005146CC"/>
    <w:p w:rsidR="005146CC" w:rsidRPr="005146CC" w:rsidRDefault="005146CC" w:rsidP="005146CC">
      <w:pPr>
        <w:rPr>
          <w:b/>
        </w:rPr>
      </w:pPr>
      <w:r w:rsidRPr="005146CC">
        <w:rPr>
          <w:b/>
        </w:rPr>
        <w:lastRenderedPageBreak/>
        <w:t>REFERENCES</w:t>
      </w:r>
    </w:p>
    <w:p w:rsidR="005146CC" w:rsidRDefault="005146CC" w:rsidP="005146CC"/>
    <w:p w:rsidR="005146CC" w:rsidRPr="005146CC" w:rsidRDefault="005146CC" w:rsidP="005146CC">
      <w:pPr>
        <w:rPr>
          <w:noProof/>
        </w:rPr>
      </w:pPr>
      <w:r>
        <w:fldChar w:fldCharType="begin"/>
      </w:r>
      <w:r w:rsidRPr="005146CC">
        <w:instrText xml:space="preserve"> ADDIN EN.REFLIST </w:instrText>
      </w:r>
      <w:r>
        <w:fldChar w:fldCharType="separate"/>
      </w:r>
      <w:bookmarkStart w:id="1" w:name="_ENREF_1"/>
      <w:r w:rsidRPr="005146CC">
        <w:rPr>
          <w:noProof/>
        </w:rPr>
        <w:t>1.</w:t>
      </w:r>
      <w:r w:rsidRPr="005146CC">
        <w:rPr>
          <w:noProof/>
        </w:rPr>
        <w:tab/>
      </w:r>
      <w:r w:rsidRPr="005146CC">
        <w:rPr>
          <w:b/>
          <w:noProof/>
        </w:rPr>
        <w:t>Duintjer Tebbens RJ, Pallansch MA, Thompson KM.</w:t>
      </w:r>
      <w:r w:rsidRPr="005146CC">
        <w:rPr>
          <w:noProof/>
        </w:rPr>
        <w:t xml:space="preserve"> Modeling the prevalence of immunodeficiency-associated long-term vaccine-derived poliovirus excretors and the potential benefits of antiviral drugs. </w:t>
      </w:r>
      <w:r w:rsidRPr="005146CC">
        <w:rPr>
          <w:i/>
          <w:noProof/>
        </w:rPr>
        <w:t>BMC Infectious Diseases</w:t>
      </w:r>
      <w:r w:rsidRPr="005146CC">
        <w:rPr>
          <w:noProof/>
        </w:rPr>
        <w:t xml:space="preserve"> 2015;</w:t>
      </w:r>
      <w:r w:rsidRPr="005146CC">
        <w:rPr>
          <w:b/>
          <w:noProof/>
        </w:rPr>
        <w:t xml:space="preserve"> 15</w:t>
      </w:r>
      <w:r w:rsidRPr="005146CC">
        <w:rPr>
          <w:noProof/>
        </w:rPr>
        <w:t>: 379.</w:t>
      </w:r>
      <w:bookmarkEnd w:id="1"/>
    </w:p>
    <w:p w:rsidR="005146CC" w:rsidRPr="005146CC" w:rsidRDefault="005146CC" w:rsidP="005146CC">
      <w:pPr>
        <w:rPr>
          <w:noProof/>
        </w:rPr>
      </w:pPr>
      <w:bookmarkStart w:id="2" w:name="_ENREF_2"/>
      <w:r w:rsidRPr="005146CC">
        <w:rPr>
          <w:noProof/>
        </w:rPr>
        <w:t>2.</w:t>
      </w:r>
      <w:r w:rsidRPr="005146CC">
        <w:rPr>
          <w:noProof/>
        </w:rPr>
        <w:tab/>
      </w:r>
      <w:r w:rsidRPr="005146CC">
        <w:rPr>
          <w:b/>
          <w:noProof/>
        </w:rPr>
        <w:t>Duintjer Tebbens RJ, et al.</w:t>
      </w:r>
      <w:r w:rsidRPr="005146CC">
        <w:rPr>
          <w:noProof/>
        </w:rPr>
        <w:t xml:space="preserve"> An economic analysis of poliovirus risk management policy options for 2013-2052. </w:t>
      </w:r>
      <w:r w:rsidRPr="005146CC">
        <w:rPr>
          <w:i/>
          <w:noProof/>
        </w:rPr>
        <w:t>BMC Infectious Diseases</w:t>
      </w:r>
      <w:r w:rsidRPr="005146CC">
        <w:rPr>
          <w:noProof/>
        </w:rPr>
        <w:t xml:space="preserve"> 2015;</w:t>
      </w:r>
      <w:r w:rsidRPr="005146CC">
        <w:rPr>
          <w:b/>
          <w:noProof/>
        </w:rPr>
        <w:t xml:space="preserve"> 15</w:t>
      </w:r>
      <w:r w:rsidRPr="005146CC">
        <w:rPr>
          <w:noProof/>
        </w:rPr>
        <w:t>: 389.</w:t>
      </w:r>
      <w:bookmarkEnd w:id="2"/>
    </w:p>
    <w:p w:rsidR="005146CC" w:rsidRPr="005146CC" w:rsidRDefault="005146CC" w:rsidP="005146CC">
      <w:pPr>
        <w:rPr>
          <w:noProof/>
        </w:rPr>
      </w:pPr>
      <w:bookmarkStart w:id="3" w:name="_ENREF_3"/>
      <w:r w:rsidRPr="005146CC">
        <w:rPr>
          <w:noProof/>
        </w:rPr>
        <w:t>3.</w:t>
      </w:r>
      <w:r w:rsidRPr="005146CC">
        <w:rPr>
          <w:noProof/>
        </w:rPr>
        <w:tab/>
      </w:r>
      <w:r w:rsidRPr="005146CC">
        <w:rPr>
          <w:b/>
          <w:noProof/>
        </w:rPr>
        <w:t>Duintjer Tebbens RJ, Thompson KM.</w:t>
      </w:r>
      <w:r w:rsidRPr="005146CC">
        <w:rPr>
          <w:noProof/>
        </w:rPr>
        <w:t xml:space="preserve"> Uncertainty and sensitivity analysis of cost assumptions for global long-term poliovirus risk management (in press). </w:t>
      </w:r>
      <w:r w:rsidRPr="005146CC">
        <w:rPr>
          <w:i/>
          <w:noProof/>
        </w:rPr>
        <w:t>Journal of Vaccines and Vaccination</w:t>
      </w:r>
      <w:r w:rsidRPr="005146CC">
        <w:rPr>
          <w:noProof/>
        </w:rPr>
        <w:t xml:space="preserve"> 2016.</w:t>
      </w:r>
      <w:bookmarkEnd w:id="3"/>
    </w:p>
    <w:p w:rsidR="005146CC" w:rsidRPr="005146CC" w:rsidRDefault="005146CC" w:rsidP="005146CC">
      <w:pPr>
        <w:rPr>
          <w:noProof/>
        </w:rPr>
      </w:pPr>
      <w:bookmarkStart w:id="4" w:name="_ENREF_4"/>
      <w:r w:rsidRPr="005146CC">
        <w:rPr>
          <w:noProof/>
        </w:rPr>
        <w:t>4.</w:t>
      </w:r>
      <w:r w:rsidRPr="005146CC">
        <w:rPr>
          <w:noProof/>
        </w:rPr>
        <w:tab/>
      </w:r>
      <w:r w:rsidRPr="005146CC">
        <w:rPr>
          <w:b/>
          <w:noProof/>
        </w:rPr>
        <w:t>Soranzo A, Epure E.</w:t>
      </w:r>
      <w:r w:rsidRPr="005146CC">
        <w:rPr>
          <w:noProof/>
        </w:rPr>
        <w:t xml:space="preserve"> Very simply explicitly invertible approximations of normal cumulative and normal quantile function. </w:t>
      </w:r>
      <w:r w:rsidRPr="005146CC">
        <w:rPr>
          <w:i/>
          <w:noProof/>
        </w:rPr>
        <w:t>Applied Mathematical Sciences</w:t>
      </w:r>
      <w:r w:rsidRPr="005146CC">
        <w:rPr>
          <w:noProof/>
        </w:rPr>
        <w:t xml:space="preserve"> 2014;</w:t>
      </w:r>
      <w:r w:rsidRPr="005146CC">
        <w:rPr>
          <w:b/>
          <w:noProof/>
        </w:rPr>
        <w:t xml:space="preserve"> 8</w:t>
      </w:r>
      <w:r w:rsidRPr="005146CC">
        <w:rPr>
          <w:noProof/>
        </w:rPr>
        <w:t>: 4323-4341.</w:t>
      </w:r>
      <w:bookmarkEnd w:id="4"/>
    </w:p>
    <w:p w:rsidR="005146CC" w:rsidRPr="005146CC" w:rsidRDefault="005146CC" w:rsidP="005146CC">
      <w:pPr>
        <w:rPr>
          <w:noProof/>
        </w:rPr>
      </w:pPr>
      <w:bookmarkStart w:id="5" w:name="_ENREF_5"/>
      <w:r w:rsidRPr="005146CC">
        <w:rPr>
          <w:noProof/>
        </w:rPr>
        <w:t>5.</w:t>
      </w:r>
      <w:r w:rsidRPr="005146CC">
        <w:rPr>
          <w:noProof/>
        </w:rPr>
        <w:tab/>
      </w:r>
      <w:r w:rsidRPr="005146CC">
        <w:rPr>
          <w:b/>
          <w:noProof/>
        </w:rPr>
        <w:t>Duintjer Tebbens RJ, et al.</w:t>
      </w:r>
      <w:r w:rsidRPr="005146CC">
        <w:rPr>
          <w:noProof/>
        </w:rPr>
        <w:t xml:space="preserve"> Uncertainty and sensitivity analyses of a dynamic economic evaluation model for vaccination programs. </w:t>
      </w:r>
      <w:r w:rsidRPr="005146CC">
        <w:rPr>
          <w:i/>
          <w:noProof/>
        </w:rPr>
        <w:t>Medical Decision Making</w:t>
      </w:r>
      <w:r w:rsidRPr="005146CC">
        <w:rPr>
          <w:noProof/>
        </w:rPr>
        <w:t xml:space="preserve"> 2008;</w:t>
      </w:r>
      <w:r w:rsidRPr="005146CC">
        <w:rPr>
          <w:b/>
          <w:noProof/>
        </w:rPr>
        <w:t xml:space="preserve"> 28</w:t>
      </w:r>
      <w:r w:rsidRPr="005146CC">
        <w:rPr>
          <w:noProof/>
        </w:rPr>
        <w:t>: 182-200.</w:t>
      </w:r>
      <w:bookmarkEnd w:id="5"/>
    </w:p>
    <w:p w:rsidR="005146CC" w:rsidRPr="005146CC" w:rsidRDefault="005146CC" w:rsidP="005146CC">
      <w:pPr>
        <w:rPr>
          <w:noProof/>
        </w:rPr>
      </w:pPr>
      <w:bookmarkStart w:id="6" w:name="_ENREF_6"/>
      <w:r w:rsidRPr="005146CC">
        <w:rPr>
          <w:noProof/>
        </w:rPr>
        <w:t>6.</w:t>
      </w:r>
      <w:r w:rsidRPr="005146CC">
        <w:rPr>
          <w:noProof/>
        </w:rPr>
        <w:tab/>
      </w:r>
      <w:r w:rsidRPr="005146CC">
        <w:rPr>
          <w:b/>
          <w:noProof/>
        </w:rPr>
        <w:t>Duintjer Tebbens RJ, et al.</w:t>
      </w:r>
      <w:r w:rsidRPr="005146CC">
        <w:rPr>
          <w:noProof/>
        </w:rPr>
        <w:t xml:space="preserve"> Uncertainty and sensitivity analyses of a decision analytic model for post-eradication polio risk management. </w:t>
      </w:r>
      <w:r w:rsidRPr="005146CC">
        <w:rPr>
          <w:i/>
          <w:noProof/>
        </w:rPr>
        <w:t>Risk Analysis</w:t>
      </w:r>
      <w:r w:rsidRPr="005146CC">
        <w:rPr>
          <w:noProof/>
        </w:rPr>
        <w:t xml:space="preserve"> 2008;</w:t>
      </w:r>
      <w:r w:rsidRPr="005146CC">
        <w:rPr>
          <w:b/>
          <w:noProof/>
        </w:rPr>
        <w:t xml:space="preserve"> 28</w:t>
      </w:r>
      <w:r w:rsidRPr="005146CC">
        <w:rPr>
          <w:noProof/>
        </w:rPr>
        <w:t>: 855-876.</w:t>
      </w:r>
      <w:bookmarkEnd w:id="6"/>
    </w:p>
    <w:p w:rsidR="005146CC" w:rsidRPr="005146CC" w:rsidRDefault="005146CC" w:rsidP="005146CC">
      <w:pPr>
        <w:rPr>
          <w:noProof/>
        </w:rPr>
      </w:pPr>
      <w:bookmarkStart w:id="7" w:name="_ENREF_7"/>
      <w:r w:rsidRPr="005146CC">
        <w:rPr>
          <w:noProof/>
        </w:rPr>
        <w:t>7.</w:t>
      </w:r>
      <w:r w:rsidRPr="005146CC">
        <w:rPr>
          <w:noProof/>
        </w:rPr>
        <w:tab/>
      </w:r>
      <w:r w:rsidRPr="005146CC">
        <w:rPr>
          <w:b/>
          <w:noProof/>
        </w:rPr>
        <w:t>Duintjer Tebbens RJ, et al.</w:t>
      </w:r>
      <w:r w:rsidRPr="005146CC">
        <w:rPr>
          <w:noProof/>
        </w:rPr>
        <w:t xml:space="preserve"> Characterizing poliovirus transmission and evolution: Insights from modeling experiences with wild and vaccine-related polioviruses. </w:t>
      </w:r>
      <w:r w:rsidRPr="005146CC">
        <w:rPr>
          <w:i/>
          <w:noProof/>
        </w:rPr>
        <w:t>Risk Analysis</w:t>
      </w:r>
      <w:r w:rsidRPr="005146CC">
        <w:rPr>
          <w:noProof/>
        </w:rPr>
        <w:t xml:space="preserve"> 2013;</w:t>
      </w:r>
      <w:r w:rsidRPr="005146CC">
        <w:rPr>
          <w:b/>
          <w:noProof/>
        </w:rPr>
        <w:t xml:space="preserve"> 23</w:t>
      </w:r>
      <w:r w:rsidRPr="005146CC">
        <w:rPr>
          <w:noProof/>
        </w:rPr>
        <w:t>: 703-749.</w:t>
      </w:r>
      <w:bookmarkEnd w:id="7"/>
    </w:p>
    <w:p w:rsidR="005146CC" w:rsidRPr="005146CC" w:rsidRDefault="005146CC" w:rsidP="005146CC">
      <w:pPr>
        <w:rPr>
          <w:noProof/>
          <w:lang w:val="nl-NL"/>
        </w:rPr>
      </w:pPr>
      <w:bookmarkStart w:id="8" w:name="_ENREF_8"/>
      <w:r w:rsidRPr="005146CC">
        <w:rPr>
          <w:noProof/>
        </w:rPr>
        <w:t>8.</w:t>
      </w:r>
      <w:r w:rsidRPr="005146CC">
        <w:rPr>
          <w:noProof/>
        </w:rPr>
        <w:tab/>
      </w:r>
      <w:r w:rsidRPr="005146CC">
        <w:rPr>
          <w:b/>
          <w:noProof/>
        </w:rPr>
        <w:t>Duintjer Tebbens RJ, Thompson KM.</w:t>
      </w:r>
      <w:r w:rsidRPr="005146CC">
        <w:rPr>
          <w:noProof/>
        </w:rPr>
        <w:t xml:space="preserve"> Managing the risk of circulating vaccine-derived poliovirus during the endgame: Oral poliovirus vaccine needs. </w:t>
      </w:r>
      <w:r w:rsidRPr="005146CC">
        <w:rPr>
          <w:i/>
          <w:noProof/>
          <w:lang w:val="nl-NL"/>
        </w:rPr>
        <w:t>BMC Infectious Diseases</w:t>
      </w:r>
      <w:r w:rsidRPr="005146CC">
        <w:rPr>
          <w:noProof/>
          <w:lang w:val="nl-NL"/>
        </w:rPr>
        <w:t xml:space="preserve"> 2015;</w:t>
      </w:r>
      <w:r w:rsidRPr="005146CC">
        <w:rPr>
          <w:b/>
          <w:noProof/>
          <w:lang w:val="nl-NL"/>
        </w:rPr>
        <w:t xml:space="preserve"> 15</w:t>
      </w:r>
      <w:r w:rsidRPr="005146CC">
        <w:rPr>
          <w:noProof/>
          <w:lang w:val="nl-NL"/>
        </w:rPr>
        <w:t>: 390.</w:t>
      </w:r>
      <w:bookmarkEnd w:id="8"/>
    </w:p>
    <w:p w:rsidR="005146CC" w:rsidRDefault="005146CC" w:rsidP="005146CC">
      <w:pPr>
        <w:rPr>
          <w:noProof/>
          <w:lang w:val="nl-NL"/>
        </w:rPr>
      </w:pPr>
    </w:p>
    <w:p w:rsidR="007535BA" w:rsidRDefault="005146CC">
      <w:r>
        <w:fldChar w:fldCharType="end"/>
      </w:r>
    </w:p>
    <w:sectPr w:rsidR="0075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06EEE"/>
    <w:multiLevelType w:val="hybridMultilevel"/>
    <w:tmpl w:val="4F2CA084"/>
    <w:lvl w:ilvl="0" w:tplc="65084AE2">
      <w:start w:val="203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w15:presenceInfo w15:providerId="None" w15:userId="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pidemiology Infection Custo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2xwf9f6tzsp8exae95vzepfaftffpad5ws&quot;&gt;Rads references&lt;record-ids&gt;&lt;item&gt;488&lt;/item&gt;&lt;item&gt;656&lt;/item&gt;&lt;item&gt;1762&lt;/item&gt;&lt;item&gt;1940&lt;/item&gt;&lt;item&gt;1964&lt;/item&gt;&lt;item&gt;1967&lt;/item&gt;&lt;item&gt;2061&lt;/item&gt;&lt;item&gt;2068&lt;/item&gt;&lt;/record-ids&gt;&lt;/item&gt;&lt;/Libraries&gt;"/>
  </w:docVars>
  <w:rsids>
    <w:rsidRoot w:val="001E737C"/>
    <w:rsid w:val="001E4590"/>
    <w:rsid w:val="001E737C"/>
    <w:rsid w:val="005146CC"/>
    <w:rsid w:val="00614F50"/>
    <w:rsid w:val="007535BA"/>
    <w:rsid w:val="00AA5ABB"/>
    <w:rsid w:val="00BE0EA7"/>
    <w:rsid w:val="00C03523"/>
    <w:rsid w:val="00C326C1"/>
    <w:rsid w:val="00CB27B1"/>
    <w:rsid w:val="00DD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7C"/>
    <w:pPr>
      <w:spacing w:after="0" w:line="240"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37C"/>
    <w:pPr>
      <w:spacing w:after="200" w:line="276" w:lineRule="auto"/>
      <w:ind w:left="720"/>
      <w:contextualSpacing/>
    </w:pPr>
    <w:rPr>
      <w:rFonts w:eastAsiaTheme="minorEastAsia"/>
    </w:rPr>
  </w:style>
  <w:style w:type="table" w:styleId="TableGrid">
    <w:name w:val="Table Grid"/>
    <w:basedOn w:val="TableNormal"/>
    <w:uiPriority w:val="59"/>
    <w:rsid w:val="001E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37C"/>
    <w:rPr>
      <w:rFonts w:ascii="Tahoma" w:hAnsi="Tahoma" w:cs="Tahoma"/>
      <w:sz w:val="16"/>
      <w:szCs w:val="16"/>
    </w:rPr>
  </w:style>
  <w:style w:type="character" w:customStyle="1" w:styleId="BalloonTextChar">
    <w:name w:val="Balloon Text Char"/>
    <w:basedOn w:val="DefaultParagraphFont"/>
    <w:link w:val="BalloonText"/>
    <w:uiPriority w:val="99"/>
    <w:semiHidden/>
    <w:rsid w:val="001E737C"/>
    <w:rPr>
      <w:rFonts w:ascii="Tahoma" w:eastAsia="MS Mincho" w:hAnsi="Tahoma" w:cs="Tahoma"/>
      <w:sz w:val="16"/>
      <w:szCs w:val="16"/>
    </w:rPr>
  </w:style>
  <w:style w:type="character" w:styleId="Hyperlink">
    <w:name w:val="Hyperlink"/>
    <w:basedOn w:val="DefaultParagraphFont"/>
    <w:uiPriority w:val="99"/>
    <w:unhideWhenUsed/>
    <w:rsid w:val="00514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7C"/>
    <w:pPr>
      <w:spacing w:after="0" w:line="240"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37C"/>
    <w:pPr>
      <w:spacing w:after="200" w:line="276" w:lineRule="auto"/>
      <w:ind w:left="720"/>
      <w:contextualSpacing/>
    </w:pPr>
    <w:rPr>
      <w:rFonts w:eastAsiaTheme="minorEastAsia"/>
    </w:rPr>
  </w:style>
  <w:style w:type="table" w:styleId="TableGrid">
    <w:name w:val="Table Grid"/>
    <w:basedOn w:val="TableNormal"/>
    <w:uiPriority w:val="59"/>
    <w:rsid w:val="001E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37C"/>
    <w:rPr>
      <w:rFonts w:ascii="Tahoma" w:hAnsi="Tahoma" w:cs="Tahoma"/>
      <w:sz w:val="16"/>
      <w:szCs w:val="16"/>
    </w:rPr>
  </w:style>
  <w:style w:type="character" w:customStyle="1" w:styleId="BalloonTextChar">
    <w:name w:val="Balloon Text Char"/>
    <w:basedOn w:val="DefaultParagraphFont"/>
    <w:link w:val="BalloonText"/>
    <w:uiPriority w:val="99"/>
    <w:semiHidden/>
    <w:rsid w:val="001E737C"/>
    <w:rPr>
      <w:rFonts w:ascii="Tahoma" w:eastAsia="MS Mincho" w:hAnsi="Tahoma" w:cs="Tahoma"/>
      <w:sz w:val="16"/>
      <w:szCs w:val="16"/>
    </w:rPr>
  </w:style>
  <w:style w:type="character" w:styleId="Hyperlink">
    <w:name w:val="Hyperlink"/>
    <w:basedOn w:val="DefaultParagraphFont"/>
    <w:uiPriority w:val="99"/>
    <w:unhideWhenUsed/>
    <w:rsid w:val="00514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4748</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Radboud Duintjer Tebbens</dc:creator>
  <cp:lastModifiedBy>Radboud Duintjer Tebbens</cp:lastModifiedBy>
  <cp:revision>2</cp:revision>
  <dcterms:created xsi:type="dcterms:W3CDTF">2016-10-03T10:22:00Z</dcterms:created>
  <dcterms:modified xsi:type="dcterms:W3CDTF">2016-10-03T10:22:00Z</dcterms:modified>
</cp:coreProperties>
</file>