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F4" w:rsidRPr="0034272C" w:rsidRDefault="000401F4" w:rsidP="00173A2D">
      <w:pPr>
        <w:rPr>
          <w:i/>
        </w:rPr>
      </w:pPr>
      <w:r w:rsidRPr="0034272C">
        <w:rPr>
          <w:i/>
        </w:rPr>
        <w:t>Epidemiology and Infection</w:t>
      </w:r>
    </w:p>
    <w:p w:rsidR="000401F4" w:rsidRPr="00986959" w:rsidRDefault="000401F4" w:rsidP="006C55BD">
      <w:pPr>
        <w:pStyle w:val="Title1"/>
        <w:suppressAutoHyphens/>
        <w:spacing w:before="240" w:after="240" w:line="276" w:lineRule="auto"/>
        <w:rPr>
          <w:lang w:val="en-GB"/>
        </w:rPr>
      </w:pPr>
      <w:r w:rsidRPr="00986959">
        <w:rPr>
          <w:lang w:val="en-GB"/>
        </w:rPr>
        <w:t xml:space="preserve">Estimating health care costs </w:t>
      </w:r>
      <w:r>
        <w:rPr>
          <w:lang w:val="en-GB"/>
        </w:rPr>
        <w:t>of</w:t>
      </w:r>
      <w:r w:rsidRPr="00986959">
        <w:rPr>
          <w:lang w:val="en-GB"/>
        </w:rPr>
        <w:t xml:space="preserve"> acute gastroenteritis and human campylobacteriosis in Switzerland</w:t>
      </w:r>
    </w:p>
    <w:p w:rsidR="000401F4" w:rsidRPr="00C66819" w:rsidRDefault="000401F4" w:rsidP="00173A2D">
      <w:pPr>
        <w:pStyle w:val="author"/>
        <w:suppressAutoHyphens/>
        <w:spacing w:line="480" w:lineRule="auto"/>
        <w:rPr>
          <w:lang w:val="de-CH"/>
        </w:rPr>
      </w:pPr>
      <w:r w:rsidRPr="00C66819">
        <w:rPr>
          <w:lang w:val="de-CH"/>
        </w:rPr>
        <w:t>C. Schmutz, D. Mäusezahl, P.</w:t>
      </w:r>
      <w:r>
        <w:rPr>
          <w:lang w:val="de-CH"/>
        </w:rPr>
        <w:t> J.</w:t>
      </w:r>
      <w:r w:rsidRPr="00C66819">
        <w:rPr>
          <w:lang w:val="de-CH"/>
        </w:rPr>
        <w:t> </w:t>
      </w:r>
      <w:proofErr w:type="spellStart"/>
      <w:r w:rsidRPr="00C66819">
        <w:rPr>
          <w:lang w:val="de-CH"/>
        </w:rPr>
        <w:t>Bless</w:t>
      </w:r>
      <w:proofErr w:type="spellEnd"/>
      <w:r w:rsidRPr="00C66819">
        <w:rPr>
          <w:lang w:val="de-CH"/>
        </w:rPr>
        <w:t>, C. Hatz, M. </w:t>
      </w:r>
      <w:proofErr w:type="spellStart"/>
      <w:r w:rsidRPr="00C66819">
        <w:rPr>
          <w:lang w:val="de-CH"/>
        </w:rPr>
        <w:t>Schwenkglenks</w:t>
      </w:r>
      <w:proofErr w:type="spellEnd"/>
      <w:r w:rsidRPr="00C66819">
        <w:rPr>
          <w:lang w:val="de-CH"/>
        </w:rPr>
        <w:t>, D. </w:t>
      </w:r>
      <w:proofErr w:type="spellStart"/>
      <w:r w:rsidRPr="00C66819">
        <w:rPr>
          <w:lang w:val="de-CH"/>
        </w:rPr>
        <w:t>Urbinello</w:t>
      </w:r>
      <w:proofErr w:type="spellEnd"/>
    </w:p>
    <w:p w:rsidR="000401F4" w:rsidRDefault="000401F4" w:rsidP="00170760">
      <w:pPr>
        <w:pStyle w:val="heading1"/>
        <w:suppressAutoHyphens/>
        <w:spacing w:line="240" w:lineRule="auto"/>
        <w:rPr>
          <w:lang w:val="en-GB"/>
        </w:rPr>
      </w:pPr>
      <w:r w:rsidRPr="00173A2D">
        <w:rPr>
          <w:lang w:val="en-GB"/>
        </w:rPr>
        <w:t>Supplementary material</w:t>
      </w:r>
    </w:p>
    <w:p w:rsidR="000401F4" w:rsidRPr="00EF67E5" w:rsidRDefault="00CB484A" w:rsidP="00EF67E5">
      <w:pPr>
        <w:rPr>
          <w:lang w:eastAsia="de-DE"/>
        </w:rPr>
      </w:pPr>
      <w:r>
        <w:rPr>
          <w:lang w:eastAsia="de-DE"/>
        </w:rPr>
        <w:pict>
          <v:rect id="_x0000_i1025" style="width:0;height:1.5pt" o:hralign="center" o:hrstd="t" o:hr="t" fillcolor="#a0a0a0" stroked="f"/>
        </w:pict>
      </w:r>
    </w:p>
    <w:p w:rsidR="000401F4" w:rsidRPr="008807CB" w:rsidRDefault="000401F4" w:rsidP="00170760">
      <w:pPr>
        <w:suppressAutoHyphens/>
        <w:spacing w:before="120"/>
        <w:rPr>
          <w:b/>
          <w:iCs/>
          <w:sz w:val="28"/>
          <w:szCs w:val="28"/>
          <w:lang w:eastAsia="de-DE"/>
        </w:rPr>
      </w:pPr>
      <w:r w:rsidRPr="008807CB">
        <w:rPr>
          <w:b/>
          <w:iCs/>
          <w:sz w:val="28"/>
          <w:szCs w:val="28"/>
          <w:lang w:eastAsia="de-DE"/>
        </w:rPr>
        <w:t>“Swiss GP study”</w:t>
      </w:r>
    </w:p>
    <w:p w:rsidR="000401F4" w:rsidRPr="008065B1" w:rsidRDefault="000401F4" w:rsidP="006C55BD">
      <w:pPr>
        <w:suppressAutoHyphens/>
        <w:rPr>
          <w:b/>
          <w:iCs/>
          <w:lang w:eastAsia="de-DE"/>
        </w:rPr>
      </w:pPr>
      <w:r w:rsidRPr="008065B1">
        <w:rPr>
          <w:b/>
          <w:iCs/>
          <w:lang w:eastAsia="de-DE"/>
        </w:rPr>
        <w:t xml:space="preserve">Summary of a qualitative study among 69 general practitioners in Switzerland </w:t>
      </w:r>
      <w:r>
        <w:rPr>
          <w:b/>
          <w:iCs/>
          <w:lang w:eastAsia="de-DE"/>
        </w:rPr>
        <w:t>(</w:t>
      </w:r>
      <w:r w:rsidRPr="008065B1">
        <w:rPr>
          <w:b/>
          <w:iCs/>
          <w:lang w:eastAsia="de-DE"/>
        </w:rPr>
        <w:t>manuscript under review)</w:t>
      </w:r>
    </w:p>
    <w:p w:rsidR="000401F4" w:rsidRDefault="000401F4" w:rsidP="0041530F">
      <w:pPr>
        <w:suppressAutoHyphens/>
        <w:spacing w:after="0"/>
        <w:rPr>
          <w:b/>
          <w:iCs/>
          <w:lang w:eastAsia="de-DE"/>
        </w:rPr>
      </w:pPr>
      <w:r>
        <w:rPr>
          <w:b/>
          <w:iCs/>
          <w:lang w:eastAsia="de-DE"/>
        </w:rPr>
        <w:t>Introduction</w:t>
      </w:r>
    </w:p>
    <w:p w:rsidR="000401F4" w:rsidRDefault="000401F4" w:rsidP="0041530F">
      <w:pPr>
        <w:suppressAutoHyphens/>
        <w:rPr>
          <w:iCs/>
          <w:lang w:eastAsia="de-DE"/>
        </w:rPr>
      </w:pPr>
      <w:r>
        <w:rPr>
          <w:iCs/>
          <w:lang w:eastAsia="de-DE"/>
        </w:rPr>
        <w:t xml:space="preserve">In Switzerland, the number of campylobacteriosis cases reported to the National Notification System for Infectious Diseases (NNSID) is increasing </w:t>
      </w:r>
      <w:r>
        <w:rPr>
          <w:iCs/>
          <w:noProof/>
          <w:lang w:eastAsia="de-DE"/>
        </w:rPr>
        <w:t>[1]</w:t>
      </w:r>
      <w:r>
        <w:rPr>
          <w:iCs/>
          <w:lang w:eastAsia="de-DE"/>
        </w:rPr>
        <w:t>. Interpretation of these surveillance data is challenging as the patients’ health care seeking behaviour and the physicians’ diagnostic and treatment behaviour are unknown.</w:t>
      </w:r>
    </w:p>
    <w:p w:rsidR="000401F4" w:rsidRDefault="000401F4" w:rsidP="0034168B">
      <w:pPr>
        <w:suppressAutoHyphens/>
        <w:spacing w:after="0"/>
        <w:rPr>
          <w:b/>
          <w:iCs/>
          <w:lang w:eastAsia="de-DE"/>
        </w:rPr>
      </w:pPr>
      <w:r>
        <w:rPr>
          <w:b/>
          <w:iCs/>
          <w:lang w:eastAsia="de-DE"/>
        </w:rPr>
        <w:t>Methods</w:t>
      </w:r>
    </w:p>
    <w:p w:rsidR="000401F4" w:rsidRDefault="000401F4" w:rsidP="006C55BD">
      <w:pPr>
        <w:suppressAutoHyphens/>
        <w:rPr>
          <w:iCs/>
          <w:lang w:eastAsia="de-DE"/>
        </w:rPr>
      </w:pPr>
      <w:r>
        <w:rPr>
          <w:iCs/>
          <w:lang w:eastAsia="de-DE"/>
        </w:rPr>
        <w:t xml:space="preserve">In 2013, Swiss general practitioners were interviewed using a semi-structured questionnaire. They were asked about their perception of acute gastroenteritis and campylobacteriosis in daily practice and about their strategies in managing patients with these diseases (focussing on diagnostic and treatment approaches). Interviews were analysed using inductive content analysis. </w:t>
      </w:r>
    </w:p>
    <w:p w:rsidR="000401F4" w:rsidRDefault="000401F4" w:rsidP="0034168B">
      <w:pPr>
        <w:suppressAutoHyphens/>
        <w:spacing w:after="0"/>
        <w:rPr>
          <w:b/>
          <w:iCs/>
          <w:lang w:eastAsia="de-DE"/>
        </w:rPr>
      </w:pPr>
      <w:r>
        <w:rPr>
          <w:b/>
          <w:iCs/>
          <w:lang w:eastAsia="de-DE"/>
        </w:rPr>
        <w:t>Selected p</w:t>
      </w:r>
      <w:r w:rsidRPr="00486BA0">
        <w:rPr>
          <w:b/>
          <w:iCs/>
          <w:lang w:eastAsia="de-DE"/>
        </w:rPr>
        <w:t>reliminary results</w:t>
      </w:r>
    </w:p>
    <w:p w:rsidR="000401F4" w:rsidRDefault="000401F4" w:rsidP="006C55BD">
      <w:pPr>
        <w:suppressAutoHyphens/>
        <w:rPr>
          <w:iCs/>
          <w:lang w:eastAsia="de-DE"/>
        </w:rPr>
      </w:pPr>
      <w:r>
        <w:rPr>
          <w:iCs/>
          <w:lang w:eastAsia="de-DE"/>
        </w:rPr>
        <w:t xml:space="preserve">Physicians agreed that campylobacteriosis has been more frequent in recent years. </w:t>
      </w:r>
    </w:p>
    <w:p w:rsidR="000401F4" w:rsidRPr="002060FA" w:rsidRDefault="000401F4" w:rsidP="00486BA0">
      <w:pPr>
        <w:suppressAutoHyphens/>
        <w:ind w:left="567" w:right="567"/>
        <w:contextualSpacing/>
        <w:rPr>
          <w:iCs/>
          <w:sz w:val="20"/>
          <w:szCs w:val="20"/>
          <w:lang w:eastAsia="de-DE"/>
        </w:rPr>
      </w:pPr>
      <w:r w:rsidRPr="002060FA">
        <w:rPr>
          <w:iCs/>
          <w:sz w:val="20"/>
          <w:szCs w:val="20"/>
          <w:lang w:eastAsia="de-DE"/>
        </w:rPr>
        <w:t>Interviewer: “</w:t>
      </w:r>
      <w:r w:rsidRPr="002060FA">
        <w:rPr>
          <w:i/>
          <w:iCs/>
          <w:sz w:val="20"/>
          <w:szCs w:val="20"/>
          <w:lang w:eastAsia="de-DE"/>
        </w:rPr>
        <w:t>How do you experience diarrhoeal diseases, campylobacter in particular, among your patients? Is it a big problem?</w:t>
      </w:r>
      <w:r w:rsidRPr="002060FA">
        <w:rPr>
          <w:iCs/>
          <w:sz w:val="20"/>
          <w:szCs w:val="20"/>
          <w:lang w:eastAsia="de-DE"/>
        </w:rPr>
        <w:t>”</w:t>
      </w:r>
    </w:p>
    <w:p w:rsidR="000401F4" w:rsidRPr="0034168B" w:rsidRDefault="000401F4" w:rsidP="00486BA0">
      <w:pPr>
        <w:suppressAutoHyphens/>
        <w:ind w:left="567" w:right="567"/>
        <w:rPr>
          <w:iCs/>
          <w:sz w:val="20"/>
          <w:szCs w:val="20"/>
          <w:lang w:eastAsia="de-DE"/>
        </w:rPr>
      </w:pPr>
      <w:r w:rsidRPr="002060FA">
        <w:rPr>
          <w:iCs/>
          <w:sz w:val="20"/>
          <w:szCs w:val="20"/>
          <w:lang w:eastAsia="de-DE"/>
        </w:rPr>
        <w:t>Physician PH09: “</w:t>
      </w:r>
      <w:r w:rsidRPr="002060FA">
        <w:rPr>
          <w:i/>
          <w:iCs/>
          <w:sz w:val="20"/>
          <w:szCs w:val="20"/>
          <w:lang w:eastAsia="de-DE"/>
        </w:rPr>
        <w:t xml:space="preserve">Yes. I also observed that the number of cases [campylobacter] is increasing, especially around New Year, I have the impression, </w:t>
      </w:r>
      <w:proofErr w:type="gramStart"/>
      <w:r w:rsidRPr="002060FA">
        <w:rPr>
          <w:i/>
          <w:iCs/>
          <w:sz w:val="20"/>
          <w:szCs w:val="20"/>
          <w:lang w:eastAsia="de-DE"/>
        </w:rPr>
        <w:t>I</w:t>
      </w:r>
      <w:proofErr w:type="gramEnd"/>
      <w:r w:rsidRPr="002060FA">
        <w:rPr>
          <w:i/>
          <w:iCs/>
          <w:sz w:val="20"/>
          <w:szCs w:val="20"/>
          <w:lang w:eastAsia="de-DE"/>
        </w:rPr>
        <w:t xml:space="preserve"> had a few cases, but always sporadic ones.</w:t>
      </w:r>
      <w:r w:rsidRPr="002060FA">
        <w:rPr>
          <w:iCs/>
          <w:sz w:val="20"/>
          <w:szCs w:val="20"/>
          <w:lang w:eastAsia="de-DE"/>
        </w:rPr>
        <w:t>”</w:t>
      </w:r>
    </w:p>
    <w:p w:rsidR="000401F4" w:rsidRDefault="000401F4" w:rsidP="006C55BD">
      <w:pPr>
        <w:suppressAutoHyphens/>
        <w:rPr>
          <w:iCs/>
          <w:lang w:eastAsia="de-DE"/>
        </w:rPr>
      </w:pPr>
      <w:r>
        <w:rPr>
          <w:iCs/>
          <w:lang w:eastAsia="de-DE"/>
        </w:rPr>
        <w:t>Some physicians estimated how frequently they order stool testing in a patient with diarrhoea:</w:t>
      </w:r>
    </w:p>
    <w:p w:rsidR="000401F4" w:rsidRPr="0034168B" w:rsidRDefault="000401F4" w:rsidP="00FD3B22">
      <w:pPr>
        <w:suppressAutoHyphens/>
        <w:ind w:left="567" w:right="567"/>
        <w:contextualSpacing/>
        <w:rPr>
          <w:iCs/>
          <w:sz w:val="20"/>
          <w:szCs w:val="20"/>
          <w:lang w:eastAsia="de-DE"/>
        </w:rPr>
      </w:pPr>
      <w:r w:rsidRPr="0034168B">
        <w:rPr>
          <w:iCs/>
          <w:sz w:val="20"/>
          <w:szCs w:val="20"/>
          <w:lang w:eastAsia="de-DE"/>
        </w:rPr>
        <w:t>Interviewer: “</w:t>
      </w:r>
      <w:r>
        <w:rPr>
          <w:i/>
          <w:iCs/>
          <w:sz w:val="20"/>
          <w:szCs w:val="20"/>
          <w:lang w:eastAsia="de-DE"/>
        </w:rPr>
        <w:t xml:space="preserve">How many stool bacteriologies do you do… if you say among 10 patients with acute </w:t>
      </w:r>
      <w:proofErr w:type="gramStart"/>
      <w:r>
        <w:rPr>
          <w:i/>
          <w:iCs/>
          <w:sz w:val="20"/>
          <w:szCs w:val="20"/>
          <w:lang w:eastAsia="de-DE"/>
        </w:rPr>
        <w:t>diarrhoea</w:t>
      </w:r>
      <w:proofErr w:type="gramEnd"/>
      <w:r w:rsidRPr="0034168B">
        <w:rPr>
          <w:iCs/>
          <w:sz w:val="20"/>
          <w:szCs w:val="20"/>
          <w:lang w:eastAsia="de-DE"/>
        </w:rPr>
        <w:t>”</w:t>
      </w:r>
    </w:p>
    <w:p w:rsidR="000401F4" w:rsidRPr="0034168B" w:rsidRDefault="000401F4" w:rsidP="00FC7890">
      <w:pPr>
        <w:suppressAutoHyphens/>
        <w:ind w:left="567" w:right="567"/>
        <w:rPr>
          <w:iCs/>
          <w:sz w:val="20"/>
          <w:szCs w:val="20"/>
          <w:lang w:eastAsia="de-DE"/>
        </w:rPr>
      </w:pPr>
      <w:r w:rsidRPr="0034168B">
        <w:rPr>
          <w:iCs/>
          <w:sz w:val="20"/>
          <w:szCs w:val="20"/>
          <w:lang w:eastAsia="de-DE"/>
        </w:rPr>
        <w:t xml:space="preserve">Physician </w:t>
      </w:r>
      <w:r>
        <w:rPr>
          <w:iCs/>
          <w:sz w:val="20"/>
          <w:szCs w:val="20"/>
          <w:lang w:eastAsia="de-DE"/>
        </w:rPr>
        <w:t>PH22</w:t>
      </w:r>
      <w:r w:rsidRPr="0034168B">
        <w:rPr>
          <w:iCs/>
          <w:sz w:val="20"/>
          <w:szCs w:val="20"/>
          <w:lang w:eastAsia="de-DE"/>
        </w:rPr>
        <w:t>: “</w:t>
      </w:r>
      <w:r w:rsidRPr="00FD3B22">
        <w:rPr>
          <w:i/>
          <w:iCs/>
          <w:sz w:val="20"/>
          <w:szCs w:val="20"/>
          <w:lang w:eastAsia="de-DE"/>
        </w:rPr>
        <w:t>Well, I would think about one of them</w:t>
      </w:r>
      <w:r>
        <w:rPr>
          <w:i/>
          <w:iCs/>
          <w:sz w:val="20"/>
          <w:szCs w:val="20"/>
          <w:lang w:eastAsia="de-DE"/>
        </w:rPr>
        <w:t xml:space="preserve"> […]</w:t>
      </w:r>
      <w:r w:rsidRPr="00FD3B22">
        <w:rPr>
          <w:i/>
          <w:iCs/>
          <w:sz w:val="20"/>
          <w:szCs w:val="20"/>
          <w:lang w:eastAsia="de-DE"/>
        </w:rPr>
        <w:t>.</w:t>
      </w:r>
      <w:r w:rsidRPr="0034168B">
        <w:rPr>
          <w:iCs/>
          <w:sz w:val="20"/>
          <w:szCs w:val="20"/>
          <w:lang w:eastAsia="de-DE"/>
        </w:rPr>
        <w:t>”</w:t>
      </w:r>
    </w:p>
    <w:p w:rsidR="000401F4" w:rsidRPr="0034168B" w:rsidRDefault="000401F4" w:rsidP="002830BF">
      <w:pPr>
        <w:suppressAutoHyphens/>
        <w:ind w:left="567" w:right="567"/>
        <w:contextualSpacing/>
        <w:rPr>
          <w:iCs/>
          <w:sz w:val="20"/>
          <w:szCs w:val="20"/>
          <w:lang w:eastAsia="de-DE"/>
        </w:rPr>
      </w:pPr>
      <w:r w:rsidRPr="0034168B">
        <w:rPr>
          <w:iCs/>
          <w:sz w:val="20"/>
          <w:szCs w:val="20"/>
          <w:lang w:eastAsia="de-DE"/>
        </w:rPr>
        <w:t>Interviewer: “</w:t>
      </w:r>
      <w:r>
        <w:rPr>
          <w:i/>
          <w:iCs/>
          <w:sz w:val="20"/>
          <w:szCs w:val="20"/>
          <w:lang w:eastAsia="de-DE"/>
        </w:rPr>
        <w:t>If you estimate, roughly, how many patients do you test, out of 10?</w:t>
      </w:r>
      <w:r w:rsidRPr="0034168B">
        <w:rPr>
          <w:iCs/>
          <w:sz w:val="20"/>
          <w:szCs w:val="20"/>
          <w:lang w:eastAsia="de-DE"/>
        </w:rPr>
        <w:t>”</w:t>
      </w:r>
    </w:p>
    <w:p w:rsidR="000401F4" w:rsidRPr="0034168B" w:rsidRDefault="000401F4" w:rsidP="002830BF">
      <w:pPr>
        <w:suppressAutoHyphens/>
        <w:ind w:left="567" w:right="567"/>
        <w:rPr>
          <w:iCs/>
          <w:sz w:val="20"/>
          <w:szCs w:val="20"/>
          <w:lang w:eastAsia="de-DE"/>
        </w:rPr>
      </w:pPr>
      <w:r w:rsidRPr="0034168B">
        <w:rPr>
          <w:iCs/>
          <w:sz w:val="20"/>
          <w:szCs w:val="20"/>
          <w:lang w:eastAsia="de-DE"/>
        </w:rPr>
        <w:t xml:space="preserve">Physician </w:t>
      </w:r>
      <w:r>
        <w:rPr>
          <w:iCs/>
          <w:sz w:val="20"/>
          <w:szCs w:val="20"/>
          <w:lang w:eastAsia="de-DE"/>
        </w:rPr>
        <w:t>SF01</w:t>
      </w:r>
      <w:r w:rsidRPr="0034168B">
        <w:rPr>
          <w:iCs/>
          <w:sz w:val="20"/>
          <w:szCs w:val="20"/>
          <w:lang w:eastAsia="de-DE"/>
        </w:rPr>
        <w:t>: “</w:t>
      </w:r>
      <w:r>
        <w:rPr>
          <w:iCs/>
          <w:sz w:val="20"/>
          <w:szCs w:val="20"/>
          <w:lang w:eastAsia="de-DE"/>
        </w:rPr>
        <w:t>I think I test 3… 3-4.</w:t>
      </w:r>
      <w:r w:rsidRPr="0034168B">
        <w:rPr>
          <w:iCs/>
          <w:sz w:val="20"/>
          <w:szCs w:val="20"/>
          <w:lang w:eastAsia="de-DE"/>
        </w:rPr>
        <w:t>”</w:t>
      </w:r>
    </w:p>
    <w:p w:rsidR="000401F4" w:rsidRDefault="000401F4" w:rsidP="006C55BD">
      <w:pPr>
        <w:suppressAutoHyphens/>
        <w:rPr>
          <w:iCs/>
          <w:lang w:eastAsia="de-DE"/>
        </w:rPr>
      </w:pPr>
      <w:r>
        <w:rPr>
          <w:iCs/>
          <w:lang w:eastAsia="de-DE"/>
        </w:rPr>
        <w:t>On average, physicians estimated to order a stool diagnostic in around 1 in 4 patients presenting with acute diarrhoea.</w:t>
      </w:r>
    </w:p>
    <w:p w:rsidR="000401F4" w:rsidRDefault="000401F4" w:rsidP="00533FF7">
      <w:pPr>
        <w:rPr>
          <w:lang w:eastAsia="de-DE"/>
        </w:rPr>
      </w:pPr>
      <w:r>
        <w:rPr>
          <w:lang w:eastAsia="de-DE"/>
        </w:rPr>
        <w:lastRenderedPageBreak/>
        <w:t>Not all patients calling the primary care practice because of acute gastroenteritis will finally come for a consultation. While physicians largely agreed on this general statement, their estimates on the proportion of patients managed by phone were highly variable:</w:t>
      </w:r>
    </w:p>
    <w:p w:rsidR="000401F4" w:rsidRPr="002060FA" w:rsidRDefault="000401F4" w:rsidP="00533FF7">
      <w:pPr>
        <w:suppressAutoHyphens/>
        <w:ind w:left="567" w:right="567"/>
        <w:contextualSpacing/>
        <w:rPr>
          <w:iCs/>
          <w:sz w:val="20"/>
          <w:szCs w:val="20"/>
          <w:lang w:eastAsia="de-DE"/>
        </w:rPr>
      </w:pPr>
      <w:r w:rsidRPr="002060FA">
        <w:rPr>
          <w:iCs/>
          <w:sz w:val="20"/>
          <w:szCs w:val="20"/>
          <w:lang w:eastAsia="de-DE"/>
        </w:rPr>
        <w:t>Interviewer: “</w:t>
      </w:r>
      <w:r>
        <w:rPr>
          <w:i/>
          <w:iCs/>
          <w:sz w:val="20"/>
          <w:szCs w:val="20"/>
          <w:lang w:eastAsia="de-DE"/>
        </w:rPr>
        <w:t xml:space="preserve">If you estimate, what percentage of the ones </w:t>
      </w:r>
      <w:proofErr w:type="gramStart"/>
      <w:r>
        <w:rPr>
          <w:i/>
          <w:iCs/>
          <w:sz w:val="20"/>
          <w:szCs w:val="20"/>
          <w:lang w:eastAsia="de-DE"/>
        </w:rPr>
        <w:t>that call</w:t>
      </w:r>
      <w:proofErr w:type="gramEnd"/>
      <w:r>
        <w:rPr>
          <w:i/>
          <w:iCs/>
          <w:sz w:val="20"/>
          <w:szCs w:val="20"/>
          <w:lang w:eastAsia="de-DE"/>
        </w:rPr>
        <w:t xml:space="preserve"> you for diarrhoea do finally come for a consultation?</w:t>
      </w:r>
      <w:r w:rsidRPr="002060FA">
        <w:rPr>
          <w:iCs/>
          <w:sz w:val="20"/>
          <w:szCs w:val="20"/>
          <w:lang w:eastAsia="de-DE"/>
        </w:rPr>
        <w:t>”</w:t>
      </w:r>
    </w:p>
    <w:p w:rsidR="000401F4" w:rsidRDefault="000401F4" w:rsidP="00533FF7">
      <w:pPr>
        <w:suppressAutoHyphens/>
        <w:ind w:left="567" w:right="567"/>
        <w:rPr>
          <w:iCs/>
          <w:sz w:val="20"/>
          <w:szCs w:val="20"/>
          <w:lang w:eastAsia="de-DE"/>
        </w:rPr>
      </w:pPr>
      <w:r w:rsidRPr="002060FA">
        <w:rPr>
          <w:iCs/>
          <w:sz w:val="20"/>
          <w:szCs w:val="20"/>
          <w:lang w:eastAsia="de-DE"/>
        </w:rPr>
        <w:t>Physician PH09: “</w:t>
      </w:r>
      <w:r>
        <w:rPr>
          <w:iCs/>
          <w:sz w:val="20"/>
          <w:szCs w:val="20"/>
          <w:lang w:eastAsia="de-DE"/>
        </w:rPr>
        <w:t>Mostly it is also the wish of the patient to come. And probably it is around 40% of patients that finally come. At first, I wanted to say fifty-fifty, but maybe 40% will come. […]</w:t>
      </w:r>
      <w:r w:rsidRPr="002060FA">
        <w:rPr>
          <w:iCs/>
          <w:sz w:val="20"/>
          <w:szCs w:val="20"/>
          <w:lang w:eastAsia="de-DE"/>
        </w:rPr>
        <w:t>”</w:t>
      </w:r>
    </w:p>
    <w:p w:rsidR="000401F4" w:rsidRPr="002060FA" w:rsidRDefault="000401F4" w:rsidP="006B42A6">
      <w:pPr>
        <w:suppressAutoHyphens/>
        <w:ind w:left="567" w:right="567"/>
        <w:contextualSpacing/>
        <w:rPr>
          <w:iCs/>
          <w:sz w:val="20"/>
          <w:szCs w:val="20"/>
          <w:lang w:eastAsia="de-DE"/>
        </w:rPr>
      </w:pPr>
      <w:r w:rsidRPr="002060FA">
        <w:rPr>
          <w:iCs/>
          <w:sz w:val="20"/>
          <w:szCs w:val="20"/>
          <w:lang w:eastAsia="de-DE"/>
        </w:rPr>
        <w:t>Interviewer: “</w:t>
      </w:r>
      <w:r w:rsidRPr="006B42A6">
        <w:rPr>
          <w:i/>
          <w:iCs/>
          <w:sz w:val="20"/>
          <w:szCs w:val="20"/>
          <w:lang w:eastAsia="de-DE"/>
        </w:rPr>
        <w:t>Are there as well patients who just contact you by phone and do not come to the practice?</w:t>
      </w:r>
      <w:r w:rsidRPr="002060FA">
        <w:rPr>
          <w:iCs/>
          <w:sz w:val="20"/>
          <w:szCs w:val="20"/>
          <w:lang w:eastAsia="de-DE"/>
        </w:rPr>
        <w:t>”</w:t>
      </w:r>
    </w:p>
    <w:p w:rsidR="000401F4" w:rsidRDefault="000401F4" w:rsidP="006B42A6">
      <w:pPr>
        <w:suppressAutoHyphens/>
        <w:ind w:left="567" w:right="567"/>
        <w:contextualSpacing/>
        <w:rPr>
          <w:iCs/>
          <w:sz w:val="20"/>
          <w:szCs w:val="20"/>
          <w:lang w:eastAsia="de-DE"/>
        </w:rPr>
      </w:pPr>
      <w:r w:rsidRPr="002060FA">
        <w:rPr>
          <w:iCs/>
          <w:sz w:val="20"/>
          <w:szCs w:val="20"/>
          <w:lang w:eastAsia="de-DE"/>
        </w:rPr>
        <w:t>Physician PH0</w:t>
      </w:r>
      <w:r>
        <w:rPr>
          <w:iCs/>
          <w:sz w:val="20"/>
          <w:szCs w:val="20"/>
          <w:lang w:eastAsia="de-DE"/>
        </w:rPr>
        <w:t>7</w:t>
      </w:r>
      <w:r w:rsidRPr="002060FA">
        <w:rPr>
          <w:iCs/>
          <w:sz w:val="20"/>
          <w:szCs w:val="20"/>
          <w:lang w:eastAsia="de-DE"/>
        </w:rPr>
        <w:t>: “</w:t>
      </w:r>
      <w:r w:rsidRPr="006B42A6">
        <w:rPr>
          <w:i/>
          <w:iCs/>
          <w:sz w:val="20"/>
          <w:szCs w:val="20"/>
          <w:lang w:eastAsia="de-DE"/>
        </w:rPr>
        <w:t>This exists exceptionally. Someone calls, says he has diarrhoea and that he needs something […]. This exists, indeed, but they [medical assistants] point out that they [patients] have to come to the practice in case of fever</w:t>
      </w:r>
      <w:r>
        <w:rPr>
          <w:i/>
          <w:iCs/>
          <w:sz w:val="20"/>
          <w:szCs w:val="20"/>
          <w:lang w:eastAsia="de-DE"/>
        </w:rPr>
        <w:t>.</w:t>
      </w:r>
      <w:r w:rsidRPr="002060FA">
        <w:rPr>
          <w:iCs/>
          <w:sz w:val="20"/>
          <w:szCs w:val="20"/>
          <w:lang w:eastAsia="de-DE"/>
        </w:rPr>
        <w:t>”</w:t>
      </w:r>
    </w:p>
    <w:p w:rsidR="000401F4" w:rsidRPr="002060FA" w:rsidRDefault="000401F4" w:rsidP="006B42A6">
      <w:pPr>
        <w:suppressAutoHyphens/>
        <w:ind w:left="567" w:right="567"/>
        <w:contextualSpacing/>
        <w:rPr>
          <w:iCs/>
          <w:sz w:val="20"/>
          <w:szCs w:val="20"/>
          <w:lang w:eastAsia="de-DE"/>
        </w:rPr>
      </w:pPr>
      <w:r w:rsidRPr="002060FA">
        <w:rPr>
          <w:iCs/>
          <w:sz w:val="20"/>
          <w:szCs w:val="20"/>
          <w:lang w:eastAsia="de-DE"/>
        </w:rPr>
        <w:t>Interviewer: “</w:t>
      </w:r>
      <w:r w:rsidRPr="006B42A6">
        <w:rPr>
          <w:i/>
          <w:iCs/>
          <w:sz w:val="20"/>
          <w:szCs w:val="20"/>
          <w:lang w:eastAsia="de-DE"/>
        </w:rPr>
        <w:t>You say it is a minority who calls and does not come for consultation. How many would you guess do that, maybe 10%?</w:t>
      </w:r>
      <w:r w:rsidRPr="002060FA">
        <w:rPr>
          <w:iCs/>
          <w:sz w:val="20"/>
          <w:szCs w:val="20"/>
          <w:lang w:eastAsia="de-DE"/>
        </w:rPr>
        <w:t>”</w:t>
      </w:r>
    </w:p>
    <w:p w:rsidR="000401F4" w:rsidRDefault="000401F4" w:rsidP="006B42A6">
      <w:pPr>
        <w:suppressAutoHyphens/>
        <w:ind w:left="567" w:right="567"/>
        <w:rPr>
          <w:iCs/>
          <w:sz w:val="20"/>
          <w:szCs w:val="20"/>
          <w:lang w:eastAsia="de-DE"/>
        </w:rPr>
      </w:pPr>
      <w:r w:rsidRPr="002060FA">
        <w:rPr>
          <w:iCs/>
          <w:sz w:val="20"/>
          <w:szCs w:val="20"/>
          <w:lang w:eastAsia="de-DE"/>
        </w:rPr>
        <w:t>Physician PH0</w:t>
      </w:r>
      <w:r>
        <w:rPr>
          <w:iCs/>
          <w:sz w:val="20"/>
          <w:szCs w:val="20"/>
          <w:lang w:eastAsia="de-DE"/>
        </w:rPr>
        <w:t>7</w:t>
      </w:r>
      <w:r w:rsidRPr="002060FA">
        <w:rPr>
          <w:iCs/>
          <w:sz w:val="20"/>
          <w:szCs w:val="20"/>
          <w:lang w:eastAsia="de-DE"/>
        </w:rPr>
        <w:t>: “</w:t>
      </w:r>
      <w:r w:rsidRPr="00351251">
        <w:rPr>
          <w:i/>
          <w:iCs/>
          <w:sz w:val="20"/>
          <w:szCs w:val="20"/>
          <w:lang w:eastAsia="de-DE"/>
        </w:rPr>
        <w:t>No, fewer. This is really an exception.</w:t>
      </w:r>
      <w:r w:rsidRPr="002060FA">
        <w:rPr>
          <w:iCs/>
          <w:sz w:val="20"/>
          <w:szCs w:val="20"/>
          <w:lang w:eastAsia="de-DE"/>
        </w:rPr>
        <w:t>”</w:t>
      </w:r>
    </w:p>
    <w:p w:rsidR="000401F4" w:rsidRDefault="000401F4">
      <w:pPr>
        <w:rPr>
          <w:lang w:eastAsia="de-DE"/>
        </w:rPr>
      </w:pPr>
      <w:r>
        <w:rPr>
          <w:lang w:eastAsia="de-DE"/>
        </w:rPr>
        <w:br w:type="page"/>
      </w:r>
    </w:p>
    <w:p w:rsidR="000401F4" w:rsidRPr="008807CB" w:rsidRDefault="000401F4" w:rsidP="0041530F">
      <w:pPr>
        <w:suppressAutoHyphens/>
        <w:rPr>
          <w:b/>
          <w:iCs/>
          <w:sz w:val="28"/>
          <w:szCs w:val="28"/>
          <w:lang w:eastAsia="de-DE"/>
        </w:rPr>
      </w:pPr>
      <w:r w:rsidRPr="008807CB">
        <w:rPr>
          <w:b/>
          <w:iCs/>
          <w:sz w:val="28"/>
          <w:szCs w:val="28"/>
          <w:lang w:eastAsia="de-DE"/>
        </w:rPr>
        <w:lastRenderedPageBreak/>
        <w:t>“Positivity study”</w:t>
      </w:r>
    </w:p>
    <w:p w:rsidR="000401F4" w:rsidRPr="008065B1" w:rsidRDefault="000401F4" w:rsidP="0041530F">
      <w:pPr>
        <w:suppressAutoHyphens/>
        <w:rPr>
          <w:b/>
          <w:iCs/>
          <w:lang w:eastAsia="de-DE"/>
        </w:rPr>
      </w:pPr>
      <w:r w:rsidRPr="008065B1">
        <w:rPr>
          <w:b/>
          <w:iCs/>
          <w:lang w:eastAsia="de-DE"/>
        </w:rPr>
        <w:t xml:space="preserve">Summary of a study </w:t>
      </w:r>
      <w:r>
        <w:rPr>
          <w:b/>
          <w:iCs/>
          <w:lang w:eastAsia="de-DE"/>
        </w:rPr>
        <w:t>on time trends in positivity rates of Campylobacter spp. in Switzerland</w:t>
      </w:r>
    </w:p>
    <w:p w:rsidR="000401F4" w:rsidRDefault="000401F4" w:rsidP="00553F91">
      <w:pPr>
        <w:suppressAutoHyphens/>
        <w:spacing w:after="0"/>
        <w:rPr>
          <w:b/>
          <w:iCs/>
          <w:lang w:eastAsia="de-DE"/>
        </w:rPr>
      </w:pPr>
      <w:r>
        <w:rPr>
          <w:b/>
          <w:iCs/>
          <w:lang w:eastAsia="de-DE"/>
        </w:rPr>
        <w:t>Introduction</w:t>
      </w:r>
    </w:p>
    <w:p w:rsidR="000401F4" w:rsidRDefault="000401F4" w:rsidP="00553F91">
      <w:pPr>
        <w:suppressAutoHyphens/>
        <w:rPr>
          <w:iCs/>
          <w:lang w:eastAsia="de-DE"/>
        </w:rPr>
      </w:pPr>
      <w:r>
        <w:rPr>
          <w:iCs/>
          <w:lang w:eastAsia="de-DE"/>
        </w:rPr>
        <w:t xml:space="preserve">Campylobacteriosis is the most frequent bacterial, foodborne infection reported to the National Notification System for Infectious Diseases (NNSID) in Switzerland </w:t>
      </w:r>
      <w:r>
        <w:rPr>
          <w:iCs/>
          <w:noProof/>
          <w:lang w:eastAsia="de-DE"/>
        </w:rPr>
        <w:t>[1]</w:t>
      </w:r>
      <w:r>
        <w:rPr>
          <w:iCs/>
          <w:lang w:eastAsia="de-DE"/>
        </w:rPr>
        <w:t>. Case numbers have been increasing since the beginning of reporting in 1988. It is u</w:t>
      </w:r>
      <w:bookmarkStart w:id="0" w:name="_GoBack"/>
      <w:bookmarkEnd w:id="0"/>
      <w:r>
        <w:rPr>
          <w:iCs/>
          <w:lang w:eastAsia="de-DE"/>
        </w:rPr>
        <w:t>nknown whether this increase is due to a change in disease incidence or whether it could be explained by other factors such as increased testing frequency. This study looked at time trends in the proportion of positive campylobacter tests out of all campylobacter tests performed (=positivity rate).</w:t>
      </w:r>
    </w:p>
    <w:p w:rsidR="000401F4" w:rsidRDefault="000401F4" w:rsidP="0041530F">
      <w:pPr>
        <w:suppressAutoHyphens/>
        <w:spacing w:after="0"/>
        <w:rPr>
          <w:b/>
          <w:iCs/>
          <w:lang w:eastAsia="de-DE"/>
        </w:rPr>
      </w:pPr>
      <w:r>
        <w:rPr>
          <w:b/>
          <w:iCs/>
          <w:lang w:eastAsia="de-DE"/>
        </w:rPr>
        <w:t>Methods</w:t>
      </w:r>
    </w:p>
    <w:p w:rsidR="000401F4" w:rsidRDefault="000401F4" w:rsidP="0041530F">
      <w:pPr>
        <w:suppressAutoHyphens/>
        <w:rPr>
          <w:iCs/>
          <w:lang w:eastAsia="de-DE"/>
        </w:rPr>
      </w:pPr>
      <w:r>
        <w:rPr>
          <w:iCs/>
          <w:lang w:eastAsia="de-DE"/>
        </w:rPr>
        <w:t>A total of 11 diagnostic laboratories were selected from a list of laboratories contributing most campylobacteriosis case notifications to the NNSID and invited to participate in the study. Eight laboratories agreed to participate and provided patient-related data (sex, age, canton of residence, patient identification code assigned by laboratory) and test-related data (test result, date of test, type of test) for all campylobacter tests performed between 2003 and 2012. Positivity rates were defined as:</w:t>
      </w:r>
    </w:p>
    <w:p w:rsidR="000401F4" w:rsidRDefault="000401F4" w:rsidP="0041530F">
      <w:pPr>
        <w:suppressAutoHyphens/>
        <w:rPr>
          <w:iCs/>
          <w:lang w:eastAsia="de-DE"/>
        </w:rPr>
      </w:pPr>
      <m:oMathPara>
        <m:oMath>
          <m:r>
            <w:rPr>
              <w:rFonts w:ascii="Cambria Math" w:hAnsi="Cambria Math"/>
              <w:lang w:eastAsia="de-DE"/>
            </w:rPr>
            <m:t xml:space="preserve">Positivity rate </m:t>
          </m:r>
          <m:d>
            <m:dPr>
              <m:ctrlPr>
                <w:rPr>
                  <w:rFonts w:ascii="Cambria Math" w:hAnsi="Cambria Math"/>
                  <w:i/>
                  <w:iCs/>
                  <w:lang w:eastAsia="de-DE"/>
                </w:rPr>
              </m:ctrlPr>
            </m:dPr>
            <m:e>
              <m:r>
                <w:rPr>
                  <w:rFonts w:ascii="Cambria Math" w:hAnsi="Cambria Math"/>
                  <w:lang w:eastAsia="de-DE"/>
                </w:rPr>
                <m:t>in %</m:t>
              </m:r>
            </m:e>
          </m:d>
          <m:r>
            <w:rPr>
              <w:rFonts w:ascii="Cambria Math" w:hAnsi="Cambria Math"/>
              <w:lang w:eastAsia="de-DE"/>
            </w:rPr>
            <m:t xml:space="preserve">= </m:t>
          </m:r>
          <m:f>
            <m:fPr>
              <m:ctrlPr>
                <w:rPr>
                  <w:rFonts w:ascii="Cambria Math" w:hAnsi="Cambria Math"/>
                  <w:i/>
                  <w:iCs/>
                  <w:lang w:eastAsia="de-DE"/>
                </w:rPr>
              </m:ctrlPr>
            </m:fPr>
            <m:num>
              <m:r>
                <w:rPr>
                  <w:rFonts w:ascii="Cambria Math" w:hAnsi="Cambria Math"/>
                  <w:lang w:eastAsia="de-DE"/>
                </w:rPr>
                <m:t>Total number of tests positive for campylobacter</m:t>
              </m:r>
            </m:num>
            <m:den>
              <m:r>
                <w:rPr>
                  <w:rFonts w:ascii="Cambria Math" w:hAnsi="Cambria Math"/>
                  <w:lang w:eastAsia="de-DE"/>
                </w:rPr>
                <m:t>Total number of tests performed for campylobacter</m:t>
              </m:r>
            </m:den>
          </m:f>
          <m:r>
            <w:rPr>
              <w:rFonts w:ascii="Cambria Math" w:hAnsi="Cambria Math"/>
              <w:lang w:eastAsia="de-DE"/>
            </w:rPr>
            <m:t>*100</m:t>
          </m:r>
        </m:oMath>
      </m:oMathPara>
    </w:p>
    <w:p w:rsidR="000401F4" w:rsidRDefault="000401F4" w:rsidP="0041530F">
      <w:pPr>
        <w:suppressAutoHyphens/>
        <w:spacing w:after="0"/>
        <w:rPr>
          <w:b/>
          <w:iCs/>
          <w:lang w:eastAsia="de-DE"/>
        </w:rPr>
      </w:pPr>
      <w:r>
        <w:rPr>
          <w:b/>
          <w:iCs/>
          <w:lang w:eastAsia="de-DE"/>
        </w:rPr>
        <w:t>Selected p</w:t>
      </w:r>
      <w:r w:rsidRPr="00486BA0">
        <w:rPr>
          <w:b/>
          <w:iCs/>
          <w:lang w:eastAsia="de-DE"/>
        </w:rPr>
        <w:t>reliminary results</w:t>
      </w:r>
    </w:p>
    <w:p w:rsidR="000401F4" w:rsidRDefault="000401F4" w:rsidP="006C55BD">
      <w:pPr>
        <w:suppressAutoHyphens/>
        <w:rPr>
          <w:lang w:eastAsia="de-DE"/>
        </w:rPr>
      </w:pPr>
      <w:r>
        <w:rPr>
          <w:lang w:eastAsia="de-DE"/>
        </w:rPr>
        <w:t>Participating laboratories provided data of 194 487 campylobacter tests conducted between 2003 and 2012. Some laboratories could not provide data over the whole study period. Data were only included if laboratories provided data for a complete calendar year. After exclusion of duplicates and repeated tests, the unadjusted positivity rate was 10.9% in 2012.</w:t>
      </w:r>
    </w:p>
    <w:p w:rsidR="000401F4" w:rsidRDefault="000401F4">
      <w:r>
        <w:br w:type="page"/>
      </w:r>
    </w:p>
    <w:p w:rsidR="000401F4" w:rsidRPr="008807CB" w:rsidRDefault="000401F4" w:rsidP="00D26DB4">
      <w:pPr>
        <w:suppressAutoHyphens/>
        <w:rPr>
          <w:b/>
          <w:iCs/>
          <w:sz w:val="28"/>
          <w:szCs w:val="28"/>
          <w:lang w:eastAsia="de-DE"/>
        </w:rPr>
      </w:pPr>
      <w:r w:rsidRPr="008807CB">
        <w:rPr>
          <w:b/>
          <w:iCs/>
          <w:sz w:val="28"/>
          <w:szCs w:val="28"/>
          <w:lang w:eastAsia="de-DE"/>
        </w:rPr>
        <w:lastRenderedPageBreak/>
        <w:t>“</w:t>
      </w:r>
      <w:proofErr w:type="spellStart"/>
      <w:r w:rsidRPr="008807CB">
        <w:rPr>
          <w:b/>
          <w:i/>
          <w:iCs/>
          <w:sz w:val="28"/>
          <w:szCs w:val="28"/>
          <w:lang w:eastAsia="de-DE"/>
        </w:rPr>
        <w:t>Sentinella</w:t>
      </w:r>
      <w:proofErr w:type="spellEnd"/>
      <w:r w:rsidRPr="008807CB">
        <w:rPr>
          <w:b/>
          <w:iCs/>
          <w:sz w:val="28"/>
          <w:szCs w:val="28"/>
          <w:lang w:eastAsia="de-DE"/>
        </w:rPr>
        <w:t xml:space="preserve"> study”</w:t>
      </w:r>
    </w:p>
    <w:p w:rsidR="000401F4" w:rsidRPr="008065B1" w:rsidRDefault="000401F4" w:rsidP="00D26DB4">
      <w:pPr>
        <w:suppressAutoHyphens/>
        <w:rPr>
          <w:b/>
          <w:iCs/>
          <w:lang w:eastAsia="de-DE"/>
        </w:rPr>
      </w:pPr>
      <w:r w:rsidRPr="008065B1">
        <w:rPr>
          <w:b/>
          <w:iCs/>
          <w:lang w:eastAsia="de-DE"/>
        </w:rPr>
        <w:t xml:space="preserve">Summary of a study </w:t>
      </w:r>
      <w:r>
        <w:rPr>
          <w:b/>
          <w:iCs/>
          <w:lang w:eastAsia="de-DE"/>
        </w:rPr>
        <w:t xml:space="preserve">on consultations due to acute gastroenteritis in the Swiss Sentinel Surveillance Network, </w:t>
      </w:r>
      <w:proofErr w:type="spellStart"/>
      <w:r w:rsidRPr="008807CB">
        <w:rPr>
          <w:b/>
          <w:i/>
          <w:iCs/>
          <w:lang w:eastAsia="de-DE"/>
        </w:rPr>
        <w:t>Sentinella</w:t>
      </w:r>
      <w:proofErr w:type="spellEnd"/>
    </w:p>
    <w:p w:rsidR="000401F4" w:rsidRDefault="000401F4" w:rsidP="00D26DB4">
      <w:pPr>
        <w:suppressAutoHyphens/>
        <w:spacing w:after="0"/>
        <w:rPr>
          <w:b/>
          <w:iCs/>
          <w:lang w:eastAsia="de-DE"/>
        </w:rPr>
      </w:pPr>
      <w:r>
        <w:rPr>
          <w:b/>
          <w:iCs/>
          <w:lang w:eastAsia="de-DE"/>
        </w:rPr>
        <w:t>Introduction</w:t>
      </w:r>
    </w:p>
    <w:p w:rsidR="000401F4" w:rsidRDefault="000401F4" w:rsidP="00D26DB4">
      <w:pPr>
        <w:suppressAutoHyphens/>
        <w:rPr>
          <w:iCs/>
          <w:lang w:eastAsia="de-DE"/>
        </w:rPr>
      </w:pPr>
      <w:r>
        <w:rPr>
          <w:iCs/>
          <w:lang w:eastAsia="de-DE"/>
        </w:rPr>
        <w:t xml:space="preserve">It is estimated that 0.3 to 1.4 episodes of acute gastroenteritis per person-year occur in the general population in European countries </w:t>
      </w:r>
      <w:r>
        <w:rPr>
          <w:iCs/>
          <w:noProof/>
          <w:lang w:eastAsia="de-DE"/>
        </w:rPr>
        <w:t>[2-7]</w:t>
      </w:r>
      <w:r>
        <w:rPr>
          <w:iCs/>
          <w:lang w:eastAsia="de-DE"/>
        </w:rPr>
        <w:t>. In Switzerland, the burden of disease at primary care level is not known. We assessed the frequency of consultations, signs and symptoms, physicians’ diagnostic and treatment approaches, course of disease and inability to work in a study within the Swiss Sentinel Surveillance Network.</w:t>
      </w:r>
    </w:p>
    <w:p w:rsidR="000401F4" w:rsidRDefault="000401F4" w:rsidP="00F47F73">
      <w:pPr>
        <w:suppressAutoHyphens/>
        <w:spacing w:after="0"/>
        <w:rPr>
          <w:b/>
          <w:iCs/>
          <w:lang w:eastAsia="de-DE"/>
        </w:rPr>
      </w:pPr>
      <w:r>
        <w:rPr>
          <w:b/>
          <w:iCs/>
          <w:lang w:eastAsia="de-DE"/>
        </w:rPr>
        <w:t>Methods</w:t>
      </w:r>
    </w:p>
    <w:p w:rsidR="000401F4" w:rsidRPr="006C55BD" w:rsidRDefault="000401F4" w:rsidP="00F47F73">
      <w:r>
        <w:rPr>
          <w:iCs/>
          <w:lang w:eastAsia="de-DE"/>
        </w:rPr>
        <w:t xml:space="preserve">The Swiss Sentinel Surveillance Network consists of 150-250 general practitioners, internists and paediatricians participating on a voluntary basis. During the </w:t>
      </w:r>
      <w:proofErr w:type="spellStart"/>
      <w:r>
        <w:rPr>
          <w:iCs/>
          <w:lang w:eastAsia="de-DE"/>
        </w:rPr>
        <w:t>Sentinella</w:t>
      </w:r>
      <w:proofErr w:type="spellEnd"/>
      <w:r>
        <w:rPr>
          <w:iCs/>
          <w:lang w:eastAsia="de-DE"/>
        </w:rPr>
        <w:t xml:space="preserve">-year 2014 (28.12.2013 – 26.12.2014), physicians participating in </w:t>
      </w:r>
      <w:proofErr w:type="spellStart"/>
      <w:r>
        <w:rPr>
          <w:iCs/>
          <w:lang w:eastAsia="de-DE"/>
        </w:rPr>
        <w:t>Sentinella</w:t>
      </w:r>
      <w:proofErr w:type="spellEnd"/>
      <w:r>
        <w:rPr>
          <w:iCs/>
          <w:lang w:eastAsia="de-DE"/>
        </w:rPr>
        <w:t xml:space="preserve"> reported all cases consulting due to acute gastroenteritis. They provided basic information on cases such as sex, age, stool testing and hospitalisation (both yes/no) on a weekly questionnaire. For a subsample of cases, physicians completed a supplementary questionnaire including more detailed information on treatment, stool diagnostics, inability to work and selected risk exposures.</w:t>
      </w:r>
    </w:p>
    <w:p w:rsidR="000401F4" w:rsidRDefault="000401F4" w:rsidP="000A70C0">
      <w:pPr>
        <w:suppressAutoHyphens/>
        <w:spacing w:after="0"/>
        <w:rPr>
          <w:b/>
          <w:iCs/>
          <w:lang w:eastAsia="de-DE"/>
        </w:rPr>
      </w:pPr>
      <w:r>
        <w:rPr>
          <w:b/>
          <w:iCs/>
          <w:lang w:eastAsia="de-DE"/>
        </w:rPr>
        <w:t>Selected p</w:t>
      </w:r>
      <w:r w:rsidRPr="00486BA0">
        <w:rPr>
          <w:b/>
          <w:iCs/>
          <w:lang w:eastAsia="de-DE"/>
        </w:rPr>
        <w:t>reliminary results</w:t>
      </w:r>
    </w:p>
    <w:p w:rsidR="000401F4" w:rsidRPr="007C3BCE" w:rsidRDefault="000401F4" w:rsidP="000A70C0">
      <w:r>
        <w:t xml:space="preserve">Stool testing was performed among 11% (420/3794) of patients as reported on weekly </w:t>
      </w:r>
      <w:r w:rsidRPr="007C3BCE">
        <w:t xml:space="preserve">questionnaires. </w:t>
      </w:r>
    </w:p>
    <w:p w:rsidR="000401F4" w:rsidRPr="007C3BCE" w:rsidRDefault="000401F4" w:rsidP="00676A5F">
      <w:pPr>
        <w:pStyle w:val="Caption"/>
        <w:keepNext/>
        <w:rPr>
          <w:b w:val="0"/>
          <w:color w:val="auto"/>
        </w:rPr>
      </w:pPr>
      <w:r w:rsidRPr="007C3BCE">
        <w:rPr>
          <w:color w:val="auto"/>
        </w:rPr>
        <w:t>Supplementary Table S</w:t>
      </w:r>
      <w:r w:rsidRPr="007C3BCE">
        <w:rPr>
          <w:color w:val="auto"/>
        </w:rPr>
        <w:fldChar w:fldCharType="begin"/>
      </w:r>
      <w:r w:rsidRPr="007C3BCE">
        <w:rPr>
          <w:color w:val="auto"/>
        </w:rPr>
        <w:instrText xml:space="preserve"> SEQ Supplementary_Table_S \* ARABIC </w:instrText>
      </w:r>
      <w:r w:rsidRPr="007C3BCE">
        <w:rPr>
          <w:color w:val="auto"/>
        </w:rPr>
        <w:fldChar w:fldCharType="separate"/>
      </w:r>
      <w:r>
        <w:rPr>
          <w:noProof/>
          <w:color w:val="auto"/>
        </w:rPr>
        <w:t>1</w:t>
      </w:r>
      <w:r w:rsidRPr="007C3BCE">
        <w:rPr>
          <w:color w:val="auto"/>
        </w:rPr>
        <w:fldChar w:fldCharType="end"/>
      </w:r>
      <w:r w:rsidRPr="007C3BCE">
        <w:rPr>
          <w:color w:val="auto"/>
        </w:rPr>
        <w:t xml:space="preserve">: </w:t>
      </w:r>
      <w:r w:rsidRPr="007C3BCE">
        <w:rPr>
          <w:b w:val="0"/>
          <w:color w:val="auto"/>
        </w:rPr>
        <w:t xml:space="preserve">Consultation and treatment characteristics of different patient groups with acute gastroenteritis. Preliminary results from the Swiss Sentinel Surveillance Network, </w:t>
      </w:r>
      <w:proofErr w:type="spellStart"/>
      <w:r w:rsidRPr="007C3BCE">
        <w:rPr>
          <w:b w:val="0"/>
          <w:color w:val="auto"/>
        </w:rPr>
        <w:t>Sentinella</w:t>
      </w:r>
      <w:proofErr w:type="spellEnd"/>
      <w:r w:rsidRPr="007C3BCE">
        <w:rPr>
          <w:b w:val="0"/>
          <w:color w:val="auto"/>
        </w:rPr>
        <w:t>, 2014</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32"/>
        <w:gridCol w:w="1134"/>
        <w:gridCol w:w="1644"/>
        <w:gridCol w:w="1644"/>
      </w:tblGrid>
      <w:tr w:rsidR="000401F4" w:rsidTr="00303945">
        <w:tc>
          <w:tcPr>
            <w:tcW w:w="4932" w:type="dxa"/>
          </w:tcPr>
          <w:p w:rsidR="000401F4" w:rsidRDefault="000401F4" w:rsidP="00587F58">
            <w:pPr>
              <w:spacing w:before="60" w:after="60"/>
              <w:ind w:left="57" w:right="57"/>
            </w:pPr>
          </w:p>
        </w:tc>
        <w:tc>
          <w:tcPr>
            <w:tcW w:w="1134" w:type="dxa"/>
          </w:tcPr>
          <w:p w:rsidR="000401F4" w:rsidRDefault="000401F4" w:rsidP="00587F58">
            <w:pPr>
              <w:spacing w:before="60" w:after="60"/>
              <w:ind w:left="57" w:right="57"/>
            </w:pPr>
            <w:r>
              <w:t>Patients without stool diagnostic</w:t>
            </w:r>
          </w:p>
        </w:tc>
        <w:tc>
          <w:tcPr>
            <w:tcW w:w="1644" w:type="dxa"/>
          </w:tcPr>
          <w:p w:rsidR="000401F4" w:rsidRDefault="000401F4" w:rsidP="00587F58">
            <w:pPr>
              <w:spacing w:before="60" w:after="60"/>
              <w:ind w:left="57" w:right="57"/>
            </w:pPr>
            <w:r>
              <w:t>Patients with campylobacter-negative stool diagnostic</w:t>
            </w:r>
          </w:p>
        </w:tc>
        <w:tc>
          <w:tcPr>
            <w:tcW w:w="1644" w:type="dxa"/>
          </w:tcPr>
          <w:p w:rsidR="000401F4" w:rsidRDefault="000401F4" w:rsidP="00587F58">
            <w:pPr>
              <w:spacing w:before="60" w:after="60"/>
              <w:ind w:left="57" w:right="57"/>
            </w:pPr>
            <w:r>
              <w:t>Patients with campylobacter-positive stool diagnostic</w:t>
            </w:r>
          </w:p>
        </w:tc>
      </w:tr>
      <w:tr w:rsidR="000401F4" w:rsidTr="00303945">
        <w:tc>
          <w:tcPr>
            <w:tcW w:w="4932" w:type="dxa"/>
            <w:tcBorders>
              <w:bottom w:val="single" w:sz="4" w:space="0" w:color="auto"/>
            </w:tcBorders>
          </w:tcPr>
          <w:p w:rsidR="000401F4" w:rsidRDefault="000401F4" w:rsidP="00763E2F">
            <w:pPr>
              <w:spacing w:before="60" w:after="60"/>
              <w:ind w:left="57" w:right="57"/>
            </w:pPr>
            <w:r>
              <w:t>Corresponding to patient management model</w:t>
            </w:r>
          </w:p>
        </w:tc>
        <w:tc>
          <w:tcPr>
            <w:tcW w:w="1134" w:type="dxa"/>
            <w:tcBorders>
              <w:bottom w:val="single" w:sz="4" w:space="0" w:color="auto"/>
            </w:tcBorders>
          </w:tcPr>
          <w:p w:rsidR="000401F4" w:rsidRDefault="000401F4" w:rsidP="009D0DB7">
            <w:pPr>
              <w:spacing w:before="60" w:after="60"/>
              <w:ind w:left="57" w:right="567"/>
              <w:jc w:val="right"/>
            </w:pPr>
            <w:r>
              <w:t>A</w:t>
            </w:r>
          </w:p>
        </w:tc>
        <w:tc>
          <w:tcPr>
            <w:tcW w:w="1644" w:type="dxa"/>
            <w:tcBorders>
              <w:bottom w:val="single" w:sz="4" w:space="0" w:color="auto"/>
            </w:tcBorders>
          </w:tcPr>
          <w:p w:rsidR="000401F4" w:rsidRDefault="000401F4" w:rsidP="009D0DB7">
            <w:pPr>
              <w:spacing w:before="60" w:after="60"/>
              <w:ind w:left="57" w:right="567"/>
              <w:jc w:val="right"/>
            </w:pPr>
            <w:r>
              <w:t>B</w:t>
            </w:r>
          </w:p>
        </w:tc>
        <w:tc>
          <w:tcPr>
            <w:tcW w:w="1644" w:type="dxa"/>
            <w:tcBorders>
              <w:bottom w:val="single" w:sz="4" w:space="0" w:color="auto"/>
            </w:tcBorders>
          </w:tcPr>
          <w:p w:rsidR="000401F4" w:rsidRDefault="000401F4" w:rsidP="009D0DB7">
            <w:pPr>
              <w:spacing w:before="60" w:after="60"/>
              <w:ind w:left="57" w:right="567"/>
              <w:jc w:val="right"/>
            </w:pPr>
            <w:r>
              <w:t>C</w:t>
            </w:r>
          </w:p>
        </w:tc>
      </w:tr>
      <w:tr w:rsidR="000401F4" w:rsidTr="00303945">
        <w:tc>
          <w:tcPr>
            <w:tcW w:w="4932" w:type="dxa"/>
            <w:tcBorders>
              <w:top w:val="single" w:sz="4" w:space="0" w:color="auto"/>
            </w:tcBorders>
          </w:tcPr>
          <w:p w:rsidR="000401F4" w:rsidRDefault="000401F4" w:rsidP="00587F58">
            <w:pPr>
              <w:spacing w:before="60" w:after="60"/>
              <w:ind w:left="57" w:right="57"/>
            </w:pPr>
            <w:r>
              <w:t>Number of consultations (average)</w:t>
            </w:r>
          </w:p>
        </w:tc>
        <w:tc>
          <w:tcPr>
            <w:tcW w:w="1134" w:type="dxa"/>
            <w:tcBorders>
              <w:top w:val="single" w:sz="4" w:space="0" w:color="auto"/>
            </w:tcBorders>
          </w:tcPr>
          <w:p w:rsidR="000401F4" w:rsidRDefault="000401F4" w:rsidP="00587F58">
            <w:pPr>
              <w:spacing w:before="60" w:after="60"/>
              <w:ind w:left="57" w:right="567"/>
              <w:jc w:val="right"/>
            </w:pPr>
            <w:r>
              <w:t>1.2</w:t>
            </w:r>
          </w:p>
        </w:tc>
        <w:tc>
          <w:tcPr>
            <w:tcW w:w="1644" w:type="dxa"/>
            <w:tcBorders>
              <w:top w:val="single" w:sz="4" w:space="0" w:color="auto"/>
            </w:tcBorders>
          </w:tcPr>
          <w:p w:rsidR="000401F4" w:rsidRDefault="000401F4" w:rsidP="00587F58">
            <w:pPr>
              <w:spacing w:before="60" w:after="60"/>
              <w:ind w:left="57" w:right="567"/>
              <w:jc w:val="right"/>
            </w:pPr>
            <w:r>
              <w:t>1.7</w:t>
            </w:r>
          </w:p>
        </w:tc>
        <w:tc>
          <w:tcPr>
            <w:tcW w:w="1644" w:type="dxa"/>
            <w:tcBorders>
              <w:top w:val="single" w:sz="4" w:space="0" w:color="auto"/>
            </w:tcBorders>
          </w:tcPr>
          <w:p w:rsidR="000401F4" w:rsidRDefault="000401F4" w:rsidP="00587F58">
            <w:pPr>
              <w:spacing w:before="60" w:after="60"/>
              <w:ind w:left="57" w:right="567"/>
              <w:jc w:val="right"/>
            </w:pPr>
            <w:r>
              <w:t>1.9</w:t>
            </w:r>
          </w:p>
        </w:tc>
      </w:tr>
      <w:tr w:rsidR="000401F4" w:rsidTr="00303945">
        <w:tc>
          <w:tcPr>
            <w:tcW w:w="4932" w:type="dxa"/>
          </w:tcPr>
          <w:p w:rsidR="000401F4" w:rsidRDefault="000401F4" w:rsidP="00587F58">
            <w:pPr>
              <w:spacing w:before="60" w:after="60"/>
              <w:ind w:left="57" w:right="57"/>
            </w:pPr>
            <w:r>
              <w:t xml:space="preserve">Number of drug classes prescribed (of probiotics, </w:t>
            </w:r>
            <w:proofErr w:type="spellStart"/>
            <w:r>
              <w:t>antiemetics</w:t>
            </w:r>
            <w:proofErr w:type="spellEnd"/>
            <w:r>
              <w:t xml:space="preserve"> &amp; </w:t>
            </w:r>
            <w:proofErr w:type="spellStart"/>
            <w:r>
              <w:t>antidiarrhoeals</w:t>
            </w:r>
            <w:proofErr w:type="spellEnd"/>
            <w:r>
              <w:t>; average)</w:t>
            </w:r>
          </w:p>
        </w:tc>
        <w:tc>
          <w:tcPr>
            <w:tcW w:w="1134" w:type="dxa"/>
          </w:tcPr>
          <w:p w:rsidR="000401F4" w:rsidRDefault="000401F4" w:rsidP="00587F58">
            <w:pPr>
              <w:spacing w:before="60" w:after="60"/>
              <w:ind w:left="57" w:right="567"/>
              <w:jc w:val="right"/>
            </w:pPr>
            <w:r>
              <w:t>1.1</w:t>
            </w:r>
          </w:p>
        </w:tc>
        <w:tc>
          <w:tcPr>
            <w:tcW w:w="1644" w:type="dxa"/>
          </w:tcPr>
          <w:p w:rsidR="000401F4" w:rsidRDefault="000401F4" w:rsidP="00587F58">
            <w:pPr>
              <w:spacing w:before="60" w:after="60"/>
              <w:ind w:left="57" w:right="567"/>
              <w:jc w:val="right"/>
            </w:pPr>
            <w:r>
              <w:t>1.0</w:t>
            </w:r>
          </w:p>
        </w:tc>
        <w:tc>
          <w:tcPr>
            <w:tcW w:w="1644" w:type="dxa"/>
          </w:tcPr>
          <w:p w:rsidR="000401F4" w:rsidRDefault="000401F4" w:rsidP="00587F58">
            <w:pPr>
              <w:spacing w:before="60" w:after="60"/>
              <w:ind w:left="57" w:right="567"/>
              <w:jc w:val="right"/>
            </w:pPr>
            <w:r>
              <w:t>0.9</w:t>
            </w:r>
          </w:p>
        </w:tc>
      </w:tr>
      <w:tr w:rsidR="000401F4" w:rsidTr="00303945">
        <w:tc>
          <w:tcPr>
            <w:tcW w:w="4932" w:type="dxa"/>
          </w:tcPr>
          <w:p w:rsidR="000401F4" w:rsidRDefault="000401F4" w:rsidP="00587F58">
            <w:pPr>
              <w:spacing w:before="60" w:after="60"/>
              <w:ind w:left="57" w:right="57"/>
            </w:pPr>
            <w:r>
              <w:t>Antibiotics prescribed</w:t>
            </w:r>
          </w:p>
        </w:tc>
        <w:tc>
          <w:tcPr>
            <w:tcW w:w="1134" w:type="dxa"/>
          </w:tcPr>
          <w:p w:rsidR="000401F4" w:rsidRDefault="000401F4" w:rsidP="00587F58">
            <w:pPr>
              <w:spacing w:before="60" w:after="60"/>
              <w:ind w:left="57" w:right="567"/>
              <w:jc w:val="right"/>
            </w:pPr>
            <w:r>
              <w:t>5%</w:t>
            </w:r>
          </w:p>
        </w:tc>
        <w:tc>
          <w:tcPr>
            <w:tcW w:w="1644" w:type="dxa"/>
          </w:tcPr>
          <w:p w:rsidR="000401F4" w:rsidRDefault="000401F4" w:rsidP="00587F58">
            <w:pPr>
              <w:spacing w:before="60" w:after="60"/>
              <w:ind w:left="57" w:right="567"/>
              <w:jc w:val="right"/>
            </w:pPr>
            <w:r>
              <w:t>29%</w:t>
            </w:r>
          </w:p>
        </w:tc>
        <w:tc>
          <w:tcPr>
            <w:tcW w:w="1644" w:type="dxa"/>
          </w:tcPr>
          <w:p w:rsidR="000401F4" w:rsidRDefault="000401F4" w:rsidP="00676A5F">
            <w:pPr>
              <w:keepNext/>
              <w:spacing w:before="60" w:after="60"/>
              <w:ind w:left="57" w:right="567"/>
              <w:jc w:val="right"/>
            </w:pPr>
            <w:r>
              <w:t>70%</w:t>
            </w:r>
          </w:p>
        </w:tc>
      </w:tr>
    </w:tbl>
    <w:p w:rsidR="000401F4" w:rsidRDefault="000401F4" w:rsidP="00173A2D"/>
    <w:p w:rsidR="000401F4" w:rsidRDefault="000401F4" w:rsidP="00173A2D">
      <w:r>
        <w:t xml:space="preserve">The two most frequently prescribed antibiotics in laboratory-confirmed campylobacteriosis patients were quinolones (24/47 responses) and macrolides (10/47 responses). </w:t>
      </w:r>
    </w:p>
    <w:p w:rsidR="000401F4" w:rsidRDefault="000401F4" w:rsidP="00F04231">
      <w:r>
        <w:br w:type="page"/>
      </w:r>
    </w:p>
    <w:p w:rsidR="000401F4" w:rsidRPr="00763E2F" w:rsidRDefault="000401F4" w:rsidP="00763E2F">
      <w:pPr>
        <w:pStyle w:val="Caption"/>
        <w:keepNext/>
        <w:rPr>
          <w:b w:val="0"/>
          <w:color w:val="auto"/>
        </w:rPr>
      </w:pPr>
      <w:r>
        <w:rPr>
          <w:color w:val="auto"/>
        </w:rPr>
        <w:lastRenderedPageBreak/>
        <w:t>Supplementary Table S</w:t>
      </w:r>
      <w:r w:rsidRPr="00763E2F">
        <w:rPr>
          <w:color w:val="auto"/>
        </w:rPr>
        <w:fldChar w:fldCharType="begin"/>
      </w:r>
      <w:r w:rsidRPr="00763E2F">
        <w:rPr>
          <w:color w:val="auto"/>
        </w:rPr>
        <w:instrText xml:space="preserve"> SEQ Supplementary_Table_S \* ARABIC </w:instrText>
      </w:r>
      <w:r w:rsidRPr="00763E2F">
        <w:rPr>
          <w:color w:val="auto"/>
        </w:rPr>
        <w:fldChar w:fldCharType="separate"/>
      </w:r>
      <w:r>
        <w:rPr>
          <w:noProof/>
          <w:color w:val="auto"/>
        </w:rPr>
        <w:t>2</w:t>
      </w:r>
      <w:r w:rsidRPr="00763E2F">
        <w:rPr>
          <w:color w:val="auto"/>
        </w:rPr>
        <w:fldChar w:fldCharType="end"/>
      </w:r>
      <w:r>
        <w:rPr>
          <w:color w:val="auto"/>
        </w:rPr>
        <w:t xml:space="preserve">: </w:t>
      </w:r>
      <w:r w:rsidRPr="00763E2F">
        <w:rPr>
          <w:b w:val="0"/>
          <w:color w:val="auto"/>
        </w:rPr>
        <w:t xml:space="preserve">Unit cost prices used for calculation of health care costs for the </w:t>
      </w:r>
      <w:r>
        <w:rPr>
          <w:b w:val="0"/>
          <w:color w:val="auto"/>
        </w:rPr>
        <w:t xml:space="preserve">four different </w:t>
      </w:r>
      <w:r w:rsidRPr="00763E2F">
        <w:rPr>
          <w:b w:val="0"/>
          <w:color w:val="auto"/>
        </w:rPr>
        <w:t>patient management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6"/>
        <w:gridCol w:w="1383"/>
        <w:gridCol w:w="1387"/>
        <w:gridCol w:w="1387"/>
        <w:gridCol w:w="949"/>
      </w:tblGrid>
      <w:tr w:rsidR="000401F4" w:rsidTr="00A84A2D">
        <w:tc>
          <w:tcPr>
            <w:tcW w:w="3966" w:type="dxa"/>
            <w:tcBorders>
              <w:bottom w:val="single" w:sz="4" w:space="0" w:color="auto"/>
            </w:tcBorders>
          </w:tcPr>
          <w:p w:rsidR="000401F4" w:rsidRDefault="000401F4" w:rsidP="00901F52">
            <w:pPr>
              <w:spacing w:before="20" w:after="20"/>
              <w:ind w:left="28" w:right="28"/>
            </w:pPr>
            <w:r>
              <w:t>Item</w:t>
            </w:r>
          </w:p>
        </w:tc>
        <w:tc>
          <w:tcPr>
            <w:tcW w:w="1383" w:type="dxa"/>
            <w:tcBorders>
              <w:bottom w:val="single" w:sz="4" w:space="0" w:color="auto"/>
            </w:tcBorders>
          </w:tcPr>
          <w:p w:rsidR="000401F4" w:rsidRDefault="000401F4" w:rsidP="00C03BA9">
            <w:pPr>
              <w:spacing w:before="20" w:after="20"/>
              <w:ind w:left="28" w:right="28"/>
            </w:pPr>
            <w:r>
              <w:t>Points / cost weight</w:t>
            </w:r>
          </w:p>
        </w:tc>
        <w:tc>
          <w:tcPr>
            <w:tcW w:w="1387" w:type="dxa"/>
            <w:tcBorders>
              <w:bottom w:val="single" w:sz="4" w:space="0" w:color="auto"/>
            </w:tcBorders>
          </w:tcPr>
          <w:p w:rsidR="000401F4" w:rsidRDefault="000401F4" w:rsidP="00C03BA9">
            <w:pPr>
              <w:spacing w:before="20" w:after="20"/>
              <w:ind w:left="28" w:right="28"/>
            </w:pPr>
            <w:r>
              <w:t>Point value / base rate</w:t>
            </w:r>
            <w:r>
              <w:br/>
              <w:t>(in €</w:t>
            </w:r>
            <w:r w:rsidRPr="005F4D94">
              <w:rPr>
                <w:vertAlign w:val="superscript"/>
              </w:rPr>
              <w:t>a</w:t>
            </w:r>
            <w:r>
              <w:t>)</w:t>
            </w:r>
          </w:p>
        </w:tc>
        <w:tc>
          <w:tcPr>
            <w:tcW w:w="1387" w:type="dxa"/>
            <w:tcBorders>
              <w:bottom w:val="single" w:sz="4" w:space="0" w:color="auto"/>
            </w:tcBorders>
          </w:tcPr>
          <w:p w:rsidR="000401F4" w:rsidRDefault="000401F4" w:rsidP="00901F52">
            <w:pPr>
              <w:spacing w:before="20" w:after="20"/>
              <w:ind w:left="28" w:right="28"/>
            </w:pPr>
            <w:r>
              <w:t>Costs (in €</w:t>
            </w:r>
            <w:r w:rsidRPr="005F4D94">
              <w:rPr>
                <w:vertAlign w:val="superscript"/>
              </w:rPr>
              <w:t xml:space="preserve"> a</w:t>
            </w:r>
            <w:r>
              <w:t>)</w:t>
            </w:r>
          </w:p>
        </w:tc>
        <w:tc>
          <w:tcPr>
            <w:tcW w:w="949" w:type="dxa"/>
            <w:tcBorders>
              <w:bottom w:val="single" w:sz="4" w:space="0" w:color="auto"/>
            </w:tcBorders>
          </w:tcPr>
          <w:p w:rsidR="000401F4" w:rsidRDefault="000401F4" w:rsidP="00901F52">
            <w:pPr>
              <w:spacing w:before="20" w:after="20"/>
              <w:ind w:left="28" w:right="28"/>
            </w:pPr>
            <w:r>
              <w:t>Source</w:t>
            </w:r>
          </w:p>
        </w:tc>
      </w:tr>
      <w:tr w:rsidR="000401F4" w:rsidTr="00A84A2D">
        <w:tc>
          <w:tcPr>
            <w:tcW w:w="3966" w:type="dxa"/>
          </w:tcPr>
          <w:p w:rsidR="000401F4" w:rsidRPr="00B76876" w:rsidRDefault="000401F4" w:rsidP="003F2DBF">
            <w:pPr>
              <w:spacing w:before="20" w:after="20"/>
              <w:ind w:left="28" w:right="28"/>
              <w:rPr>
                <w:b/>
              </w:rPr>
            </w:pPr>
            <w:r w:rsidRPr="00B76876">
              <w:rPr>
                <w:b/>
              </w:rPr>
              <w:t>Physician</w:t>
            </w:r>
            <w:r>
              <w:rPr>
                <w:b/>
              </w:rPr>
              <w:t xml:space="preserve"> / consultation costs</w:t>
            </w:r>
          </w:p>
        </w:tc>
        <w:tc>
          <w:tcPr>
            <w:tcW w:w="1383"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949" w:type="dxa"/>
          </w:tcPr>
          <w:p w:rsidR="000401F4" w:rsidRDefault="000401F4" w:rsidP="003E12A1">
            <w:pPr>
              <w:spacing w:before="20" w:after="20"/>
              <w:ind w:left="28" w:right="284"/>
              <w:jc w:val="right"/>
            </w:pPr>
          </w:p>
        </w:tc>
      </w:tr>
      <w:tr w:rsidR="000401F4" w:rsidTr="00A84A2D">
        <w:tc>
          <w:tcPr>
            <w:tcW w:w="3966" w:type="dxa"/>
          </w:tcPr>
          <w:p w:rsidR="000401F4" w:rsidRDefault="000401F4" w:rsidP="00B76876">
            <w:pPr>
              <w:spacing w:before="20" w:after="20"/>
              <w:ind w:left="113" w:right="28"/>
            </w:pPr>
            <w:r>
              <w:t>Consultation</w:t>
            </w:r>
          </w:p>
        </w:tc>
        <w:tc>
          <w:tcPr>
            <w:tcW w:w="1383"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949" w:type="dxa"/>
          </w:tcPr>
          <w:p w:rsidR="000401F4" w:rsidRDefault="000401F4" w:rsidP="003E12A1">
            <w:pPr>
              <w:spacing w:before="20" w:after="20"/>
              <w:ind w:left="28" w:right="284"/>
              <w:jc w:val="right"/>
            </w:pPr>
          </w:p>
        </w:tc>
      </w:tr>
      <w:tr w:rsidR="000401F4" w:rsidTr="00A84A2D">
        <w:tc>
          <w:tcPr>
            <w:tcW w:w="3966" w:type="dxa"/>
          </w:tcPr>
          <w:p w:rsidR="000401F4" w:rsidRDefault="000401F4" w:rsidP="00B76876">
            <w:pPr>
              <w:spacing w:before="20" w:after="20"/>
              <w:ind w:left="340" w:right="28"/>
            </w:pPr>
            <w:r>
              <w:t>First 5 minutes</w:t>
            </w:r>
          </w:p>
        </w:tc>
        <w:tc>
          <w:tcPr>
            <w:tcW w:w="1383" w:type="dxa"/>
          </w:tcPr>
          <w:p w:rsidR="000401F4" w:rsidRDefault="000401F4" w:rsidP="003E12A1">
            <w:pPr>
              <w:spacing w:before="20" w:after="20"/>
              <w:ind w:left="28" w:right="284"/>
              <w:jc w:val="right"/>
            </w:pPr>
            <w:r>
              <w:t>17.76</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12.68</w:t>
            </w:r>
          </w:p>
        </w:tc>
        <w:tc>
          <w:tcPr>
            <w:tcW w:w="949" w:type="dxa"/>
          </w:tcPr>
          <w:p w:rsidR="000401F4" w:rsidRDefault="000401F4" w:rsidP="00170760">
            <w:pPr>
              <w:spacing w:before="20" w:after="20"/>
              <w:ind w:left="28" w:right="284"/>
              <w:jc w:val="right"/>
            </w:pPr>
            <w:r>
              <w:rPr>
                <w:noProof/>
              </w:rPr>
              <w:t>[8, 9]</w:t>
            </w:r>
          </w:p>
        </w:tc>
      </w:tr>
      <w:tr w:rsidR="000401F4" w:rsidTr="00A84A2D">
        <w:tc>
          <w:tcPr>
            <w:tcW w:w="3966" w:type="dxa"/>
          </w:tcPr>
          <w:p w:rsidR="000401F4" w:rsidRDefault="000401F4" w:rsidP="00B76876">
            <w:pPr>
              <w:spacing w:before="20" w:after="20"/>
              <w:ind w:left="340" w:right="28"/>
            </w:pPr>
            <w:r>
              <w:t>Each additional 5 minutes</w:t>
            </w:r>
          </w:p>
        </w:tc>
        <w:tc>
          <w:tcPr>
            <w:tcW w:w="1383" w:type="dxa"/>
          </w:tcPr>
          <w:p w:rsidR="000401F4" w:rsidRDefault="000401F4" w:rsidP="003E12A1">
            <w:pPr>
              <w:spacing w:before="20" w:after="20"/>
              <w:ind w:left="28" w:right="284"/>
              <w:jc w:val="right"/>
            </w:pPr>
            <w:r>
              <w:t>17.76</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12.68</w:t>
            </w:r>
          </w:p>
        </w:tc>
        <w:tc>
          <w:tcPr>
            <w:tcW w:w="949" w:type="dxa"/>
          </w:tcPr>
          <w:p w:rsidR="000401F4" w:rsidRDefault="000401F4" w:rsidP="00170760">
            <w:pPr>
              <w:spacing w:before="20" w:after="20"/>
              <w:ind w:left="28" w:right="284"/>
              <w:jc w:val="right"/>
            </w:pPr>
            <w:r>
              <w:rPr>
                <w:noProof/>
              </w:rPr>
              <w:t>[8, 9]</w:t>
            </w:r>
          </w:p>
        </w:tc>
      </w:tr>
      <w:tr w:rsidR="000401F4" w:rsidTr="00A84A2D">
        <w:tc>
          <w:tcPr>
            <w:tcW w:w="3966" w:type="dxa"/>
          </w:tcPr>
          <w:p w:rsidR="000401F4" w:rsidRDefault="000401F4" w:rsidP="00B76876">
            <w:pPr>
              <w:spacing w:before="20" w:after="20"/>
              <w:ind w:left="340" w:right="28"/>
            </w:pPr>
            <w:r>
              <w:t>Last 5 minutes</w:t>
            </w:r>
          </w:p>
        </w:tc>
        <w:tc>
          <w:tcPr>
            <w:tcW w:w="1383" w:type="dxa"/>
          </w:tcPr>
          <w:p w:rsidR="000401F4" w:rsidRDefault="000401F4" w:rsidP="003E12A1">
            <w:pPr>
              <w:spacing w:before="20" w:after="20"/>
              <w:ind w:left="28" w:right="284"/>
              <w:jc w:val="right"/>
            </w:pPr>
            <w:r>
              <w:t>8.88</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6.34</w:t>
            </w:r>
          </w:p>
        </w:tc>
        <w:tc>
          <w:tcPr>
            <w:tcW w:w="949" w:type="dxa"/>
          </w:tcPr>
          <w:p w:rsidR="000401F4" w:rsidRDefault="000401F4" w:rsidP="00170760">
            <w:pPr>
              <w:spacing w:before="20" w:after="20"/>
              <w:ind w:left="28" w:right="284"/>
              <w:jc w:val="right"/>
            </w:pPr>
            <w:r>
              <w:rPr>
                <w:noProof/>
              </w:rPr>
              <w:t>[8, 9]</w:t>
            </w:r>
          </w:p>
        </w:tc>
      </w:tr>
      <w:tr w:rsidR="000401F4" w:rsidTr="00593864">
        <w:tc>
          <w:tcPr>
            <w:tcW w:w="3966" w:type="dxa"/>
          </w:tcPr>
          <w:p w:rsidR="000401F4" w:rsidRDefault="000401F4" w:rsidP="00B76876">
            <w:pPr>
              <w:spacing w:before="20" w:after="20"/>
              <w:ind w:left="113" w:right="28"/>
            </w:pPr>
            <w:r>
              <w:t>Telephone consultation</w:t>
            </w:r>
          </w:p>
        </w:tc>
        <w:tc>
          <w:tcPr>
            <w:tcW w:w="1383"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949" w:type="dxa"/>
          </w:tcPr>
          <w:p w:rsidR="000401F4" w:rsidRDefault="000401F4" w:rsidP="003E12A1">
            <w:pPr>
              <w:spacing w:before="20" w:after="20"/>
              <w:ind w:left="28" w:right="284"/>
              <w:jc w:val="right"/>
            </w:pPr>
          </w:p>
        </w:tc>
      </w:tr>
      <w:tr w:rsidR="000401F4" w:rsidTr="00593864">
        <w:tc>
          <w:tcPr>
            <w:tcW w:w="3966" w:type="dxa"/>
          </w:tcPr>
          <w:p w:rsidR="000401F4" w:rsidRDefault="000401F4" w:rsidP="00B76876">
            <w:pPr>
              <w:spacing w:before="20" w:after="20"/>
              <w:ind w:left="340" w:right="28"/>
            </w:pPr>
            <w:r>
              <w:t>First 5 minutes</w:t>
            </w:r>
          </w:p>
        </w:tc>
        <w:tc>
          <w:tcPr>
            <w:tcW w:w="1383" w:type="dxa"/>
          </w:tcPr>
          <w:p w:rsidR="000401F4" w:rsidRDefault="000401F4" w:rsidP="003E12A1">
            <w:pPr>
              <w:spacing w:before="20" w:after="20"/>
              <w:ind w:left="28" w:right="284"/>
              <w:jc w:val="right"/>
            </w:pPr>
            <w:r>
              <w:t>17.76</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12.68</w:t>
            </w:r>
          </w:p>
        </w:tc>
        <w:tc>
          <w:tcPr>
            <w:tcW w:w="949" w:type="dxa"/>
          </w:tcPr>
          <w:p w:rsidR="000401F4" w:rsidRDefault="000401F4" w:rsidP="00170760">
            <w:pPr>
              <w:spacing w:before="20" w:after="20"/>
              <w:ind w:left="28" w:right="284"/>
              <w:jc w:val="right"/>
            </w:pPr>
            <w:r>
              <w:rPr>
                <w:noProof/>
              </w:rPr>
              <w:t>[8, 9]</w:t>
            </w:r>
          </w:p>
        </w:tc>
      </w:tr>
      <w:tr w:rsidR="000401F4" w:rsidTr="00593864">
        <w:tc>
          <w:tcPr>
            <w:tcW w:w="3966" w:type="dxa"/>
          </w:tcPr>
          <w:p w:rsidR="000401F4" w:rsidRDefault="000401F4" w:rsidP="00B76876">
            <w:pPr>
              <w:spacing w:before="20" w:after="20"/>
              <w:ind w:left="340" w:right="28"/>
            </w:pPr>
            <w:r>
              <w:t>Each additional 5 minutes</w:t>
            </w:r>
          </w:p>
        </w:tc>
        <w:tc>
          <w:tcPr>
            <w:tcW w:w="1383" w:type="dxa"/>
          </w:tcPr>
          <w:p w:rsidR="000401F4" w:rsidRDefault="000401F4" w:rsidP="003E12A1">
            <w:pPr>
              <w:spacing w:before="20" w:after="20"/>
              <w:ind w:left="28" w:right="284"/>
              <w:jc w:val="right"/>
            </w:pPr>
            <w:r>
              <w:t>17.76</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12.68</w:t>
            </w:r>
          </w:p>
        </w:tc>
        <w:tc>
          <w:tcPr>
            <w:tcW w:w="949" w:type="dxa"/>
          </w:tcPr>
          <w:p w:rsidR="000401F4" w:rsidRDefault="000401F4" w:rsidP="00170760">
            <w:pPr>
              <w:spacing w:before="20" w:after="20"/>
              <w:ind w:left="28" w:right="284"/>
              <w:jc w:val="right"/>
            </w:pPr>
            <w:r>
              <w:rPr>
                <w:noProof/>
              </w:rPr>
              <w:t>[8, 9]</w:t>
            </w:r>
          </w:p>
        </w:tc>
      </w:tr>
      <w:tr w:rsidR="000401F4" w:rsidTr="00593864">
        <w:tc>
          <w:tcPr>
            <w:tcW w:w="3966" w:type="dxa"/>
          </w:tcPr>
          <w:p w:rsidR="000401F4" w:rsidRDefault="000401F4" w:rsidP="00B76876">
            <w:pPr>
              <w:spacing w:before="20" w:after="20"/>
              <w:ind w:left="340" w:right="28"/>
            </w:pPr>
            <w:r>
              <w:t>Last 5 minutes</w:t>
            </w:r>
          </w:p>
        </w:tc>
        <w:tc>
          <w:tcPr>
            <w:tcW w:w="1383" w:type="dxa"/>
          </w:tcPr>
          <w:p w:rsidR="000401F4" w:rsidRDefault="000401F4" w:rsidP="003E12A1">
            <w:pPr>
              <w:spacing w:before="20" w:after="20"/>
              <w:ind w:left="28" w:right="284"/>
              <w:jc w:val="right"/>
            </w:pPr>
            <w:r>
              <w:t>8.88</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6.34</w:t>
            </w:r>
          </w:p>
        </w:tc>
        <w:tc>
          <w:tcPr>
            <w:tcW w:w="949" w:type="dxa"/>
          </w:tcPr>
          <w:p w:rsidR="000401F4" w:rsidRDefault="000401F4" w:rsidP="00170760">
            <w:pPr>
              <w:spacing w:before="20" w:after="20"/>
              <w:ind w:left="28" w:right="284"/>
              <w:jc w:val="right"/>
            </w:pPr>
            <w:r>
              <w:rPr>
                <w:noProof/>
              </w:rPr>
              <w:t>[8, 9]</w:t>
            </w:r>
          </w:p>
        </w:tc>
      </w:tr>
      <w:tr w:rsidR="000401F4" w:rsidTr="00A84A2D">
        <w:tc>
          <w:tcPr>
            <w:tcW w:w="3966" w:type="dxa"/>
          </w:tcPr>
          <w:p w:rsidR="000401F4" w:rsidRDefault="000401F4" w:rsidP="00B76876">
            <w:pPr>
              <w:spacing w:before="20" w:after="20"/>
              <w:ind w:left="113" w:right="28"/>
            </w:pPr>
            <w:r>
              <w:t>Physician service in absence of patient (incl. reviewing patient file), each 5 minutes</w:t>
            </w:r>
          </w:p>
        </w:tc>
        <w:tc>
          <w:tcPr>
            <w:tcW w:w="1383" w:type="dxa"/>
          </w:tcPr>
          <w:p w:rsidR="000401F4" w:rsidRDefault="000401F4" w:rsidP="003E12A1">
            <w:pPr>
              <w:spacing w:before="20" w:after="20"/>
              <w:ind w:left="28" w:right="284"/>
              <w:jc w:val="right"/>
            </w:pPr>
            <w:r>
              <w:t>17.76</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12.68</w:t>
            </w:r>
          </w:p>
        </w:tc>
        <w:tc>
          <w:tcPr>
            <w:tcW w:w="949" w:type="dxa"/>
          </w:tcPr>
          <w:p w:rsidR="000401F4" w:rsidRDefault="000401F4" w:rsidP="00170760">
            <w:pPr>
              <w:spacing w:before="20" w:after="20"/>
              <w:ind w:left="28" w:right="284"/>
              <w:jc w:val="right"/>
            </w:pPr>
            <w:r>
              <w:rPr>
                <w:noProof/>
              </w:rPr>
              <w:t>[8, 9]</w:t>
            </w:r>
          </w:p>
        </w:tc>
      </w:tr>
      <w:tr w:rsidR="000401F4" w:rsidTr="00A84A2D">
        <w:tc>
          <w:tcPr>
            <w:tcW w:w="3966" w:type="dxa"/>
          </w:tcPr>
          <w:p w:rsidR="000401F4" w:rsidRDefault="000401F4" w:rsidP="00B76876">
            <w:pPr>
              <w:spacing w:before="20" w:after="20"/>
              <w:ind w:left="113" w:right="28"/>
            </w:pPr>
            <w:r>
              <w:t>T</w:t>
            </w:r>
            <w:r w:rsidRPr="00644DD4">
              <w:t>aking blood sample</w:t>
            </w:r>
          </w:p>
        </w:tc>
        <w:tc>
          <w:tcPr>
            <w:tcW w:w="1383" w:type="dxa"/>
          </w:tcPr>
          <w:p w:rsidR="000401F4" w:rsidRDefault="000401F4" w:rsidP="003E12A1">
            <w:pPr>
              <w:spacing w:before="20" w:after="20"/>
              <w:ind w:left="28" w:right="284"/>
              <w:jc w:val="right"/>
            </w:pPr>
            <w:r>
              <w:t>8.19</w:t>
            </w:r>
          </w:p>
        </w:tc>
        <w:tc>
          <w:tcPr>
            <w:tcW w:w="1387" w:type="dxa"/>
          </w:tcPr>
          <w:p w:rsidR="000401F4" w:rsidRDefault="000401F4" w:rsidP="003E12A1">
            <w:pPr>
              <w:spacing w:before="20" w:after="20"/>
              <w:ind w:left="28" w:right="284"/>
              <w:jc w:val="right"/>
            </w:pPr>
            <w:r>
              <w:t>0.7138</w:t>
            </w:r>
          </w:p>
        </w:tc>
        <w:tc>
          <w:tcPr>
            <w:tcW w:w="1387" w:type="dxa"/>
          </w:tcPr>
          <w:p w:rsidR="000401F4" w:rsidRDefault="000401F4" w:rsidP="003E12A1">
            <w:pPr>
              <w:spacing w:before="20" w:after="20"/>
              <w:ind w:left="28" w:right="284"/>
              <w:jc w:val="right"/>
            </w:pPr>
            <w:r>
              <w:t>5.85</w:t>
            </w:r>
          </w:p>
        </w:tc>
        <w:tc>
          <w:tcPr>
            <w:tcW w:w="949" w:type="dxa"/>
          </w:tcPr>
          <w:p w:rsidR="000401F4" w:rsidRDefault="000401F4" w:rsidP="00170760">
            <w:pPr>
              <w:spacing w:before="20" w:after="20"/>
              <w:ind w:left="28" w:right="284"/>
              <w:jc w:val="right"/>
            </w:pPr>
            <w:r>
              <w:rPr>
                <w:noProof/>
              </w:rPr>
              <w:t>[8, 9]</w:t>
            </w:r>
          </w:p>
        </w:tc>
      </w:tr>
      <w:tr w:rsidR="000401F4" w:rsidTr="00593864">
        <w:tc>
          <w:tcPr>
            <w:tcW w:w="3966" w:type="dxa"/>
          </w:tcPr>
          <w:p w:rsidR="000401F4" w:rsidRPr="00B76876" w:rsidRDefault="000401F4" w:rsidP="00593864">
            <w:pPr>
              <w:spacing w:before="20" w:after="20"/>
              <w:ind w:left="28" w:right="28"/>
              <w:rPr>
                <w:b/>
              </w:rPr>
            </w:pPr>
            <w:r>
              <w:rPr>
                <w:b/>
              </w:rPr>
              <w:t>Laboratory costs</w:t>
            </w:r>
          </w:p>
        </w:tc>
        <w:tc>
          <w:tcPr>
            <w:tcW w:w="1383"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949" w:type="dxa"/>
          </w:tcPr>
          <w:p w:rsidR="000401F4" w:rsidRDefault="000401F4" w:rsidP="00593864">
            <w:pPr>
              <w:spacing w:before="20" w:after="20"/>
              <w:ind w:left="28" w:right="284"/>
              <w:jc w:val="right"/>
            </w:pPr>
          </w:p>
        </w:tc>
      </w:tr>
      <w:tr w:rsidR="000401F4" w:rsidTr="00A84A2D">
        <w:tc>
          <w:tcPr>
            <w:tcW w:w="3966" w:type="dxa"/>
          </w:tcPr>
          <w:p w:rsidR="000401F4" w:rsidRDefault="000401F4" w:rsidP="00B76876">
            <w:pPr>
              <w:spacing w:before="20" w:after="20"/>
              <w:ind w:left="113" w:right="28"/>
            </w:pPr>
            <w:r>
              <w:t>Stool culture (</w:t>
            </w:r>
            <w:r w:rsidRPr="00DE10EC">
              <w:rPr>
                <w:i/>
              </w:rPr>
              <w:t>Campylobacter</w:t>
            </w:r>
            <w:r>
              <w:t xml:space="preserve">, </w:t>
            </w:r>
            <w:r w:rsidRPr="00DE10EC">
              <w:rPr>
                <w:i/>
              </w:rPr>
              <w:t>Salmonella</w:t>
            </w:r>
            <w:r>
              <w:t xml:space="preserve">, </w:t>
            </w:r>
            <w:proofErr w:type="spellStart"/>
            <w:r w:rsidRPr="00DE10EC">
              <w:rPr>
                <w:i/>
              </w:rPr>
              <w:t>Shigella</w:t>
            </w:r>
            <w:proofErr w:type="spellEnd"/>
            <w:r>
              <w:t>), negative</w:t>
            </w:r>
          </w:p>
        </w:tc>
        <w:tc>
          <w:tcPr>
            <w:tcW w:w="1383" w:type="dxa"/>
          </w:tcPr>
          <w:p w:rsidR="000401F4" w:rsidRDefault="000401F4" w:rsidP="003E12A1">
            <w:pPr>
              <w:spacing w:before="20" w:after="20"/>
              <w:ind w:left="28" w:right="284"/>
              <w:jc w:val="right"/>
            </w:pPr>
            <w:r>
              <w:t>78</w:t>
            </w:r>
          </w:p>
        </w:tc>
        <w:tc>
          <w:tcPr>
            <w:tcW w:w="1387" w:type="dxa"/>
          </w:tcPr>
          <w:p w:rsidR="000401F4" w:rsidRDefault="000401F4" w:rsidP="003E12A1">
            <w:pPr>
              <w:spacing w:before="20" w:after="20"/>
              <w:ind w:left="28" w:right="284"/>
              <w:jc w:val="right"/>
            </w:pPr>
            <w:r>
              <w:t>0.83</w:t>
            </w:r>
          </w:p>
        </w:tc>
        <w:tc>
          <w:tcPr>
            <w:tcW w:w="1387" w:type="dxa"/>
          </w:tcPr>
          <w:p w:rsidR="000401F4" w:rsidRDefault="000401F4" w:rsidP="003E12A1">
            <w:pPr>
              <w:spacing w:before="20" w:after="20"/>
              <w:ind w:left="28" w:right="284"/>
              <w:jc w:val="right"/>
            </w:pPr>
            <w:r>
              <w:t>64.74</w:t>
            </w:r>
          </w:p>
        </w:tc>
        <w:tc>
          <w:tcPr>
            <w:tcW w:w="949" w:type="dxa"/>
          </w:tcPr>
          <w:p w:rsidR="000401F4" w:rsidRDefault="000401F4" w:rsidP="00170760">
            <w:pPr>
              <w:spacing w:before="20" w:after="20"/>
              <w:ind w:left="28" w:right="284"/>
              <w:jc w:val="right"/>
            </w:pPr>
            <w:r>
              <w:rPr>
                <w:noProof/>
              </w:rPr>
              <w:t>[10]</w:t>
            </w:r>
          </w:p>
        </w:tc>
      </w:tr>
      <w:tr w:rsidR="000401F4" w:rsidTr="00A84A2D">
        <w:tc>
          <w:tcPr>
            <w:tcW w:w="3966" w:type="dxa"/>
          </w:tcPr>
          <w:p w:rsidR="000401F4" w:rsidRDefault="000401F4" w:rsidP="00B76876">
            <w:pPr>
              <w:spacing w:before="20" w:after="20"/>
              <w:ind w:left="113" w:right="28"/>
            </w:pPr>
            <w:r>
              <w:t>Stool culture (</w:t>
            </w:r>
            <w:r w:rsidRPr="00DE10EC">
              <w:rPr>
                <w:i/>
              </w:rPr>
              <w:t>Campylobacter</w:t>
            </w:r>
            <w:r>
              <w:t xml:space="preserve">, </w:t>
            </w:r>
            <w:r w:rsidRPr="00DE10EC">
              <w:rPr>
                <w:i/>
              </w:rPr>
              <w:t>Salmonella</w:t>
            </w:r>
            <w:r>
              <w:t xml:space="preserve">, </w:t>
            </w:r>
            <w:proofErr w:type="spellStart"/>
            <w:r w:rsidRPr="00DE10EC">
              <w:rPr>
                <w:i/>
              </w:rPr>
              <w:t>Shigella</w:t>
            </w:r>
            <w:proofErr w:type="spellEnd"/>
            <w:r>
              <w:t>), positive</w:t>
            </w:r>
          </w:p>
        </w:tc>
        <w:tc>
          <w:tcPr>
            <w:tcW w:w="1383" w:type="dxa"/>
          </w:tcPr>
          <w:p w:rsidR="000401F4" w:rsidRDefault="000401F4" w:rsidP="003E12A1">
            <w:pPr>
              <w:spacing w:before="20" w:after="20"/>
              <w:ind w:left="28" w:right="284"/>
              <w:jc w:val="right"/>
            </w:pPr>
            <w:r>
              <w:t>155</w:t>
            </w:r>
          </w:p>
        </w:tc>
        <w:tc>
          <w:tcPr>
            <w:tcW w:w="1387" w:type="dxa"/>
          </w:tcPr>
          <w:p w:rsidR="000401F4" w:rsidRDefault="000401F4" w:rsidP="003E12A1">
            <w:pPr>
              <w:spacing w:before="20" w:after="20"/>
              <w:ind w:left="28" w:right="284"/>
              <w:jc w:val="right"/>
            </w:pPr>
            <w:r>
              <w:t>0.83</w:t>
            </w:r>
          </w:p>
        </w:tc>
        <w:tc>
          <w:tcPr>
            <w:tcW w:w="1387" w:type="dxa"/>
          </w:tcPr>
          <w:p w:rsidR="000401F4" w:rsidRDefault="000401F4" w:rsidP="003E12A1">
            <w:pPr>
              <w:spacing w:before="20" w:after="20"/>
              <w:ind w:left="28" w:right="284"/>
              <w:jc w:val="right"/>
            </w:pPr>
            <w:r>
              <w:t>128.65</w:t>
            </w:r>
          </w:p>
        </w:tc>
        <w:tc>
          <w:tcPr>
            <w:tcW w:w="949" w:type="dxa"/>
          </w:tcPr>
          <w:p w:rsidR="000401F4" w:rsidRDefault="000401F4" w:rsidP="00170760">
            <w:pPr>
              <w:spacing w:before="20" w:after="20"/>
              <w:ind w:left="28" w:right="284"/>
              <w:jc w:val="right"/>
            </w:pPr>
            <w:r>
              <w:rPr>
                <w:noProof/>
              </w:rPr>
              <w:t>[10]</w:t>
            </w:r>
          </w:p>
        </w:tc>
      </w:tr>
      <w:tr w:rsidR="000401F4" w:rsidTr="00A84A2D">
        <w:tc>
          <w:tcPr>
            <w:tcW w:w="3966" w:type="dxa"/>
          </w:tcPr>
          <w:p w:rsidR="000401F4" w:rsidRDefault="000401F4" w:rsidP="00B76876">
            <w:pPr>
              <w:spacing w:before="20" w:after="20"/>
              <w:ind w:left="113" w:right="28"/>
            </w:pPr>
            <w:proofErr w:type="spellStart"/>
            <w:r>
              <w:t>Haemogram</w:t>
            </w:r>
            <w:proofErr w:type="spellEnd"/>
            <w:r>
              <w:t xml:space="preserve"> (through automated method): </w:t>
            </w:r>
            <w:r w:rsidRPr="00C03BA9">
              <w:t>erythrocytes, leucocytes, haemoglobin, haematocrit, thrombocytes, and 5 or more subpopulations of leucocytes</w:t>
            </w:r>
          </w:p>
        </w:tc>
        <w:tc>
          <w:tcPr>
            <w:tcW w:w="1383" w:type="dxa"/>
          </w:tcPr>
          <w:p w:rsidR="000401F4" w:rsidRDefault="000401F4" w:rsidP="003E12A1">
            <w:pPr>
              <w:spacing w:before="20" w:after="20"/>
              <w:ind w:left="28" w:right="284"/>
              <w:jc w:val="right"/>
            </w:pPr>
            <w:r>
              <w:t>12</w:t>
            </w:r>
          </w:p>
        </w:tc>
        <w:tc>
          <w:tcPr>
            <w:tcW w:w="1387" w:type="dxa"/>
          </w:tcPr>
          <w:p w:rsidR="000401F4" w:rsidRDefault="000401F4" w:rsidP="003E12A1">
            <w:pPr>
              <w:spacing w:before="20" w:after="20"/>
              <w:ind w:left="28" w:right="284"/>
              <w:jc w:val="right"/>
            </w:pPr>
            <w:r>
              <w:t>0.83</w:t>
            </w:r>
          </w:p>
        </w:tc>
        <w:tc>
          <w:tcPr>
            <w:tcW w:w="1387" w:type="dxa"/>
          </w:tcPr>
          <w:p w:rsidR="000401F4" w:rsidRDefault="000401F4" w:rsidP="003E12A1">
            <w:pPr>
              <w:spacing w:before="20" w:after="20"/>
              <w:ind w:left="28" w:right="284"/>
              <w:jc w:val="right"/>
            </w:pPr>
            <w:r>
              <w:t>9.96</w:t>
            </w:r>
          </w:p>
        </w:tc>
        <w:tc>
          <w:tcPr>
            <w:tcW w:w="949" w:type="dxa"/>
          </w:tcPr>
          <w:p w:rsidR="000401F4" w:rsidRDefault="000401F4" w:rsidP="00170760">
            <w:pPr>
              <w:spacing w:before="20" w:after="20"/>
              <w:ind w:left="28" w:right="284"/>
              <w:jc w:val="right"/>
            </w:pPr>
            <w:r>
              <w:rPr>
                <w:noProof/>
              </w:rPr>
              <w:t>[10]</w:t>
            </w:r>
          </w:p>
        </w:tc>
      </w:tr>
      <w:tr w:rsidR="000401F4" w:rsidTr="00A84A2D">
        <w:tc>
          <w:tcPr>
            <w:tcW w:w="3966" w:type="dxa"/>
          </w:tcPr>
          <w:p w:rsidR="000401F4" w:rsidRPr="00B03D02" w:rsidRDefault="000401F4" w:rsidP="00B76876">
            <w:pPr>
              <w:spacing w:before="20" w:after="20"/>
              <w:ind w:left="113" w:right="28"/>
              <w:rPr>
                <w:lang w:val="fr-CH"/>
              </w:rPr>
            </w:pPr>
            <w:r w:rsidRPr="00B03D02">
              <w:rPr>
                <w:lang w:val="fr-CH"/>
              </w:rPr>
              <w:t>C-</w:t>
            </w:r>
            <w:proofErr w:type="spellStart"/>
            <w:r w:rsidRPr="00B03D02">
              <w:rPr>
                <w:lang w:val="fr-CH"/>
              </w:rPr>
              <w:t>reactive</w:t>
            </w:r>
            <w:proofErr w:type="spellEnd"/>
            <w:r w:rsidRPr="00B03D02">
              <w:rPr>
                <w:lang w:val="fr-CH"/>
              </w:rPr>
              <w:t xml:space="preserve"> </w:t>
            </w:r>
            <w:proofErr w:type="spellStart"/>
            <w:r w:rsidRPr="00B03D02">
              <w:rPr>
                <w:lang w:val="fr-CH"/>
              </w:rPr>
              <w:t>protein</w:t>
            </w:r>
            <w:proofErr w:type="spellEnd"/>
            <w:r w:rsidRPr="00B03D02">
              <w:rPr>
                <w:lang w:val="fr-CH"/>
              </w:rPr>
              <w:t xml:space="preserve"> (CRP), quantitative</w:t>
            </w:r>
          </w:p>
        </w:tc>
        <w:tc>
          <w:tcPr>
            <w:tcW w:w="1383" w:type="dxa"/>
          </w:tcPr>
          <w:p w:rsidR="000401F4" w:rsidRDefault="000401F4" w:rsidP="003E12A1">
            <w:pPr>
              <w:spacing w:before="20" w:after="20"/>
              <w:ind w:left="28" w:right="284"/>
              <w:jc w:val="right"/>
            </w:pPr>
            <w:r>
              <w:t>10</w:t>
            </w:r>
          </w:p>
        </w:tc>
        <w:tc>
          <w:tcPr>
            <w:tcW w:w="1387" w:type="dxa"/>
          </w:tcPr>
          <w:p w:rsidR="000401F4" w:rsidRDefault="000401F4" w:rsidP="003E12A1">
            <w:pPr>
              <w:spacing w:before="20" w:after="20"/>
              <w:ind w:left="28" w:right="284"/>
              <w:jc w:val="right"/>
            </w:pPr>
            <w:r>
              <w:t>0.83</w:t>
            </w:r>
          </w:p>
        </w:tc>
        <w:tc>
          <w:tcPr>
            <w:tcW w:w="1387" w:type="dxa"/>
          </w:tcPr>
          <w:p w:rsidR="000401F4" w:rsidRDefault="000401F4" w:rsidP="003E12A1">
            <w:pPr>
              <w:spacing w:before="20" w:after="20"/>
              <w:ind w:left="28" w:right="284"/>
              <w:jc w:val="right"/>
            </w:pPr>
            <w:r>
              <w:t>8.30</w:t>
            </w:r>
          </w:p>
        </w:tc>
        <w:tc>
          <w:tcPr>
            <w:tcW w:w="949" w:type="dxa"/>
          </w:tcPr>
          <w:p w:rsidR="000401F4" w:rsidRDefault="000401F4" w:rsidP="00170760">
            <w:pPr>
              <w:spacing w:before="20" w:after="20"/>
              <w:ind w:left="28" w:right="284"/>
              <w:jc w:val="right"/>
            </w:pPr>
            <w:r>
              <w:rPr>
                <w:noProof/>
              </w:rPr>
              <w:t>[10]</w:t>
            </w:r>
          </w:p>
        </w:tc>
      </w:tr>
      <w:tr w:rsidR="000401F4" w:rsidTr="00593864">
        <w:tc>
          <w:tcPr>
            <w:tcW w:w="3966" w:type="dxa"/>
          </w:tcPr>
          <w:p w:rsidR="000401F4" w:rsidRPr="00B76876" w:rsidRDefault="000401F4" w:rsidP="00593864">
            <w:pPr>
              <w:spacing w:before="20" w:after="20"/>
              <w:ind w:left="28" w:right="28"/>
              <w:rPr>
                <w:b/>
              </w:rPr>
            </w:pPr>
            <w:r>
              <w:rPr>
                <w:b/>
              </w:rPr>
              <w:t>Medication / pharmacy costs</w:t>
            </w:r>
          </w:p>
        </w:tc>
        <w:tc>
          <w:tcPr>
            <w:tcW w:w="1383"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949" w:type="dxa"/>
          </w:tcPr>
          <w:p w:rsidR="000401F4" w:rsidRDefault="000401F4" w:rsidP="00593864">
            <w:pPr>
              <w:spacing w:before="20" w:after="20"/>
              <w:ind w:left="28" w:right="284"/>
              <w:jc w:val="right"/>
            </w:pPr>
          </w:p>
        </w:tc>
      </w:tr>
      <w:tr w:rsidR="000401F4" w:rsidTr="00A84A2D">
        <w:tc>
          <w:tcPr>
            <w:tcW w:w="3966" w:type="dxa"/>
          </w:tcPr>
          <w:p w:rsidR="000401F4" w:rsidRDefault="000401F4" w:rsidP="00B76876">
            <w:pPr>
              <w:spacing w:before="20" w:after="20"/>
              <w:ind w:left="113" w:right="28"/>
            </w:pPr>
            <w:r>
              <w:t>Pharmacy fee: check of purchase</w:t>
            </w:r>
          </w:p>
        </w:tc>
        <w:tc>
          <w:tcPr>
            <w:tcW w:w="1383"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r>
              <w:t>2.70</w:t>
            </w:r>
          </w:p>
        </w:tc>
        <w:tc>
          <w:tcPr>
            <w:tcW w:w="949" w:type="dxa"/>
          </w:tcPr>
          <w:p w:rsidR="000401F4" w:rsidRDefault="000401F4" w:rsidP="00170760">
            <w:pPr>
              <w:spacing w:before="20" w:after="20"/>
              <w:ind w:left="28" w:right="284"/>
              <w:jc w:val="right"/>
            </w:pPr>
            <w:r>
              <w:rPr>
                <w:noProof/>
              </w:rPr>
              <w:t>[11]</w:t>
            </w:r>
          </w:p>
        </w:tc>
      </w:tr>
      <w:tr w:rsidR="000401F4" w:rsidTr="00A84A2D">
        <w:tc>
          <w:tcPr>
            <w:tcW w:w="3966" w:type="dxa"/>
          </w:tcPr>
          <w:p w:rsidR="000401F4" w:rsidRDefault="000401F4" w:rsidP="00B76876">
            <w:pPr>
              <w:spacing w:before="20" w:after="20"/>
              <w:ind w:left="113" w:right="28"/>
            </w:pPr>
            <w:r>
              <w:t>Pharmacy fee: check of prescription</w:t>
            </w:r>
          </w:p>
        </w:tc>
        <w:tc>
          <w:tcPr>
            <w:tcW w:w="1383"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p>
        </w:tc>
        <w:tc>
          <w:tcPr>
            <w:tcW w:w="1387" w:type="dxa"/>
          </w:tcPr>
          <w:p w:rsidR="000401F4" w:rsidRDefault="000401F4" w:rsidP="003E12A1">
            <w:pPr>
              <w:spacing w:before="20" w:after="20"/>
              <w:ind w:left="28" w:right="284"/>
              <w:jc w:val="right"/>
            </w:pPr>
            <w:r>
              <w:t>3.57</w:t>
            </w:r>
          </w:p>
        </w:tc>
        <w:tc>
          <w:tcPr>
            <w:tcW w:w="949" w:type="dxa"/>
          </w:tcPr>
          <w:p w:rsidR="000401F4" w:rsidRDefault="000401F4" w:rsidP="00170760">
            <w:pPr>
              <w:spacing w:before="20" w:after="20"/>
              <w:ind w:left="28" w:right="284"/>
              <w:jc w:val="right"/>
            </w:pPr>
            <w:r>
              <w:rPr>
                <w:noProof/>
              </w:rPr>
              <w:t>[11]</w:t>
            </w:r>
          </w:p>
        </w:tc>
      </w:tr>
      <w:tr w:rsidR="000401F4" w:rsidTr="00593864">
        <w:tc>
          <w:tcPr>
            <w:tcW w:w="3966" w:type="dxa"/>
          </w:tcPr>
          <w:p w:rsidR="000401F4" w:rsidRDefault="000401F4" w:rsidP="00593864">
            <w:pPr>
              <w:spacing w:before="20" w:after="20"/>
              <w:ind w:left="113" w:right="28"/>
            </w:pPr>
            <w:proofErr w:type="spellStart"/>
            <w:r>
              <w:t>Antibiotic</w:t>
            </w:r>
            <w:r>
              <w:rPr>
                <w:vertAlign w:val="superscript"/>
              </w:rPr>
              <w:t>b</w:t>
            </w:r>
            <w:proofErr w:type="spellEnd"/>
          </w:p>
        </w:tc>
        <w:tc>
          <w:tcPr>
            <w:tcW w:w="1383"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r>
              <w:t>24.90</w:t>
            </w:r>
          </w:p>
        </w:tc>
        <w:tc>
          <w:tcPr>
            <w:tcW w:w="949" w:type="dxa"/>
          </w:tcPr>
          <w:p w:rsidR="000401F4" w:rsidRDefault="000401F4" w:rsidP="00170760">
            <w:pPr>
              <w:spacing w:before="20" w:after="20"/>
              <w:ind w:left="28" w:right="284"/>
              <w:jc w:val="right"/>
            </w:pPr>
            <w:r>
              <w:rPr>
                <w:noProof/>
              </w:rPr>
              <w:t>[12]</w:t>
            </w:r>
          </w:p>
        </w:tc>
      </w:tr>
      <w:tr w:rsidR="000401F4" w:rsidTr="00593864">
        <w:tc>
          <w:tcPr>
            <w:tcW w:w="3966" w:type="dxa"/>
          </w:tcPr>
          <w:p w:rsidR="000401F4" w:rsidRDefault="000401F4" w:rsidP="00593864">
            <w:pPr>
              <w:spacing w:before="20" w:after="20"/>
              <w:ind w:left="113" w:right="28"/>
            </w:pPr>
            <w:r>
              <w:t>Medication (P</w:t>
            </w:r>
            <w:r w:rsidRPr="005B5B17">
              <w:t xml:space="preserve">robiotic, antiemetic or </w:t>
            </w:r>
            <w:proofErr w:type="spellStart"/>
            <w:r w:rsidRPr="005B5B17">
              <w:t>antidiarrhoeal</w:t>
            </w:r>
            <w:proofErr w:type="spellEnd"/>
            <w:r>
              <w:t>)</w:t>
            </w:r>
            <w:r>
              <w:rPr>
                <w:vertAlign w:val="superscript"/>
              </w:rPr>
              <w:t>c</w:t>
            </w:r>
          </w:p>
        </w:tc>
        <w:tc>
          <w:tcPr>
            <w:tcW w:w="1383"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r>
              <w:t>10.79</w:t>
            </w:r>
          </w:p>
        </w:tc>
        <w:tc>
          <w:tcPr>
            <w:tcW w:w="949" w:type="dxa"/>
          </w:tcPr>
          <w:p w:rsidR="000401F4" w:rsidRDefault="000401F4" w:rsidP="00170760">
            <w:pPr>
              <w:spacing w:before="20" w:after="20"/>
              <w:ind w:left="28" w:right="284"/>
              <w:jc w:val="right"/>
            </w:pPr>
            <w:r>
              <w:rPr>
                <w:noProof/>
              </w:rPr>
              <w:t>[12]</w:t>
            </w:r>
          </w:p>
        </w:tc>
      </w:tr>
      <w:tr w:rsidR="000401F4" w:rsidTr="00593864">
        <w:tc>
          <w:tcPr>
            <w:tcW w:w="3966" w:type="dxa"/>
          </w:tcPr>
          <w:p w:rsidR="000401F4" w:rsidRPr="00B76876" w:rsidRDefault="000401F4" w:rsidP="00593864">
            <w:pPr>
              <w:spacing w:before="20" w:after="20"/>
              <w:ind w:left="28" w:right="28"/>
              <w:rPr>
                <w:b/>
              </w:rPr>
            </w:pPr>
            <w:r>
              <w:rPr>
                <w:b/>
              </w:rPr>
              <w:t>Hospital costs</w:t>
            </w:r>
          </w:p>
        </w:tc>
        <w:tc>
          <w:tcPr>
            <w:tcW w:w="1383"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1387" w:type="dxa"/>
          </w:tcPr>
          <w:p w:rsidR="000401F4" w:rsidRDefault="000401F4" w:rsidP="00593864">
            <w:pPr>
              <w:spacing w:before="20" w:after="20"/>
              <w:ind w:left="28" w:right="284"/>
              <w:jc w:val="right"/>
            </w:pPr>
          </w:p>
        </w:tc>
        <w:tc>
          <w:tcPr>
            <w:tcW w:w="949" w:type="dxa"/>
          </w:tcPr>
          <w:p w:rsidR="000401F4" w:rsidRDefault="000401F4" w:rsidP="00593864">
            <w:pPr>
              <w:spacing w:before="20" w:after="20"/>
              <w:ind w:left="28" w:right="284"/>
              <w:jc w:val="right"/>
            </w:pPr>
          </w:p>
        </w:tc>
      </w:tr>
      <w:tr w:rsidR="000401F4" w:rsidTr="005B5B17">
        <w:tc>
          <w:tcPr>
            <w:tcW w:w="3966" w:type="dxa"/>
            <w:tcBorders>
              <w:bottom w:val="single" w:sz="4" w:space="0" w:color="auto"/>
            </w:tcBorders>
          </w:tcPr>
          <w:p w:rsidR="000401F4" w:rsidRDefault="000401F4" w:rsidP="00B76876">
            <w:pPr>
              <w:spacing w:before="20" w:after="20"/>
              <w:ind w:left="113" w:right="28"/>
            </w:pPr>
            <w:r>
              <w:t>Hospital stay: DRG G67B</w:t>
            </w:r>
          </w:p>
        </w:tc>
        <w:tc>
          <w:tcPr>
            <w:tcW w:w="1383" w:type="dxa"/>
            <w:tcBorders>
              <w:bottom w:val="single" w:sz="4" w:space="0" w:color="auto"/>
            </w:tcBorders>
          </w:tcPr>
          <w:p w:rsidR="000401F4" w:rsidRDefault="000401F4" w:rsidP="003E12A1">
            <w:pPr>
              <w:spacing w:before="20" w:after="20"/>
              <w:ind w:left="28" w:right="284"/>
              <w:jc w:val="right"/>
            </w:pPr>
            <w:r>
              <w:t>0.573</w:t>
            </w:r>
          </w:p>
        </w:tc>
        <w:tc>
          <w:tcPr>
            <w:tcW w:w="1387" w:type="dxa"/>
            <w:tcBorders>
              <w:bottom w:val="single" w:sz="4" w:space="0" w:color="auto"/>
            </w:tcBorders>
          </w:tcPr>
          <w:p w:rsidR="000401F4" w:rsidRDefault="000401F4" w:rsidP="003E12A1">
            <w:pPr>
              <w:spacing w:before="20" w:after="20"/>
              <w:ind w:left="28" w:right="284"/>
              <w:jc w:val="right"/>
            </w:pPr>
            <w:r>
              <w:t>8250.20</w:t>
            </w:r>
          </w:p>
        </w:tc>
        <w:tc>
          <w:tcPr>
            <w:tcW w:w="1387" w:type="dxa"/>
            <w:tcBorders>
              <w:bottom w:val="single" w:sz="4" w:space="0" w:color="auto"/>
            </w:tcBorders>
          </w:tcPr>
          <w:p w:rsidR="000401F4" w:rsidRDefault="000401F4" w:rsidP="003E12A1">
            <w:pPr>
              <w:spacing w:before="20" w:after="20"/>
              <w:ind w:left="28" w:right="284"/>
              <w:jc w:val="right"/>
            </w:pPr>
            <w:r>
              <w:t>4727.36</w:t>
            </w:r>
          </w:p>
        </w:tc>
        <w:tc>
          <w:tcPr>
            <w:tcW w:w="949" w:type="dxa"/>
            <w:tcBorders>
              <w:bottom w:val="single" w:sz="4" w:space="0" w:color="auto"/>
            </w:tcBorders>
          </w:tcPr>
          <w:p w:rsidR="000401F4" w:rsidRDefault="000401F4" w:rsidP="00170760">
            <w:pPr>
              <w:spacing w:before="20" w:after="20"/>
              <w:ind w:left="28" w:right="284"/>
              <w:jc w:val="right"/>
            </w:pPr>
            <w:r>
              <w:rPr>
                <w:noProof/>
              </w:rPr>
              <w:t>[13, 14]</w:t>
            </w:r>
          </w:p>
        </w:tc>
      </w:tr>
      <w:tr w:rsidR="000401F4" w:rsidRPr="00D90DC6" w:rsidTr="002162A8">
        <w:tc>
          <w:tcPr>
            <w:tcW w:w="9072" w:type="dxa"/>
            <w:gridSpan w:val="5"/>
            <w:tcBorders>
              <w:top w:val="single" w:sz="4" w:space="0" w:color="auto"/>
            </w:tcBorders>
          </w:tcPr>
          <w:p w:rsidR="000401F4" w:rsidRPr="00D90DC6" w:rsidRDefault="000401F4" w:rsidP="00170760">
            <w:pPr>
              <w:spacing w:before="20" w:after="20"/>
              <w:ind w:left="28" w:right="284"/>
              <w:rPr>
                <w:sz w:val="18"/>
                <w:szCs w:val="18"/>
                <w:vertAlign w:val="superscript"/>
              </w:rPr>
            </w:pPr>
            <w:proofErr w:type="spellStart"/>
            <w:r w:rsidRPr="00D90DC6">
              <w:rPr>
                <w:sz w:val="18"/>
                <w:szCs w:val="18"/>
                <w:vertAlign w:val="superscript"/>
              </w:rPr>
              <w:t>a</w:t>
            </w:r>
            <w:proofErr w:type="spellEnd"/>
            <w:r w:rsidRPr="00D90DC6">
              <w:rPr>
                <w:sz w:val="18"/>
                <w:szCs w:val="18"/>
                <w:vertAlign w:val="superscript"/>
              </w:rPr>
              <w:t xml:space="preserve"> </w:t>
            </w:r>
            <w:r w:rsidRPr="00D90DC6">
              <w:rPr>
                <w:sz w:val="18"/>
                <w:szCs w:val="18"/>
              </w:rPr>
              <w:t xml:space="preserve">Average exchange rate for 2012 was used to convert Swiss francs to Euros: 1 CHF = 0.83€ </w:t>
            </w:r>
            <w:r>
              <w:rPr>
                <w:noProof/>
                <w:sz w:val="18"/>
                <w:szCs w:val="18"/>
              </w:rPr>
              <w:t>[15]</w:t>
            </w:r>
          </w:p>
        </w:tc>
      </w:tr>
      <w:tr w:rsidR="000401F4" w:rsidRPr="00D90DC6" w:rsidTr="009D7E64">
        <w:tc>
          <w:tcPr>
            <w:tcW w:w="9072" w:type="dxa"/>
            <w:gridSpan w:val="5"/>
            <w:tcBorders>
              <w:top w:val="single" w:sz="4" w:space="0" w:color="auto"/>
            </w:tcBorders>
          </w:tcPr>
          <w:p w:rsidR="000401F4" w:rsidRPr="00D90DC6" w:rsidRDefault="000401F4" w:rsidP="00170760">
            <w:pPr>
              <w:spacing w:before="20" w:after="20"/>
              <w:ind w:left="28" w:right="284"/>
              <w:rPr>
                <w:sz w:val="18"/>
                <w:szCs w:val="18"/>
                <w:vertAlign w:val="superscript"/>
              </w:rPr>
            </w:pPr>
            <w:r w:rsidRPr="00D90DC6">
              <w:rPr>
                <w:sz w:val="18"/>
                <w:szCs w:val="18"/>
                <w:vertAlign w:val="superscript"/>
              </w:rPr>
              <w:t xml:space="preserve">b </w:t>
            </w:r>
            <w:r w:rsidRPr="00D90DC6">
              <w:rPr>
                <w:sz w:val="18"/>
                <w:szCs w:val="18"/>
              </w:rPr>
              <w:t xml:space="preserve">Average price for an antibiotic was calculated by (1) extracting all drugs with active agent erythromycin or ciprofloxacin, antibiotics which are recommended for treatment of campylobacteriosis according to </w:t>
            </w:r>
            <w:proofErr w:type="spellStart"/>
            <w:r w:rsidRPr="00D90DC6">
              <w:rPr>
                <w:sz w:val="18"/>
                <w:szCs w:val="18"/>
              </w:rPr>
              <w:t>Schweiger</w:t>
            </w:r>
            <w:proofErr w:type="spellEnd"/>
            <w:r w:rsidRPr="00D90DC6">
              <w:rPr>
                <w:sz w:val="18"/>
                <w:szCs w:val="18"/>
              </w:rPr>
              <w:t xml:space="preserve"> </w:t>
            </w:r>
            <w:r w:rsidRPr="00D90DC6">
              <w:rPr>
                <w:i/>
                <w:sz w:val="18"/>
                <w:szCs w:val="18"/>
              </w:rPr>
              <w:t>et al.</w:t>
            </w:r>
            <w:r w:rsidRPr="00D90DC6">
              <w:rPr>
                <w:sz w:val="18"/>
                <w:szCs w:val="18"/>
              </w:rPr>
              <w:t xml:space="preserve"> </w:t>
            </w:r>
            <w:r>
              <w:rPr>
                <w:noProof/>
                <w:sz w:val="18"/>
                <w:szCs w:val="18"/>
              </w:rPr>
              <w:t>[16]</w:t>
            </w:r>
            <w:r w:rsidRPr="00D90DC6">
              <w:rPr>
                <w:sz w:val="18"/>
                <w:szCs w:val="18"/>
              </w:rPr>
              <w:t xml:space="preserve"> from the list of pharmaceutical specialties </w:t>
            </w:r>
            <w:r>
              <w:rPr>
                <w:noProof/>
                <w:sz w:val="18"/>
                <w:szCs w:val="18"/>
              </w:rPr>
              <w:t>[12]</w:t>
            </w:r>
            <w:r w:rsidRPr="00D90DC6">
              <w:rPr>
                <w:sz w:val="18"/>
                <w:szCs w:val="18"/>
              </w:rPr>
              <w:t xml:space="preserve">, (2) selecting drugs suitable for the recommended treatment of 2x500mg for 5 days </w:t>
            </w:r>
            <w:r>
              <w:rPr>
                <w:noProof/>
                <w:sz w:val="18"/>
                <w:szCs w:val="18"/>
              </w:rPr>
              <w:t>[16]</w:t>
            </w:r>
            <w:r w:rsidRPr="00D90DC6">
              <w:rPr>
                <w:sz w:val="18"/>
                <w:szCs w:val="18"/>
              </w:rPr>
              <w:t xml:space="preserve"> (hence, smallest packaging size with at least 10 tablets with 500mg of active agent), (3) calculating the average cost per active agent, and (4) calculating the average cost over the two active agents by using the ratio of erythromycin </w:t>
            </w:r>
            <w:r w:rsidRPr="00D90DC6">
              <w:rPr>
                <w:i/>
                <w:sz w:val="18"/>
                <w:szCs w:val="18"/>
              </w:rPr>
              <w:t>vs.</w:t>
            </w:r>
            <w:r w:rsidRPr="00D90DC6">
              <w:rPr>
                <w:sz w:val="18"/>
                <w:szCs w:val="18"/>
              </w:rPr>
              <w:t xml:space="preserve"> ciprofloxacin as observed in the </w:t>
            </w:r>
            <w:proofErr w:type="spellStart"/>
            <w:r w:rsidRPr="00D90DC6">
              <w:rPr>
                <w:sz w:val="18"/>
                <w:szCs w:val="18"/>
              </w:rPr>
              <w:t>Sentinella</w:t>
            </w:r>
            <w:proofErr w:type="spellEnd"/>
            <w:r w:rsidRPr="00D90DC6">
              <w:rPr>
                <w:sz w:val="18"/>
                <w:szCs w:val="18"/>
              </w:rPr>
              <w:t xml:space="preserve"> study (one third erythromycin, two thirds ciprofloxacin)</w:t>
            </w:r>
          </w:p>
        </w:tc>
      </w:tr>
      <w:tr w:rsidR="000401F4" w:rsidRPr="00D90DC6" w:rsidTr="002162A8">
        <w:tc>
          <w:tcPr>
            <w:tcW w:w="9072" w:type="dxa"/>
            <w:gridSpan w:val="5"/>
          </w:tcPr>
          <w:p w:rsidR="000401F4" w:rsidRPr="00D90DC6" w:rsidRDefault="000401F4" w:rsidP="00170760">
            <w:pPr>
              <w:spacing w:before="20" w:after="20"/>
              <w:ind w:left="28" w:right="284"/>
              <w:rPr>
                <w:sz w:val="18"/>
                <w:szCs w:val="18"/>
              </w:rPr>
            </w:pPr>
            <w:r w:rsidRPr="00D90DC6">
              <w:rPr>
                <w:sz w:val="18"/>
                <w:szCs w:val="18"/>
                <w:vertAlign w:val="superscript"/>
              </w:rPr>
              <w:t xml:space="preserve">c </w:t>
            </w:r>
            <w:r w:rsidRPr="00D90DC6">
              <w:rPr>
                <w:sz w:val="18"/>
                <w:szCs w:val="18"/>
              </w:rPr>
              <w:t xml:space="preserve">Average price for one drug (either probiotic, antiemetic or </w:t>
            </w:r>
            <w:proofErr w:type="spellStart"/>
            <w:r w:rsidRPr="00D90DC6">
              <w:rPr>
                <w:sz w:val="18"/>
                <w:szCs w:val="18"/>
              </w:rPr>
              <w:t>antidiarrhoeal</w:t>
            </w:r>
            <w:proofErr w:type="spellEnd"/>
            <w:r w:rsidRPr="00D90DC6">
              <w:rPr>
                <w:sz w:val="18"/>
                <w:szCs w:val="18"/>
              </w:rPr>
              <w:t xml:space="preserve">) was calculated by (1) extracting all drugs with active agent </w:t>
            </w:r>
            <w:r w:rsidRPr="00D90DC6">
              <w:rPr>
                <w:i/>
                <w:sz w:val="18"/>
                <w:szCs w:val="18"/>
              </w:rPr>
              <w:t xml:space="preserve">Enterococcus </w:t>
            </w:r>
            <w:proofErr w:type="spellStart"/>
            <w:r w:rsidRPr="00D90DC6">
              <w:rPr>
                <w:i/>
                <w:sz w:val="18"/>
                <w:szCs w:val="18"/>
              </w:rPr>
              <w:t>faecium</w:t>
            </w:r>
            <w:proofErr w:type="spellEnd"/>
            <w:r w:rsidRPr="00D90DC6">
              <w:rPr>
                <w:i/>
                <w:sz w:val="18"/>
                <w:szCs w:val="18"/>
              </w:rPr>
              <w:t xml:space="preserve"> SF68</w:t>
            </w:r>
            <w:r w:rsidRPr="00D90DC6">
              <w:rPr>
                <w:sz w:val="18"/>
                <w:szCs w:val="18"/>
              </w:rPr>
              <w:t xml:space="preserve">, </w:t>
            </w:r>
            <w:r w:rsidRPr="00D90DC6">
              <w:rPr>
                <w:i/>
                <w:sz w:val="18"/>
                <w:szCs w:val="18"/>
              </w:rPr>
              <w:t xml:space="preserve">Saccharomyces </w:t>
            </w:r>
            <w:proofErr w:type="spellStart"/>
            <w:r w:rsidRPr="00D90DC6">
              <w:rPr>
                <w:i/>
                <w:sz w:val="18"/>
                <w:szCs w:val="18"/>
              </w:rPr>
              <w:t>boulardii</w:t>
            </w:r>
            <w:proofErr w:type="spellEnd"/>
            <w:r w:rsidRPr="00D90DC6">
              <w:rPr>
                <w:sz w:val="18"/>
                <w:szCs w:val="18"/>
              </w:rPr>
              <w:t xml:space="preserve">, </w:t>
            </w:r>
            <w:proofErr w:type="spellStart"/>
            <w:r w:rsidRPr="00D90DC6">
              <w:rPr>
                <w:sz w:val="18"/>
                <w:szCs w:val="18"/>
              </w:rPr>
              <w:t>domperidone</w:t>
            </w:r>
            <w:proofErr w:type="spellEnd"/>
            <w:r w:rsidRPr="00D90DC6">
              <w:rPr>
                <w:sz w:val="18"/>
                <w:szCs w:val="18"/>
              </w:rPr>
              <w:t xml:space="preserve"> or </w:t>
            </w:r>
            <w:proofErr w:type="spellStart"/>
            <w:r w:rsidRPr="00D90DC6">
              <w:rPr>
                <w:sz w:val="18"/>
                <w:szCs w:val="18"/>
              </w:rPr>
              <w:t>loperamide</w:t>
            </w:r>
            <w:proofErr w:type="spellEnd"/>
            <w:r w:rsidRPr="00D90DC6">
              <w:rPr>
                <w:sz w:val="18"/>
                <w:szCs w:val="18"/>
              </w:rPr>
              <w:t xml:space="preserve"> from the </w:t>
            </w:r>
            <w:r w:rsidRPr="00D90DC6">
              <w:rPr>
                <w:sz w:val="18"/>
                <w:szCs w:val="18"/>
                <w:lang w:eastAsia="de-DE"/>
              </w:rPr>
              <w:t xml:space="preserve">list of pharmaceutical specialties </w:t>
            </w:r>
            <w:r>
              <w:rPr>
                <w:noProof/>
                <w:sz w:val="18"/>
                <w:szCs w:val="18"/>
                <w:lang w:eastAsia="de-DE"/>
              </w:rPr>
              <w:t>[12]</w:t>
            </w:r>
            <w:r w:rsidRPr="00D90DC6">
              <w:rPr>
                <w:sz w:val="18"/>
                <w:szCs w:val="18"/>
              </w:rPr>
              <w:t>, (2) selecting the smallest packaging size for each drug/brand, (3) calculating the average cost per active agent, and (4) calculating the average costs over all active agents.</w:t>
            </w:r>
          </w:p>
        </w:tc>
      </w:tr>
    </w:tbl>
    <w:p w:rsidR="000401F4" w:rsidRDefault="000401F4">
      <w:r>
        <w:br w:type="page"/>
      </w:r>
    </w:p>
    <w:p w:rsidR="000401F4" w:rsidRPr="00020895" w:rsidRDefault="000401F4" w:rsidP="00020895">
      <w:pPr>
        <w:pStyle w:val="Caption"/>
        <w:keepNext/>
        <w:rPr>
          <w:b w:val="0"/>
          <w:color w:val="auto"/>
        </w:rPr>
      </w:pPr>
      <w:r w:rsidRPr="00020895">
        <w:rPr>
          <w:color w:val="auto"/>
        </w:rPr>
        <w:lastRenderedPageBreak/>
        <w:t>Supplementary Table S</w:t>
      </w:r>
      <w:r w:rsidRPr="00020895">
        <w:rPr>
          <w:color w:val="auto"/>
        </w:rPr>
        <w:fldChar w:fldCharType="begin"/>
      </w:r>
      <w:r w:rsidRPr="00020895">
        <w:rPr>
          <w:color w:val="auto"/>
        </w:rPr>
        <w:instrText xml:space="preserve"> SEQ Supplementary_Table_S \* ARABIC </w:instrText>
      </w:r>
      <w:r w:rsidRPr="00020895">
        <w:rPr>
          <w:color w:val="auto"/>
        </w:rPr>
        <w:fldChar w:fldCharType="separate"/>
      </w:r>
      <w:r>
        <w:rPr>
          <w:noProof/>
          <w:color w:val="auto"/>
        </w:rPr>
        <w:t>3</w:t>
      </w:r>
      <w:r w:rsidRPr="00020895">
        <w:rPr>
          <w:color w:val="auto"/>
        </w:rPr>
        <w:fldChar w:fldCharType="end"/>
      </w:r>
      <w:r w:rsidRPr="00020895">
        <w:rPr>
          <w:color w:val="auto"/>
        </w:rPr>
        <w:t xml:space="preserve"> </w:t>
      </w:r>
      <w:r w:rsidRPr="00020895">
        <w:rPr>
          <w:b w:val="0"/>
          <w:color w:val="auto"/>
        </w:rPr>
        <w:t>Comparison of costs estimated for patient management model C and actual costs of campylobacteriosis patients treated at the Swiss TPH Travel Clinic by type of provider (in Euro).</w:t>
      </w:r>
    </w:p>
    <w:tbl>
      <w:tblPr>
        <w:tblW w:w="7486" w:type="dxa"/>
        <w:tblInd w:w="55" w:type="dxa"/>
        <w:tblLayout w:type="fixed"/>
        <w:tblCellMar>
          <w:left w:w="28" w:type="dxa"/>
          <w:right w:w="28" w:type="dxa"/>
        </w:tblCellMar>
        <w:tblLook w:val="04A0" w:firstRow="1" w:lastRow="0" w:firstColumn="1" w:lastColumn="0" w:noHBand="0" w:noVBand="1"/>
      </w:tblPr>
      <w:tblGrid>
        <w:gridCol w:w="2667"/>
        <w:gridCol w:w="1037"/>
        <w:gridCol w:w="1192"/>
        <w:gridCol w:w="857"/>
        <w:gridCol w:w="1733"/>
      </w:tblGrid>
      <w:tr w:rsidR="000401F4" w:rsidRPr="00836A28" w:rsidTr="000B7E1B">
        <w:trPr>
          <w:trHeight w:val="806"/>
        </w:trPr>
        <w:tc>
          <w:tcPr>
            <w:tcW w:w="2667" w:type="dxa"/>
            <w:shd w:val="clear" w:color="auto" w:fill="auto"/>
            <w:noWrap/>
            <w:vAlign w:val="bottom"/>
            <w:hideMark/>
          </w:tcPr>
          <w:p w:rsidR="000401F4" w:rsidRPr="00836A28" w:rsidRDefault="000401F4" w:rsidP="00D90DC6">
            <w:pPr>
              <w:suppressAutoHyphens/>
              <w:spacing w:before="20" w:after="0"/>
              <w:rPr>
                <w:rFonts w:eastAsia="Times New Roman"/>
                <w:b/>
                <w:bCs/>
                <w:color w:val="000000"/>
                <w:sz w:val="20"/>
                <w:szCs w:val="20"/>
                <w:lang w:eastAsia="de-CH"/>
              </w:rPr>
            </w:pPr>
          </w:p>
        </w:tc>
        <w:tc>
          <w:tcPr>
            <w:tcW w:w="2229" w:type="dxa"/>
            <w:gridSpan w:val="2"/>
            <w:shd w:val="clear" w:color="auto" w:fill="auto"/>
            <w:noWrap/>
            <w:hideMark/>
          </w:tcPr>
          <w:p w:rsidR="000401F4" w:rsidRPr="00836A28" w:rsidRDefault="000401F4" w:rsidP="00D90DC6">
            <w:pPr>
              <w:suppressAutoHyphens/>
              <w:spacing w:before="20" w:after="0"/>
              <w:rPr>
                <w:rFonts w:eastAsia="Times New Roman"/>
                <w:b/>
                <w:bCs/>
                <w:color w:val="000000"/>
                <w:sz w:val="20"/>
                <w:szCs w:val="20"/>
                <w:lang w:eastAsia="de-CH"/>
              </w:rPr>
            </w:pPr>
            <w:r>
              <w:rPr>
                <w:rFonts w:eastAsia="Times New Roman"/>
                <w:b/>
                <w:bCs/>
                <w:color w:val="000000"/>
                <w:sz w:val="20"/>
                <w:szCs w:val="20"/>
                <w:lang w:eastAsia="de-CH"/>
              </w:rPr>
              <w:t>Patient management model</w:t>
            </w:r>
            <w:r w:rsidRPr="00761093">
              <w:rPr>
                <w:rFonts w:eastAsia="Times New Roman"/>
                <w:b/>
                <w:bCs/>
                <w:color w:val="000000"/>
                <w:sz w:val="20"/>
                <w:szCs w:val="20"/>
                <w:lang w:eastAsia="de-CH"/>
              </w:rPr>
              <w:t xml:space="preserve"> </w:t>
            </w:r>
            <w:r w:rsidRPr="00836A28">
              <w:rPr>
                <w:rFonts w:eastAsia="Times New Roman"/>
                <w:b/>
                <w:bCs/>
                <w:color w:val="000000"/>
                <w:sz w:val="20"/>
                <w:szCs w:val="20"/>
                <w:lang w:eastAsia="de-CH"/>
              </w:rPr>
              <w:t>C</w:t>
            </w:r>
          </w:p>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b/>
                <w:bCs/>
                <w:color w:val="000000"/>
                <w:sz w:val="20"/>
                <w:szCs w:val="20"/>
                <w:lang w:eastAsia="de-CH"/>
              </w:rPr>
              <w:t xml:space="preserve">consultation with </w:t>
            </w:r>
            <w:r w:rsidRPr="00836A28">
              <w:rPr>
                <w:rFonts w:eastAsia="Times New Roman"/>
                <w:b/>
                <w:bCs/>
                <w:color w:val="000000"/>
                <w:sz w:val="20"/>
                <w:szCs w:val="20"/>
                <w:lang w:eastAsia="de-CH"/>
              </w:rPr>
              <w:br/>
              <w:t>pos. stool culture</w:t>
            </w:r>
          </w:p>
        </w:tc>
        <w:tc>
          <w:tcPr>
            <w:tcW w:w="2590" w:type="dxa"/>
            <w:gridSpan w:val="2"/>
          </w:tcPr>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b/>
                <w:bCs/>
                <w:color w:val="000000"/>
                <w:sz w:val="20"/>
                <w:szCs w:val="20"/>
                <w:lang w:eastAsia="de-CH"/>
              </w:rPr>
              <w:t>Patient invoice</w:t>
            </w:r>
          </w:p>
        </w:tc>
      </w:tr>
      <w:tr w:rsidR="000401F4" w:rsidRPr="00836A28" w:rsidTr="000B7E1B">
        <w:tc>
          <w:tcPr>
            <w:tcW w:w="2667" w:type="dxa"/>
            <w:shd w:val="clear" w:color="auto" w:fill="auto"/>
            <w:noWrap/>
            <w:vAlign w:val="bottom"/>
          </w:tcPr>
          <w:p w:rsidR="000401F4" w:rsidRPr="00836A28" w:rsidRDefault="000401F4" w:rsidP="00D90DC6">
            <w:pPr>
              <w:suppressAutoHyphens/>
              <w:spacing w:before="20" w:after="0"/>
              <w:rPr>
                <w:rFonts w:eastAsia="Times New Roman"/>
                <w:b/>
                <w:bCs/>
                <w:color w:val="000000"/>
                <w:sz w:val="20"/>
                <w:szCs w:val="20"/>
                <w:lang w:eastAsia="de-CH"/>
              </w:rPr>
            </w:pPr>
          </w:p>
        </w:tc>
        <w:tc>
          <w:tcPr>
            <w:tcW w:w="1037" w:type="dxa"/>
            <w:shd w:val="clear" w:color="auto" w:fill="auto"/>
            <w:noWrap/>
          </w:tcPr>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b/>
                <w:bCs/>
                <w:color w:val="000000"/>
                <w:sz w:val="20"/>
                <w:szCs w:val="20"/>
                <w:lang w:eastAsia="de-CH"/>
              </w:rPr>
              <w:t xml:space="preserve">Minimal </w:t>
            </w:r>
            <w:r w:rsidRPr="00836A28">
              <w:rPr>
                <w:rFonts w:eastAsia="Times New Roman"/>
                <w:b/>
                <w:bCs/>
                <w:color w:val="000000"/>
                <w:sz w:val="20"/>
                <w:szCs w:val="20"/>
                <w:lang w:eastAsia="de-CH"/>
              </w:rPr>
              <w:br/>
              <w:t>scenario</w:t>
            </w:r>
          </w:p>
        </w:tc>
        <w:tc>
          <w:tcPr>
            <w:tcW w:w="1192" w:type="dxa"/>
          </w:tcPr>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b/>
                <w:bCs/>
                <w:color w:val="000000"/>
                <w:sz w:val="20"/>
                <w:szCs w:val="20"/>
                <w:lang w:eastAsia="de-CH"/>
              </w:rPr>
              <w:t xml:space="preserve">Extended </w:t>
            </w:r>
            <w:r w:rsidRPr="00836A28">
              <w:rPr>
                <w:rFonts w:eastAsia="Times New Roman"/>
                <w:b/>
                <w:bCs/>
                <w:color w:val="000000"/>
                <w:sz w:val="20"/>
                <w:szCs w:val="20"/>
                <w:lang w:eastAsia="de-CH"/>
              </w:rPr>
              <w:br/>
              <w:t>scenario</w:t>
            </w:r>
          </w:p>
        </w:tc>
        <w:tc>
          <w:tcPr>
            <w:tcW w:w="857" w:type="dxa"/>
          </w:tcPr>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b/>
                <w:bCs/>
                <w:color w:val="000000"/>
                <w:sz w:val="20"/>
                <w:szCs w:val="20"/>
                <w:lang w:eastAsia="de-CH"/>
              </w:rPr>
              <w:t>Median</w:t>
            </w:r>
          </w:p>
        </w:tc>
        <w:tc>
          <w:tcPr>
            <w:tcW w:w="1733" w:type="dxa"/>
          </w:tcPr>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b/>
                <w:bCs/>
                <w:color w:val="000000"/>
                <w:sz w:val="20"/>
                <w:szCs w:val="20"/>
                <w:lang w:eastAsia="de-CH"/>
              </w:rPr>
              <w:t>(Range)</w:t>
            </w:r>
          </w:p>
        </w:tc>
      </w:tr>
      <w:tr w:rsidR="000401F4" w:rsidRPr="00836A28" w:rsidTr="00D90DC6">
        <w:trPr>
          <w:trHeight w:val="345"/>
        </w:trPr>
        <w:tc>
          <w:tcPr>
            <w:tcW w:w="2667" w:type="dxa"/>
            <w:shd w:val="clear" w:color="auto" w:fill="auto"/>
            <w:noWrap/>
            <w:vAlign w:val="center"/>
            <w:hideMark/>
          </w:tcPr>
          <w:p w:rsidR="000401F4" w:rsidRPr="00836A28" w:rsidRDefault="000401F4" w:rsidP="00D90DC6">
            <w:pPr>
              <w:suppressAutoHyphens/>
              <w:spacing w:before="20" w:after="0"/>
              <w:rPr>
                <w:rFonts w:eastAsia="Times New Roman"/>
                <w:b/>
                <w:bCs/>
                <w:color w:val="000000"/>
                <w:sz w:val="20"/>
                <w:szCs w:val="20"/>
                <w:lang w:eastAsia="de-CH"/>
              </w:rPr>
            </w:pPr>
            <w:r w:rsidRPr="00836A28">
              <w:rPr>
                <w:rFonts w:eastAsia="Times New Roman"/>
                <w:color w:val="000000"/>
                <w:sz w:val="20"/>
                <w:szCs w:val="20"/>
                <w:lang w:eastAsia="de-CH"/>
              </w:rPr>
              <w:t>Physician</w:t>
            </w:r>
          </w:p>
        </w:tc>
        <w:tc>
          <w:tcPr>
            <w:tcW w:w="1037" w:type="dxa"/>
            <w:shd w:val="clear" w:color="auto" w:fill="auto"/>
            <w:noWrap/>
            <w:vAlign w:val="bottom"/>
          </w:tcPr>
          <w:p w:rsidR="000401F4" w:rsidRPr="00836A28" w:rsidRDefault="000401F4" w:rsidP="008E0A00">
            <w:pPr>
              <w:suppressAutoHyphens/>
              <w:spacing w:before="20" w:after="0"/>
              <w:ind w:right="284"/>
              <w:jc w:val="right"/>
              <w:rPr>
                <w:rFonts w:eastAsia="Times New Roman"/>
                <w:color w:val="000000"/>
                <w:sz w:val="20"/>
                <w:szCs w:val="20"/>
                <w:lang w:eastAsia="de-CH"/>
              </w:rPr>
            </w:pPr>
            <w:r>
              <w:rPr>
                <w:rFonts w:eastAsia="Times New Roman"/>
                <w:color w:val="000000"/>
                <w:sz w:val="20"/>
                <w:szCs w:val="20"/>
                <w:lang w:eastAsia="de-CH"/>
              </w:rPr>
              <w:t>63</w:t>
            </w:r>
          </w:p>
        </w:tc>
        <w:tc>
          <w:tcPr>
            <w:tcW w:w="1192" w:type="dxa"/>
            <w:vAlign w:val="bottom"/>
          </w:tcPr>
          <w:p w:rsidR="000401F4" w:rsidRPr="00836A28" w:rsidRDefault="000401F4" w:rsidP="008E0A00">
            <w:pPr>
              <w:suppressAutoHyphens/>
              <w:spacing w:before="20" w:after="0"/>
              <w:ind w:right="284"/>
              <w:jc w:val="right"/>
              <w:rPr>
                <w:rFonts w:eastAsia="Times New Roman"/>
                <w:color w:val="000000"/>
                <w:sz w:val="20"/>
                <w:szCs w:val="20"/>
                <w:lang w:eastAsia="de-CH"/>
              </w:rPr>
            </w:pPr>
            <w:r>
              <w:rPr>
                <w:rFonts w:eastAsia="Times New Roman"/>
                <w:color w:val="000000"/>
                <w:sz w:val="20"/>
                <w:szCs w:val="20"/>
                <w:lang w:eastAsia="de-CH"/>
              </w:rPr>
              <w:t>82</w:t>
            </w:r>
          </w:p>
        </w:tc>
        <w:tc>
          <w:tcPr>
            <w:tcW w:w="857" w:type="dxa"/>
            <w:vAlign w:val="bottom"/>
          </w:tcPr>
          <w:p w:rsidR="000401F4" w:rsidRPr="00836A28" w:rsidRDefault="000401F4" w:rsidP="008E0A00">
            <w:pPr>
              <w:suppressAutoHyphens/>
              <w:spacing w:before="20" w:after="0"/>
              <w:ind w:right="57"/>
              <w:jc w:val="right"/>
              <w:rPr>
                <w:rFonts w:eastAsia="Times New Roman"/>
                <w:color w:val="000000"/>
                <w:sz w:val="20"/>
                <w:szCs w:val="20"/>
                <w:lang w:eastAsia="de-CH"/>
              </w:rPr>
            </w:pPr>
            <w:r w:rsidRPr="00836A28">
              <w:rPr>
                <w:rFonts w:eastAsia="Times New Roman"/>
                <w:color w:val="000000"/>
                <w:sz w:val="20"/>
                <w:szCs w:val="20"/>
                <w:lang w:eastAsia="de-CH"/>
              </w:rPr>
              <w:t>15</w:t>
            </w:r>
            <w:r>
              <w:rPr>
                <w:rFonts w:eastAsia="Times New Roman"/>
                <w:color w:val="000000"/>
                <w:sz w:val="20"/>
                <w:szCs w:val="20"/>
                <w:lang w:eastAsia="de-CH"/>
              </w:rPr>
              <w:t>3</w:t>
            </w:r>
          </w:p>
        </w:tc>
        <w:tc>
          <w:tcPr>
            <w:tcW w:w="1733" w:type="dxa"/>
            <w:vAlign w:val="bottom"/>
          </w:tcPr>
          <w:p w:rsidR="000401F4" w:rsidRPr="00836A28" w:rsidRDefault="000401F4" w:rsidP="000F3D72">
            <w:pPr>
              <w:suppressAutoHyphens/>
              <w:spacing w:before="20" w:after="0"/>
              <w:ind w:right="113"/>
              <w:rPr>
                <w:rFonts w:eastAsia="Times New Roman"/>
                <w:color w:val="000000"/>
                <w:sz w:val="20"/>
                <w:szCs w:val="20"/>
                <w:lang w:eastAsia="de-CH"/>
              </w:rPr>
            </w:pPr>
            <w:r w:rsidRPr="00836A28">
              <w:rPr>
                <w:rFonts w:eastAsia="Times New Roman"/>
                <w:color w:val="000000"/>
                <w:sz w:val="20"/>
                <w:szCs w:val="20"/>
                <w:lang w:eastAsia="de-CH"/>
              </w:rPr>
              <w:t>(</w:t>
            </w:r>
            <w:r>
              <w:rPr>
                <w:rFonts w:eastAsia="Times New Roman"/>
                <w:color w:val="000000"/>
                <w:sz w:val="20"/>
                <w:szCs w:val="20"/>
                <w:lang w:eastAsia="de-CH"/>
              </w:rPr>
              <w:t>2</w:t>
            </w:r>
            <w:r w:rsidRPr="00836A28">
              <w:rPr>
                <w:rFonts w:eastAsia="Times New Roman"/>
                <w:color w:val="000000"/>
                <w:sz w:val="20"/>
                <w:szCs w:val="20"/>
                <w:lang w:eastAsia="de-CH"/>
              </w:rPr>
              <w:t xml:space="preserve">0 </w:t>
            </w:r>
            <w:r>
              <w:rPr>
                <w:rFonts w:eastAsia="Times New Roman"/>
                <w:color w:val="000000"/>
                <w:sz w:val="20"/>
                <w:szCs w:val="20"/>
                <w:lang w:eastAsia="de-CH"/>
              </w:rPr>
              <w:t xml:space="preserve">– </w:t>
            </w:r>
            <w:r w:rsidRPr="00836A28">
              <w:rPr>
                <w:rFonts w:eastAsia="Times New Roman"/>
                <w:color w:val="000000"/>
                <w:sz w:val="20"/>
                <w:szCs w:val="20"/>
                <w:lang w:eastAsia="de-CH"/>
              </w:rPr>
              <w:t>455)</w:t>
            </w:r>
          </w:p>
        </w:tc>
      </w:tr>
      <w:tr w:rsidR="000401F4" w:rsidRPr="00836A28" w:rsidTr="00D90DC6">
        <w:trPr>
          <w:trHeight w:val="345"/>
        </w:trPr>
        <w:tc>
          <w:tcPr>
            <w:tcW w:w="2667" w:type="dxa"/>
            <w:shd w:val="clear" w:color="auto" w:fill="auto"/>
            <w:vAlign w:val="center"/>
            <w:hideMark/>
          </w:tcPr>
          <w:p w:rsidR="000401F4" w:rsidRPr="00836A28" w:rsidRDefault="000401F4" w:rsidP="00D90DC6">
            <w:pPr>
              <w:suppressAutoHyphens/>
              <w:spacing w:before="20" w:after="0"/>
              <w:rPr>
                <w:rFonts w:eastAsia="Times New Roman"/>
                <w:color w:val="000000"/>
                <w:sz w:val="20"/>
                <w:szCs w:val="20"/>
                <w:lang w:eastAsia="de-CH"/>
              </w:rPr>
            </w:pPr>
            <w:r w:rsidRPr="00836A28">
              <w:rPr>
                <w:rFonts w:eastAsia="Times New Roman"/>
                <w:color w:val="000000"/>
                <w:sz w:val="20"/>
                <w:szCs w:val="20"/>
                <w:lang w:eastAsia="de-CH"/>
              </w:rPr>
              <w:t xml:space="preserve">Laboratory excluding test for </w:t>
            </w:r>
            <w:r w:rsidRPr="00836A28">
              <w:rPr>
                <w:rFonts w:eastAsia="Times New Roman"/>
                <w:i/>
                <w:color w:val="000000"/>
                <w:sz w:val="20"/>
                <w:szCs w:val="20"/>
                <w:lang w:eastAsia="de-CH"/>
              </w:rPr>
              <w:t>Campylobacter</w:t>
            </w:r>
          </w:p>
        </w:tc>
        <w:tc>
          <w:tcPr>
            <w:tcW w:w="1037" w:type="dxa"/>
            <w:shd w:val="clear" w:color="auto" w:fill="auto"/>
            <w:noWrap/>
            <w:vAlign w:val="bottom"/>
          </w:tcPr>
          <w:p w:rsidR="000401F4" w:rsidRPr="00836A28" w:rsidRDefault="000401F4" w:rsidP="008E0A00">
            <w:pPr>
              <w:suppressAutoHyphens/>
              <w:spacing w:before="20" w:after="0"/>
              <w:ind w:right="284"/>
              <w:jc w:val="right"/>
              <w:rPr>
                <w:rFonts w:eastAsia="Times New Roman"/>
                <w:color w:val="000000"/>
                <w:sz w:val="20"/>
                <w:szCs w:val="20"/>
                <w:lang w:eastAsia="de-CH"/>
              </w:rPr>
            </w:pPr>
            <w:r>
              <w:rPr>
                <w:rFonts w:eastAsia="Times New Roman"/>
                <w:color w:val="000000"/>
                <w:sz w:val="20"/>
                <w:szCs w:val="20"/>
                <w:lang w:eastAsia="de-CH"/>
              </w:rPr>
              <w:t>18</w:t>
            </w:r>
          </w:p>
        </w:tc>
        <w:tc>
          <w:tcPr>
            <w:tcW w:w="1192" w:type="dxa"/>
            <w:vAlign w:val="bottom"/>
          </w:tcPr>
          <w:p w:rsidR="000401F4" w:rsidRPr="00836A28" w:rsidRDefault="000401F4" w:rsidP="008E0A00">
            <w:pPr>
              <w:suppressAutoHyphens/>
              <w:spacing w:before="20" w:after="0"/>
              <w:ind w:right="284"/>
              <w:jc w:val="right"/>
              <w:rPr>
                <w:rFonts w:eastAsia="Times New Roman"/>
                <w:color w:val="000000"/>
                <w:sz w:val="20"/>
                <w:szCs w:val="20"/>
                <w:lang w:eastAsia="de-CH"/>
              </w:rPr>
            </w:pPr>
            <w:r>
              <w:rPr>
                <w:rFonts w:eastAsia="Times New Roman"/>
                <w:color w:val="000000"/>
                <w:sz w:val="20"/>
                <w:szCs w:val="20"/>
                <w:lang w:eastAsia="de-CH"/>
              </w:rPr>
              <w:t>18</w:t>
            </w:r>
          </w:p>
        </w:tc>
        <w:tc>
          <w:tcPr>
            <w:tcW w:w="857" w:type="dxa"/>
            <w:vAlign w:val="bottom"/>
          </w:tcPr>
          <w:p w:rsidR="000401F4" w:rsidRPr="00836A28" w:rsidRDefault="000401F4" w:rsidP="008E0A00">
            <w:pPr>
              <w:suppressAutoHyphens/>
              <w:spacing w:before="20" w:after="0"/>
              <w:ind w:right="57"/>
              <w:jc w:val="right"/>
              <w:rPr>
                <w:rFonts w:eastAsia="Times New Roman"/>
                <w:color w:val="000000"/>
                <w:sz w:val="20"/>
                <w:szCs w:val="20"/>
                <w:lang w:eastAsia="de-CH"/>
              </w:rPr>
            </w:pPr>
            <w:r w:rsidRPr="00836A28">
              <w:rPr>
                <w:rFonts w:eastAsia="Times New Roman"/>
                <w:color w:val="000000"/>
                <w:sz w:val="20"/>
                <w:szCs w:val="20"/>
                <w:lang w:eastAsia="de-CH"/>
              </w:rPr>
              <w:t>16</w:t>
            </w:r>
            <w:r>
              <w:rPr>
                <w:rFonts w:eastAsia="Times New Roman"/>
                <w:color w:val="000000"/>
                <w:sz w:val="20"/>
                <w:szCs w:val="20"/>
                <w:lang w:eastAsia="de-CH"/>
              </w:rPr>
              <w:t>7</w:t>
            </w:r>
          </w:p>
        </w:tc>
        <w:tc>
          <w:tcPr>
            <w:tcW w:w="1733" w:type="dxa"/>
            <w:vAlign w:val="bottom"/>
          </w:tcPr>
          <w:p w:rsidR="000401F4" w:rsidRPr="00836A28" w:rsidRDefault="000401F4" w:rsidP="000F3D72">
            <w:pPr>
              <w:suppressAutoHyphens/>
              <w:spacing w:before="20" w:after="0"/>
              <w:ind w:right="113"/>
              <w:rPr>
                <w:rFonts w:eastAsia="Times New Roman"/>
                <w:color w:val="000000"/>
                <w:sz w:val="20"/>
                <w:szCs w:val="20"/>
                <w:lang w:eastAsia="de-CH"/>
              </w:rPr>
            </w:pPr>
            <w:r w:rsidRPr="00836A28">
              <w:rPr>
                <w:rFonts w:eastAsia="Times New Roman"/>
                <w:color w:val="000000"/>
                <w:sz w:val="20"/>
                <w:szCs w:val="20"/>
                <w:lang w:eastAsia="de-CH"/>
              </w:rPr>
              <w:t>(22</w:t>
            </w:r>
            <w:r>
              <w:rPr>
                <w:rFonts w:eastAsia="Times New Roman"/>
                <w:color w:val="000000"/>
                <w:sz w:val="20"/>
                <w:szCs w:val="20"/>
                <w:lang w:eastAsia="de-CH"/>
              </w:rPr>
              <w:t xml:space="preserve"> – </w:t>
            </w:r>
            <w:r w:rsidRPr="00836A28">
              <w:rPr>
                <w:rFonts w:eastAsia="Times New Roman"/>
                <w:color w:val="000000"/>
                <w:sz w:val="20"/>
                <w:szCs w:val="20"/>
                <w:lang w:eastAsia="de-CH"/>
              </w:rPr>
              <w:t>526)</w:t>
            </w:r>
          </w:p>
        </w:tc>
      </w:tr>
      <w:tr w:rsidR="000401F4" w:rsidRPr="00836A28" w:rsidTr="00D90DC6">
        <w:trPr>
          <w:trHeight w:val="345"/>
        </w:trPr>
        <w:tc>
          <w:tcPr>
            <w:tcW w:w="2667" w:type="dxa"/>
            <w:shd w:val="clear" w:color="auto" w:fill="auto"/>
            <w:vAlign w:val="center"/>
          </w:tcPr>
          <w:p w:rsidR="000401F4" w:rsidRPr="00836A28" w:rsidRDefault="000401F4" w:rsidP="00D90DC6">
            <w:pPr>
              <w:suppressAutoHyphens/>
              <w:spacing w:before="20" w:after="0"/>
              <w:rPr>
                <w:rFonts w:eastAsia="Times New Roman"/>
                <w:bCs/>
                <w:color w:val="000000"/>
                <w:sz w:val="20"/>
                <w:szCs w:val="20"/>
                <w:lang w:eastAsia="de-CH"/>
              </w:rPr>
            </w:pPr>
            <w:r w:rsidRPr="00836A28">
              <w:rPr>
                <w:rFonts w:eastAsia="Times New Roman"/>
                <w:bCs/>
                <w:color w:val="000000"/>
                <w:sz w:val="20"/>
                <w:szCs w:val="20"/>
                <w:lang w:eastAsia="de-CH"/>
              </w:rPr>
              <w:t xml:space="preserve">Stool test for </w:t>
            </w:r>
            <w:r w:rsidRPr="00836A28">
              <w:rPr>
                <w:rFonts w:eastAsia="Times New Roman"/>
                <w:bCs/>
                <w:i/>
                <w:color w:val="000000"/>
                <w:sz w:val="20"/>
                <w:szCs w:val="20"/>
                <w:lang w:eastAsia="de-CH"/>
              </w:rPr>
              <w:t>Campylobacter</w:t>
            </w:r>
            <w:r w:rsidRPr="00836A28">
              <w:rPr>
                <w:rFonts w:eastAsia="Times New Roman"/>
                <w:bCs/>
                <w:color w:val="000000"/>
                <w:sz w:val="20"/>
                <w:szCs w:val="20"/>
                <w:lang w:eastAsia="de-CH"/>
              </w:rPr>
              <w:t xml:space="preserve"> with positive result</w:t>
            </w:r>
          </w:p>
        </w:tc>
        <w:tc>
          <w:tcPr>
            <w:tcW w:w="1037" w:type="dxa"/>
            <w:shd w:val="clear" w:color="auto" w:fill="auto"/>
            <w:noWrap/>
            <w:vAlign w:val="bottom"/>
          </w:tcPr>
          <w:p w:rsidR="000401F4" w:rsidRPr="00836A28" w:rsidRDefault="000401F4" w:rsidP="008E0A00">
            <w:pPr>
              <w:suppressAutoHyphens/>
              <w:spacing w:before="20" w:after="0"/>
              <w:ind w:right="284"/>
              <w:jc w:val="right"/>
              <w:rPr>
                <w:rFonts w:eastAsia="Times New Roman"/>
                <w:bCs/>
                <w:color w:val="000000"/>
                <w:sz w:val="20"/>
                <w:szCs w:val="20"/>
                <w:lang w:eastAsia="de-CH"/>
              </w:rPr>
            </w:pPr>
            <w:r w:rsidRPr="00836A28">
              <w:rPr>
                <w:rFonts w:eastAsia="Times New Roman"/>
                <w:bCs/>
                <w:color w:val="000000"/>
                <w:sz w:val="20"/>
                <w:szCs w:val="20"/>
                <w:lang w:eastAsia="de-CH"/>
              </w:rPr>
              <w:t>12</w:t>
            </w:r>
            <w:r>
              <w:rPr>
                <w:rFonts w:eastAsia="Times New Roman"/>
                <w:bCs/>
                <w:color w:val="000000"/>
                <w:sz w:val="20"/>
                <w:szCs w:val="20"/>
                <w:lang w:eastAsia="de-CH"/>
              </w:rPr>
              <w:t>9</w:t>
            </w:r>
          </w:p>
        </w:tc>
        <w:tc>
          <w:tcPr>
            <w:tcW w:w="1192" w:type="dxa"/>
            <w:vAlign w:val="bottom"/>
          </w:tcPr>
          <w:p w:rsidR="000401F4" w:rsidRPr="00836A28" w:rsidRDefault="000401F4" w:rsidP="008E0A00">
            <w:pPr>
              <w:suppressAutoHyphens/>
              <w:spacing w:before="20" w:after="0"/>
              <w:ind w:right="284"/>
              <w:jc w:val="right"/>
              <w:rPr>
                <w:rFonts w:eastAsia="Times New Roman"/>
                <w:bCs/>
                <w:color w:val="000000"/>
                <w:sz w:val="20"/>
                <w:szCs w:val="20"/>
                <w:lang w:eastAsia="de-CH"/>
              </w:rPr>
            </w:pPr>
            <w:r w:rsidRPr="00836A28">
              <w:rPr>
                <w:rFonts w:eastAsia="Times New Roman"/>
                <w:bCs/>
                <w:color w:val="000000"/>
                <w:sz w:val="20"/>
                <w:szCs w:val="20"/>
                <w:lang w:eastAsia="de-CH"/>
              </w:rPr>
              <w:t>12</w:t>
            </w:r>
            <w:r>
              <w:rPr>
                <w:rFonts w:eastAsia="Times New Roman"/>
                <w:bCs/>
                <w:color w:val="000000"/>
                <w:sz w:val="20"/>
                <w:szCs w:val="20"/>
                <w:lang w:eastAsia="de-CH"/>
              </w:rPr>
              <w:t>9</w:t>
            </w:r>
          </w:p>
        </w:tc>
        <w:tc>
          <w:tcPr>
            <w:tcW w:w="857" w:type="dxa"/>
            <w:vAlign w:val="bottom"/>
          </w:tcPr>
          <w:p w:rsidR="000401F4" w:rsidRPr="00836A28" w:rsidRDefault="000401F4" w:rsidP="008E0A00">
            <w:pPr>
              <w:suppressAutoHyphens/>
              <w:spacing w:before="20" w:after="0"/>
              <w:ind w:right="57"/>
              <w:jc w:val="right"/>
              <w:rPr>
                <w:rFonts w:eastAsia="Times New Roman"/>
                <w:bCs/>
                <w:color w:val="000000"/>
                <w:sz w:val="20"/>
                <w:szCs w:val="20"/>
                <w:lang w:eastAsia="de-CH"/>
              </w:rPr>
            </w:pPr>
            <w:r w:rsidRPr="00836A28">
              <w:rPr>
                <w:rFonts w:eastAsia="Times New Roman"/>
                <w:bCs/>
                <w:color w:val="000000"/>
                <w:sz w:val="20"/>
                <w:szCs w:val="20"/>
                <w:lang w:eastAsia="de-CH"/>
              </w:rPr>
              <w:t>12</w:t>
            </w:r>
            <w:r>
              <w:rPr>
                <w:rFonts w:eastAsia="Times New Roman"/>
                <w:bCs/>
                <w:color w:val="000000"/>
                <w:sz w:val="20"/>
                <w:szCs w:val="20"/>
                <w:lang w:eastAsia="de-CH"/>
              </w:rPr>
              <w:t>9</w:t>
            </w:r>
          </w:p>
        </w:tc>
        <w:tc>
          <w:tcPr>
            <w:tcW w:w="1733" w:type="dxa"/>
            <w:vAlign w:val="bottom"/>
          </w:tcPr>
          <w:p w:rsidR="000401F4" w:rsidRPr="00836A28" w:rsidRDefault="000401F4" w:rsidP="000F3D72">
            <w:pPr>
              <w:suppressAutoHyphens/>
              <w:spacing w:before="20" w:after="0"/>
              <w:ind w:right="113"/>
              <w:rPr>
                <w:rFonts w:eastAsia="Times New Roman"/>
                <w:bCs/>
                <w:color w:val="000000"/>
                <w:sz w:val="20"/>
                <w:szCs w:val="20"/>
                <w:lang w:eastAsia="de-CH"/>
              </w:rPr>
            </w:pPr>
          </w:p>
        </w:tc>
      </w:tr>
      <w:tr w:rsidR="000401F4" w:rsidRPr="00836A28" w:rsidTr="00D90DC6">
        <w:trPr>
          <w:trHeight w:val="345"/>
        </w:trPr>
        <w:tc>
          <w:tcPr>
            <w:tcW w:w="2667" w:type="dxa"/>
            <w:shd w:val="clear" w:color="auto" w:fill="auto"/>
            <w:vAlign w:val="center"/>
          </w:tcPr>
          <w:p w:rsidR="000401F4" w:rsidRPr="00836A28" w:rsidRDefault="000401F4" w:rsidP="00D90DC6">
            <w:pPr>
              <w:suppressAutoHyphens/>
              <w:spacing w:before="20" w:after="0"/>
              <w:rPr>
                <w:rFonts w:eastAsia="Times New Roman"/>
                <w:color w:val="000000"/>
                <w:sz w:val="20"/>
                <w:szCs w:val="20"/>
                <w:lang w:eastAsia="de-CH"/>
              </w:rPr>
            </w:pPr>
            <w:r w:rsidRPr="00836A28">
              <w:rPr>
                <w:rFonts w:eastAsia="Times New Roman"/>
                <w:bCs/>
                <w:color w:val="000000"/>
                <w:sz w:val="20"/>
                <w:szCs w:val="20"/>
                <w:lang w:eastAsia="de-CH"/>
              </w:rPr>
              <w:t>Medication</w:t>
            </w:r>
          </w:p>
        </w:tc>
        <w:tc>
          <w:tcPr>
            <w:tcW w:w="1037" w:type="dxa"/>
            <w:shd w:val="clear" w:color="auto" w:fill="auto"/>
            <w:noWrap/>
            <w:vAlign w:val="bottom"/>
          </w:tcPr>
          <w:p w:rsidR="000401F4" w:rsidRPr="00836A28" w:rsidRDefault="000401F4" w:rsidP="008E0A00">
            <w:pPr>
              <w:suppressAutoHyphens/>
              <w:spacing w:before="20" w:after="0"/>
              <w:ind w:right="284"/>
              <w:jc w:val="right"/>
              <w:rPr>
                <w:rFonts w:eastAsia="Times New Roman"/>
                <w:bCs/>
                <w:color w:val="000000"/>
                <w:sz w:val="20"/>
                <w:szCs w:val="20"/>
                <w:lang w:eastAsia="de-CH"/>
              </w:rPr>
            </w:pPr>
            <w:r w:rsidRPr="00836A28">
              <w:rPr>
                <w:rFonts w:eastAsia="Times New Roman"/>
                <w:bCs/>
                <w:color w:val="000000"/>
                <w:sz w:val="20"/>
                <w:szCs w:val="20"/>
                <w:lang w:eastAsia="de-CH"/>
              </w:rPr>
              <w:t>1</w:t>
            </w:r>
            <w:r>
              <w:rPr>
                <w:rFonts w:eastAsia="Times New Roman"/>
                <w:bCs/>
                <w:color w:val="000000"/>
                <w:sz w:val="20"/>
                <w:szCs w:val="20"/>
                <w:lang w:eastAsia="de-CH"/>
              </w:rPr>
              <w:t>1</w:t>
            </w:r>
          </w:p>
        </w:tc>
        <w:tc>
          <w:tcPr>
            <w:tcW w:w="1192" w:type="dxa"/>
            <w:vAlign w:val="bottom"/>
          </w:tcPr>
          <w:p w:rsidR="000401F4" w:rsidRPr="00836A28" w:rsidRDefault="000401F4" w:rsidP="008E0A00">
            <w:pPr>
              <w:suppressAutoHyphens/>
              <w:spacing w:before="20" w:after="0"/>
              <w:ind w:right="284"/>
              <w:jc w:val="right"/>
              <w:rPr>
                <w:rFonts w:eastAsia="Times New Roman"/>
                <w:bCs/>
                <w:color w:val="000000"/>
                <w:sz w:val="20"/>
                <w:szCs w:val="20"/>
                <w:lang w:eastAsia="de-CH"/>
              </w:rPr>
            </w:pPr>
            <w:r>
              <w:rPr>
                <w:rFonts w:eastAsia="Times New Roman"/>
                <w:bCs/>
                <w:color w:val="000000"/>
                <w:sz w:val="20"/>
                <w:szCs w:val="20"/>
                <w:lang w:eastAsia="de-CH"/>
              </w:rPr>
              <w:t>42</w:t>
            </w:r>
          </w:p>
        </w:tc>
        <w:tc>
          <w:tcPr>
            <w:tcW w:w="857" w:type="dxa"/>
            <w:vAlign w:val="bottom"/>
          </w:tcPr>
          <w:p w:rsidR="000401F4" w:rsidRPr="00836A28" w:rsidRDefault="000401F4" w:rsidP="008E0A00">
            <w:pPr>
              <w:suppressAutoHyphens/>
              <w:spacing w:before="20" w:after="0"/>
              <w:ind w:right="57"/>
              <w:jc w:val="right"/>
              <w:rPr>
                <w:rFonts w:eastAsia="Times New Roman"/>
                <w:bCs/>
                <w:color w:val="000000"/>
                <w:sz w:val="20"/>
                <w:szCs w:val="20"/>
                <w:lang w:eastAsia="de-CH"/>
              </w:rPr>
            </w:pPr>
            <w:r>
              <w:rPr>
                <w:rFonts w:eastAsia="Times New Roman"/>
                <w:bCs/>
                <w:color w:val="000000"/>
                <w:sz w:val="20"/>
                <w:szCs w:val="20"/>
                <w:lang w:eastAsia="de-CH"/>
              </w:rPr>
              <w:t>0</w:t>
            </w:r>
            <w:r w:rsidRPr="00E427FA">
              <w:rPr>
                <w:rFonts w:eastAsia="Times New Roman"/>
                <w:bCs/>
                <w:color w:val="000000"/>
                <w:sz w:val="20"/>
                <w:szCs w:val="20"/>
                <w:vertAlign w:val="superscript"/>
                <w:lang w:eastAsia="de-CH"/>
              </w:rPr>
              <w:t>a</w:t>
            </w:r>
          </w:p>
        </w:tc>
        <w:tc>
          <w:tcPr>
            <w:tcW w:w="1733" w:type="dxa"/>
            <w:vAlign w:val="bottom"/>
          </w:tcPr>
          <w:p w:rsidR="000401F4" w:rsidRPr="00836A28" w:rsidRDefault="000401F4" w:rsidP="000F3D72">
            <w:pPr>
              <w:suppressAutoHyphens/>
              <w:spacing w:before="20" w:after="0"/>
              <w:ind w:right="113"/>
              <w:rPr>
                <w:rFonts w:eastAsia="Times New Roman"/>
                <w:bCs/>
                <w:color w:val="000000"/>
                <w:sz w:val="20"/>
                <w:szCs w:val="20"/>
                <w:lang w:eastAsia="de-CH"/>
              </w:rPr>
            </w:pPr>
            <w:r w:rsidRPr="00836A28">
              <w:rPr>
                <w:rFonts w:eastAsia="Times New Roman"/>
                <w:bCs/>
                <w:color w:val="000000"/>
                <w:sz w:val="20"/>
                <w:szCs w:val="20"/>
                <w:lang w:eastAsia="de-CH"/>
              </w:rPr>
              <w:t>(0 - 47)</w:t>
            </w:r>
          </w:p>
        </w:tc>
      </w:tr>
      <w:tr w:rsidR="000401F4" w:rsidRPr="00836A28" w:rsidTr="00D90DC6">
        <w:trPr>
          <w:trHeight w:val="345"/>
        </w:trPr>
        <w:tc>
          <w:tcPr>
            <w:tcW w:w="2667" w:type="dxa"/>
            <w:shd w:val="clear" w:color="auto" w:fill="auto"/>
            <w:vAlign w:val="center"/>
            <w:hideMark/>
          </w:tcPr>
          <w:p w:rsidR="000401F4" w:rsidRPr="00836A28" w:rsidRDefault="000401F4" w:rsidP="00D90DC6">
            <w:pPr>
              <w:suppressAutoHyphens/>
              <w:spacing w:before="20" w:after="0"/>
              <w:rPr>
                <w:rFonts w:eastAsia="Times New Roman"/>
                <w:color w:val="000000"/>
                <w:sz w:val="20"/>
                <w:szCs w:val="20"/>
                <w:lang w:eastAsia="de-CH"/>
              </w:rPr>
            </w:pPr>
            <w:r w:rsidRPr="00836A28">
              <w:rPr>
                <w:rFonts w:eastAsia="Times New Roman"/>
                <w:b/>
                <w:bCs/>
                <w:color w:val="000000"/>
                <w:sz w:val="20"/>
                <w:szCs w:val="20"/>
                <w:lang w:eastAsia="de-CH"/>
              </w:rPr>
              <w:t>Total</w:t>
            </w:r>
          </w:p>
        </w:tc>
        <w:tc>
          <w:tcPr>
            <w:tcW w:w="1037" w:type="dxa"/>
            <w:shd w:val="clear" w:color="auto" w:fill="auto"/>
            <w:noWrap/>
            <w:vAlign w:val="bottom"/>
          </w:tcPr>
          <w:p w:rsidR="000401F4" w:rsidRPr="00836A28" w:rsidRDefault="000401F4" w:rsidP="008E0A00">
            <w:pPr>
              <w:suppressAutoHyphens/>
              <w:spacing w:before="20" w:after="0"/>
              <w:ind w:right="284"/>
              <w:jc w:val="right"/>
              <w:rPr>
                <w:rFonts w:eastAsia="Times New Roman"/>
                <w:b/>
                <w:bCs/>
                <w:color w:val="000000"/>
                <w:sz w:val="20"/>
                <w:szCs w:val="20"/>
                <w:lang w:eastAsia="de-CH"/>
              </w:rPr>
            </w:pPr>
            <w:r w:rsidRPr="00836A28">
              <w:rPr>
                <w:rFonts w:eastAsia="Times New Roman"/>
                <w:b/>
                <w:bCs/>
                <w:color w:val="000000"/>
                <w:sz w:val="20"/>
                <w:szCs w:val="20"/>
                <w:lang w:eastAsia="de-CH"/>
              </w:rPr>
              <w:t>22</w:t>
            </w:r>
            <w:r>
              <w:rPr>
                <w:rFonts w:eastAsia="Times New Roman"/>
                <w:b/>
                <w:bCs/>
                <w:color w:val="000000"/>
                <w:sz w:val="20"/>
                <w:szCs w:val="20"/>
                <w:lang w:eastAsia="de-CH"/>
              </w:rPr>
              <w:t>1</w:t>
            </w:r>
          </w:p>
        </w:tc>
        <w:tc>
          <w:tcPr>
            <w:tcW w:w="1192" w:type="dxa"/>
            <w:vAlign w:val="bottom"/>
          </w:tcPr>
          <w:p w:rsidR="000401F4" w:rsidRPr="00836A28" w:rsidRDefault="000401F4" w:rsidP="008E0A00">
            <w:pPr>
              <w:suppressAutoHyphens/>
              <w:spacing w:before="20" w:after="0"/>
              <w:ind w:right="284"/>
              <w:jc w:val="right"/>
              <w:rPr>
                <w:rFonts w:eastAsia="Times New Roman"/>
                <w:b/>
                <w:bCs/>
                <w:color w:val="000000"/>
                <w:sz w:val="20"/>
                <w:szCs w:val="20"/>
                <w:lang w:eastAsia="de-CH"/>
              </w:rPr>
            </w:pPr>
            <w:r>
              <w:rPr>
                <w:rFonts w:eastAsia="Times New Roman"/>
                <w:b/>
                <w:bCs/>
                <w:color w:val="000000"/>
                <w:sz w:val="20"/>
                <w:szCs w:val="20"/>
                <w:lang w:eastAsia="de-CH"/>
              </w:rPr>
              <w:t>271</w:t>
            </w:r>
          </w:p>
        </w:tc>
        <w:tc>
          <w:tcPr>
            <w:tcW w:w="857" w:type="dxa"/>
            <w:vAlign w:val="bottom"/>
          </w:tcPr>
          <w:p w:rsidR="000401F4" w:rsidRPr="00836A28" w:rsidRDefault="000401F4" w:rsidP="008E0A00">
            <w:pPr>
              <w:suppressAutoHyphens/>
              <w:spacing w:before="20" w:after="0"/>
              <w:ind w:right="57"/>
              <w:jc w:val="right"/>
              <w:rPr>
                <w:rFonts w:eastAsia="Times New Roman"/>
                <w:b/>
                <w:bCs/>
                <w:color w:val="000000"/>
                <w:sz w:val="20"/>
                <w:szCs w:val="20"/>
                <w:lang w:eastAsia="de-CH"/>
              </w:rPr>
            </w:pPr>
            <w:r w:rsidRPr="00836A28">
              <w:rPr>
                <w:rFonts w:eastAsia="Times New Roman"/>
                <w:b/>
                <w:bCs/>
                <w:color w:val="000000"/>
                <w:sz w:val="20"/>
                <w:szCs w:val="20"/>
                <w:lang w:eastAsia="de-CH"/>
              </w:rPr>
              <w:t>464</w:t>
            </w:r>
          </w:p>
        </w:tc>
        <w:tc>
          <w:tcPr>
            <w:tcW w:w="1733" w:type="dxa"/>
            <w:vAlign w:val="bottom"/>
          </w:tcPr>
          <w:p w:rsidR="000401F4" w:rsidRPr="00836A28" w:rsidRDefault="000401F4" w:rsidP="000F3D72">
            <w:pPr>
              <w:suppressAutoHyphens/>
              <w:spacing w:before="20" w:after="0"/>
              <w:ind w:right="113"/>
              <w:rPr>
                <w:rFonts w:eastAsia="Times New Roman"/>
                <w:b/>
                <w:bCs/>
                <w:color w:val="000000"/>
                <w:sz w:val="20"/>
                <w:szCs w:val="20"/>
                <w:lang w:eastAsia="de-CH"/>
              </w:rPr>
            </w:pPr>
            <w:r w:rsidRPr="00836A28">
              <w:rPr>
                <w:rFonts w:eastAsia="Times New Roman"/>
                <w:b/>
                <w:bCs/>
                <w:color w:val="000000"/>
                <w:sz w:val="20"/>
                <w:szCs w:val="20"/>
                <w:lang w:eastAsia="de-CH"/>
              </w:rPr>
              <w:t xml:space="preserve">(179 </w:t>
            </w:r>
            <w:r w:rsidRPr="00A84A56">
              <w:rPr>
                <w:rFonts w:eastAsia="Times New Roman"/>
                <w:b/>
                <w:color w:val="000000"/>
                <w:sz w:val="20"/>
                <w:szCs w:val="20"/>
                <w:lang w:eastAsia="de-CH"/>
              </w:rPr>
              <w:t xml:space="preserve">– </w:t>
            </w:r>
            <w:r w:rsidRPr="00836A28">
              <w:rPr>
                <w:rFonts w:eastAsia="Times New Roman"/>
                <w:b/>
                <w:bCs/>
                <w:color w:val="000000"/>
                <w:sz w:val="20"/>
                <w:szCs w:val="20"/>
                <w:lang w:eastAsia="de-CH"/>
              </w:rPr>
              <w:t>1033)</w:t>
            </w:r>
          </w:p>
        </w:tc>
      </w:tr>
      <w:tr w:rsidR="000401F4" w:rsidRPr="00D90DC6" w:rsidTr="000B7E1B">
        <w:trPr>
          <w:trHeight w:val="345"/>
        </w:trPr>
        <w:tc>
          <w:tcPr>
            <w:tcW w:w="7486" w:type="dxa"/>
            <w:gridSpan w:val="5"/>
            <w:shd w:val="clear" w:color="auto" w:fill="auto"/>
            <w:vAlign w:val="center"/>
          </w:tcPr>
          <w:p w:rsidR="000401F4" w:rsidRPr="00D90DC6" w:rsidRDefault="000401F4" w:rsidP="00D90DC6">
            <w:pPr>
              <w:suppressAutoHyphens/>
              <w:spacing w:before="20" w:after="0"/>
              <w:rPr>
                <w:rFonts w:eastAsia="Times New Roman"/>
                <w:b/>
                <w:bCs/>
                <w:color w:val="000000"/>
                <w:sz w:val="18"/>
                <w:szCs w:val="18"/>
                <w:lang w:eastAsia="de-CH"/>
              </w:rPr>
            </w:pPr>
            <w:proofErr w:type="gramStart"/>
            <w:r w:rsidRPr="00D90DC6">
              <w:rPr>
                <w:rFonts w:eastAsia="Times New Roman"/>
                <w:bCs/>
                <w:color w:val="000000"/>
                <w:sz w:val="18"/>
                <w:szCs w:val="18"/>
                <w:vertAlign w:val="superscript"/>
                <w:lang w:eastAsia="de-CH"/>
              </w:rPr>
              <w:t>a</w:t>
            </w:r>
            <w:proofErr w:type="gramEnd"/>
            <w:r w:rsidRPr="00D90DC6">
              <w:rPr>
                <w:sz w:val="18"/>
                <w:szCs w:val="18"/>
              </w:rPr>
              <w:t xml:space="preserve"> </w:t>
            </w:r>
            <w:r w:rsidRPr="00D90DC6">
              <w:rPr>
                <w:rFonts w:eastAsia="Times New Roman"/>
                <w:bCs/>
                <w:color w:val="000000"/>
                <w:sz w:val="18"/>
                <w:szCs w:val="18"/>
                <w:lang w:eastAsia="de-CH"/>
              </w:rPr>
              <w:t>Medications can only be delivered directly by physicians in case of emergency in the canton of Basel-Stadt, Switzerland, where our patients have been treated. In non-emergency cases, the physician prescribes the medication for purchase in a pharmacy. In the latter case, costs are not on the invoice from the physician.</w:t>
            </w:r>
          </w:p>
        </w:tc>
      </w:tr>
    </w:tbl>
    <w:p w:rsidR="000401F4" w:rsidRDefault="000401F4" w:rsidP="00FC6A4A">
      <w:pPr>
        <w:suppressAutoHyphens/>
        <w:rPr>
          <w:b/>
          <w:iCs/>
          <w:lang w:eastAsia="de-DE"/>
        </w:rPr>
        <w:sectPr w:rsidR="000401F4" w:rsidSect="007B026D">
          <w:pgSz w:w="11906" w:h="16838"/>
          <w:pgMar w:top="1417" w:right="1417" w:bottom="1134" w:left="1417" w:header="708" w:footer="708" w:gutter="0"/>
          <w:cols w:space="708"/>
          <w:docGrid w:linePitch="360"/>
        </w:sectPr>
      </w:pPr>
    </w:p>
    <w:p w:rsidR="000401F4" w:rsidRDefault="000401F4" w:rsidP="00AD063A">
      <w:pPr>
        <w:keepNext/>
        <w:suppressAutoHyphens/>
      </w:pPr>
      <w:r>
        <w:rPr>
          <w:noProof/>
          <w:lang w:val="de-CH" w:eastAsia="de-CH"/>
        </w:rPr>
        <w:lastRenderedPageBreak/>
        <w:drawing>
          <wp:inline distT="0" distB="0" distL="0" distR="0" wp14:anchorId="4563964C">
            <wp:extent cx="8644890" cy="45173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4890" cy="4517390"/>
                    </a:xfrm>
                    <a:prstGeom prst="rect">
                      <a:avLst/>
                    </a:prstGeom>
                    <a:noFill/>
                  </pic:spPr>
                </pic:pic>
              </a:graphicData>
            </a:graphic>
          </wp:inline>
        </w:drawing>
      </w:r>
    </w:p>
    <w:p w:rsidR="000401F4" w:rsidRPr="00F06EAB" w:rsidRDefault="000401F4" w:rsidP="00AD063A">
      <w:pPr>
        <w:pStyle w:val="Caption"/>
        <w:rPr>
          <w:b w:val="0"/>
          <w:iCs/>
          <w:color w:val="auto"/>
          <w:lang w:eastAsia="de-DE"/>
        </w:rPr>
      </w:pPr>
      <w:r w:rsidRPr="00517641">
        <w:rPr>
          <w:color w:val="auto"/>
        </w:rPr>
        <w:t>Supplementary Figure S</w:t>
      </w:r>
      <w:r w:rsidRPr="00517641">
        <w:rPr>
          <w:color w:val="auto"/>
        </w:rPr>
        <w:fldChar w:fldCharType="begin"/>
      </w:r>
      <w:r w:rsidRPr="00517641">
        <w:rPr>
          <w:color w:val="auto"/>
        </w:rPr>
        <w:instrText xml:space="preserve"> SEQ Supplementary_Figure_S \* ARABIC </w:instrText>
      </w:r>
      <w:r w:rsidRPr="00517641">
        <w:rPr>
          <w:color w:val="auto"/>
        </w:rPr>
        <w:fldChar w:fldCharType="separate"/>
      </w:r>
      <w:r>
        <w:rPr>
          <w:noProof/>
          <w:color w:val="auto"/>
        </w:rPr>
        <w:t>1</w:t>
      </w:r>
      <w:r w:rsidRPr="00517641">
        <w:rPr>
          <w:color w:val="auto"/>
        </w:rPr>
        <w:fldChar w:fldCharType="end"/>
      </w:r>
      <w:r w:rsidRPr="00517641">
        <w:rPr>
          <w:color w:val="auto"/>
        </w:rPr>
        <w:t xml:space="preserve"> </w:t>
      </w:r>
      <w:r w:rsidRPr="000920A9">
        <w:rPr>
          <w:b w:val="0"/>
          <w:color w:val="auto"/>
        </w:rPr>
        <w:t>Total health care costs for acute gastroenteritis and campylo</w:t>
      </w:r>
      <w:r>
        <w:rPr>
          <w:b w:val="0"/>
          <w:color w:val="auto"/>
        </w:rPr>
        <w:t>bacteriosis in Switzerland, by patient management model and under different model assumptions</w:t>
      </w:r>
      <w:r w:rsidRPr="00F06EAB">
        <w:rPr>
          <w:b w:val="0"/>
          <w:color w:val="auto"/>
        </w:rPr>
        <w:t xml:space="preserve"> </w:t>
      </w:r>
    </w:p>
    <w:p w:rsidR="000401F4" w:rsidRDefault="000401F4">
      <w:pPr>
        <w:rPr>
          <w:b/>
          <w:iCs/>
          <w:lang w:eastAsia="de-DE"/>
        </w:rPr>
      </w:pPr>
      <w:r>
        <w:rPr>
          <w:b/>
          <w:iCs/>
          <w:lang w:eastAsia="de-DE"/>
        </w:rPr>
        <w:br w:type="page"/>
      </w:r>
    </w:p>
    <w:p w:rsidR="000401F4" w:rsidRDefault="000401F4" w:rsidP="000920A9">
      <w:pPr>
        <w:keepNext/>
        <w:suppressAutoHyphens/>
      </w:pPr>
      <w:r>
        <w:rPr>
          <w:noProof/>
          <w:lang w:val="de-CH" w:eastAsia="de-CH"/>
        </w:rPr>
        <w:lastRenderedPageBreak/>
        <w:drawing>
          <wp:inline distT="0" distB="0" distL="0" distR="0" wp14:anchorId="533E887D">
            <wp:extent cx="8644890" cy="45173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4890" cy="4517390"/>
                    </a:xfrm>
                    <a:prstGeom prst="rect">
                      <a:avLst/>
                    </a:prstGeom>
                    <a:noFill/>
                  </pic:spPr>
                </pic:pic>
              </a:graphicData>
            </a:graphic>
          </wp:inline>
        </w:drawing>
      </w:r>
    </w:p>
    <w:p w:rsidR="000401F4" w:rsidRPr="000920A9" w:rsidRDefault="000401F4" w:rsidP="000920A9">
      <w:pPr>
        <w:pStyle w:val="Caption"/>
        <w:rPr>
          <w:b w:val="0"/>
          <w:color w:val="auto"/>
        </w:rPr>
      </w:pPr>
      <w:r w:rsidRPr="000920A9">
        <w:rPr>
          <w:color w:val="auto"/>
        </w:rPr>
        <w:t>Supplementary Figure S</w:t>
      </w:r>
      <w:r w:rsidRPr="000920A9">
        <w:rPr>
          <w:color w:val="auto"/>
        </w:rPr>
        <w:fldChar w:fldCharType="begin"/>
      </w:r>
      <w:r w:rsidRPr="000920A9">
        <w:rPr>
          <w:color w:val="auto"/>
        </w:rPr>
        <w:instrText xml:space="preserve"> SEQ Supplementary_Figure_S \* ARABIC </w:instrText>
      </w:r>
      <w:r w:rsidRPr="000920A9">
        <w:rPr>
          <w:color w:val="auto"/>
        </w:rPr>
        <w:fldChar w:fldCharType="separate"/>
      </w:r>
      <w:r>
        <w:rPr>
          <w:noProof/>
          <w:color w:val="auto"/>
        </w:rPr>
        <w:t>2</w:t>
      </w:r>
      <w:r w:rsidRPr="000920A9">
        <w:rPr>
          <w:color w:val="auto"/>
        </w:rPr>
        <w:fldChar w:fldCharType="end"/>
      </w:r>
      <w:r w:rsidRPr="000920A9">
        <w:rPr>
          <w:color w:val="auto"/>
        </w:rPr>
        <w:t xml:space="preserve"> </w:t>
      </w:r>
      <w:r w:rsidRPr="000920A9">
        <w:rPr>
          <w:b w:val="0"/>
          <w:color w:val="auto"/>
        </w:rPr>
        <w:t>Total health care costs for acute gastroenteritis and campylo</w:t>
      </w:r>
      <w:r>
        <w:rPr>
          <w:b w:val="0"/>
          <w:color w:val="auto"/>
        </w:rPr>
        <w:t>bacteriosis in Switzerland, by type of provider and under different model assumptions</w:t>
      </w:r>
      <w:r>
        <w:t xml:space="preserve"> </w:t>
      </w:r>
    </w:p>
    <w:p w:rsidR="000401F4" w:rsidRDefault="000401F4" w:rsidP="00FC6A4A">
      <w:pPr>
        <w:suppressAutoHyphens/>
        <w:rPr>
          <w:b/>
          <w:iCs/>
          <w:lang w:eastAsia="de-DE"/>
        </w:rPr>
      </w:pPr>
    </w:p>
    <w:p w:rsidR="000401F4" w:rsidRDefault="000401F4" w:rsidP="00FC6A4A">
      <w:pPr>
        <w:suppressAutoHyphens/>
        <w:rPr>
          <w:b/>
          <w:iCs/>
          <w:lang w:eastAsia="de-DE"/>
        </w:rPr>
        <w:sectPr w:rsidR="000401F4" w:rsidSect="00EC60F2">
          <w:pgSz w:w="16838" w:h="11906" w:orient="landscape"/>
          <w:pgMar w:top="1418" w:right="1418" w:bottom="1418" w:left="1418" w:header="709" w:footer="709" w:gutter="0"/>
          <w:cols w:space="708"/>
          <w:titlePg/>
          <w:docGrid w:linePitch="360"/>
        </w:sectPr>
      </w:pPr>
    </w:p>
    <w:p w:rsidR="000401F4" w:rsidRPr="003A4536" w:rsidRDefault="000401F4" w:rsidP="00FC6A4A">
      <w:pPr>
        <w:suppressAutoHyphens/>
        <w:rPr>
          <w:b/>
          <w:iCs/>
          <w:lang w:val="de-CH" w:eastAsia="de-DE"/>
        </w:rPr>
      </w:pPr>
      <w:r w:rsidRPr="003A4536">
        <w:rPr>
          <w:b/>
          <w:iCs/>
          <w:lang w:val="de-CH" w:eastAsia="de-DE"/>
        </w:rPr>
        <w:lastRenderedPageBreak/>
        <w:t>References</w:t>
      </w:r>
    </w:p>
    <w:p w:rsidR="000401F4" w:rsidRPr="005955D7" w:rsidRDefault="000401F4" w:rsidP="00CB484A">
      <w:pPr>
        <w:pStyle w:val="EndNoteBibliography"/>
        <w:spacing w:after="60"/>
        <w:ind w:left="567" w:hanging="567"/>
      </w:pPr>
      <w:r w:rsidRPr="005955D7">
        <w:t>(1)</w:t>
      </w:r>
      <w:r w:rsidRPr="005955D7">
        <w:tab/>
      </w:r>
      <w:r w:rsidRPr="005955D7">
        <w:rPr>
          <w:b/>
        </w:rPr>
        <w:t>Schmutz C</w:t>
      </w:r>
      <w:r w:rsidRPr="005955D7">
        <w:rPr>
          <w:b/>
          <w:i/>
        </w:rPr>
        <w:t>, et al.</w:t>
      </w:r>
      <w:r w:rsidRPr="005955D7">
        <w:t xml:space="preserve"> Inverse trends of </w:t>
      </w:r>
      <w:r w:rsidRPr="005955D7">
        <w:rPr>
          <w:i/>
        </w:rPr>
        <w:t xml:space="preserve">Campylobacter </w:t>
      </w:r>
      <w:r w:rsidRPr="005955D7">
        <w:t xml:space="preserve">and </w:t>
      </w:r>
      <w:r w:rsidRPr="005955D7">
        <w:rPr>
          <w:i/>
        </w:rPr>
        <w:t xml:space="preserve">Salmonella </w:t>
      </w:r>
      <w:r w:rsidRPr="005955D7">
        <w:t xml:space="preserve">in Swiss surveillance data, 1988-2013. </w:t>
      </w:r>
      <w:r w:rsidRPr="005955D7">
        <w:rPr>
          <w:i/>
        </w:rPr>
        <w:t>Eurosurveillance</w:t>
      </w:r>
      <w:r w:rsidRPr="005955D7">
        <w:t xml:space="preserve"> 2016;</w:t>
      </w:r>
      <w:r w:rsidRPr="005955D7">
        <w:rPr>
          <w:b/>
        </w:rPr>
        <w:t xml:space="preserve"> 21</w:t>
      </w:r>
      <w:r w:rsidRPr="005955D7">
        <w:t xml:space="preserve">: pii=30130. </w:t>
      </w:r>
    </w:p>
    <w:p w:rsidR="000401F4" w:rsidRPr="005955D7" w:rsidRDefault="000401F4" w:rsidP="00CB484A">
      <w:pPr>
        <w:pStyle w:val="EndNoteBibliography"/>
        <w:spacing w:after="60"/>
        <w:ind w:left="567" w:hanging="567"/>
      </w:pPr>
      <w:r w:rsidRPr="005955D7">
        <w:t>(2)</w:t>
      </w:r>
      <w:r w:rsidRPr="005955D7">
        <w:tab/>
      </w:r>
      <w:r w:rsidRPr="005955D7">
        <w:rPr>
          <w:b/>
        </w:rPr>
        <w:t>Tam CC</w:t>
      </w:r>
      <w:r w:rsidRPr="005955D7">
        <w:rPr>
          <w:b/>
          <w:i/>
        </w:rPr>
        <w:t>, et al.</w:t>
      </w:r>
      <w:r w:rsidRPr="005955D7">
        <w:t xml:space="preserve"> Longitudinal study of infectious intestinal disease in the UK (IID2 study): incidence in the community and presenting to general practice. </w:t>
      </w:r>
      <w:r w:rsidRPr="005955D7">
        <w:rPr>
          <w:i/>
        </w:rPr>
        <w:t>Gut</w:t>
      </w:r>
      <w:r w:rsidRPr="005955D7">
        <w:t xml:space="preserve"> 2012;</w:t>
      </w:r>
      <w:r w:rsidRPr="005955D7">
        <w:rPr>
          <w:b/>
        </w:rPr>
        <w:t xml:space="preserve"> 61</w:t>
      </w:r>
      <w:r w:rsidRPr="005955D7">
        <w:t xml:space="preserve">, 69-77. </w:t>
      </w:r>
    </w:p>
    <w:p w:rsidR="000401F4" w:rsidRPr="005955D7" w:rsidRDefault="000401F4" w:rsidP="00CB484A">
      <w:pPr>
        <w:pStyle w:val="EndNoteBibliography"/>
        <w:spacing w:after="60"/>
        <w:ind w:left="567" w:hanging="567"/>
      </w:pPr>
      <w:r w:rsidRPr="005955D7">
        <w:t>(3)</w:t>
      </w:r>
      <w:r w:rsidRPr="005955D7">
        <w:tab/>
      </w:r>
      <w:r w:rsidRPr="005955D7">
        <w:rPr>
          <w:b/>
        </w:rPr>
        <w:t>Wilking H</w:t>
      </w:r>
      <w:r w:rsidRPr="005955D7">
        <w:rPr>
          <w:b/>
          <w:i/>
        </w:rPr>
        <w:t>, et al.</w:t>
      </w:r>
      <w:r w:rsidRPr="005955D7">
        <w:t xml:space="preserve"> Acute gastrointestinal illness in adults in Germany: a population-based telephone survey. </w:t>
      </w:r>
      <w:r w:rsidRPr="005955D7">
        <w:rPr>
          <w:i/>
        </w:rPr>
        <w:t>Epidemiology and Infection</w:t>
      </w:r>
      <w:r w:rsidRPr="005955D7">
        <w:t xml:space="preserve"> 2013;</w:t>
      </w:r>
      <w:r w:rsidRPr="005955D7">
        <w:rPr>
          <w:b/>
        </w:rPr>
        <w:t xml:space="preserve"> 141</w:t>
      </w:r>
      <w:r w:rsidRPr="005955D7">
        <w:t xml:space="preserve">, 2365-2375. </w:t>
      </w:r>
    </w:p>
    <w:p w:rsidR="000401F4" w:rsidRPr="005955D7" w:rsidRDefault="000401F4" w:rsidP="00CB484A">
      <w:pPr>
        <w:pStyle w:val="EndNoteBibliography"/>
        <w:spacing w:after="60"/>
        <w:ind w:left="567" w:hanging="567"/>
      </w:pPr>
      <w:r w:rsidRPr="005955D7">
        <w:t>(4)</w:t>
      </w:r>
      <w:r w:rsidRPr="005955D7">
        <w:tab/>
      </w:r>
      <w:r w:rsidRPr="005955D7">
        <w:rPr>
          <w:b/>
        </w:rPr>
        <w:t>Doorduyn Y, Van Pelt W, Havelaar AH.</w:t>
      </w:r>
      <w:r w:rsidRPr="005955D7">
        <w:t xml:space="preserve"> The burden of infectious intestinal disease (IID) in the community: a survey of self-reported IID in The Netherlands. </w:t>
      </w:r>
      <w:r w:rsidRPr="005955D7">
        <w:rPr>
          <w:i/>
        </w:rPr>
        <w:t>Epidemiology and Infection</w:t>
      </w:r>
      <w:r w:rsidRPr="005955D7">
        <w:t xml:space="preserve"> 2012;</w:t>
      </w:r>
      <w:r w:rsidRPr="005955D7">
        <w:rPr>
          <w:b/>
        </w:rPr>
        <w:t xml:space="preserve"> 140</w:t>
      </w:r>
      <w:r w:rsidRPr="005955D7">
        <w:t xml:space="preserve">, 1185-1192. </w:t>
      </w:r>
    </w:p>
    <w:p w:rsidR="000401F4" w:rsidRPr="005955D7" w:rsidRDefault="000401F4" w:rsidP="00CB484A">
      <w:pPr>
        <w:pStyle w:val="EndNoteBibliography"/>
        <w:spacing w:after="60"/>
        <w:ind w:left="567" w:hanging="567"/>
      </w:pPr>
      <w:r w:rsidRPr="005955D7">
        <w:t>(5)</w:t>
      </w:r>
      <w:r w:rsidRPr="005955D7">
        <w:tab/>
      </w:r>
      <w:r w:rsidRPr="005955D7">
        <w:rPr>
          <w:b/>
        </w:rPr>
        <w:t>Scavia G</w:t>
      </w:r>
      <w:r w:rsidRPr="005955D7">
        <w:rPr>
          <w:b/>
          <w:i/>
        </w:rPr>
        <w:t>, et al.</w:t>
      </w:r>
      <w:r w:rsidRPr="005955D7">
        <w:t xml:space="preserve"> The burden of self-reported acute gastrointestinal illness in Italy: a retrospective survey, 2008-2009. </w:t>
      </w:r>
      <w:r w:rsidRPr="005955D7">
        <w:rPr>
          <w:i/>
        </w:rPr>
        <w:t>Epidemiology and Infection</w:t>
      </w:r>
      <w:r w:rsidRPr="005955D7">
        <w:t xml:space="preserve"> 2012;</w:t>
      </w:r>
      <w:r w:rsidRPr="005955D7">
        <w:rPr>
          <w:b/>
        </w:rPr>
        <w:t xml:space="preserve"> 140</w:t>
      </w:r>
      <w:r w:rsidRPr="005955D7">
        <w:t xml:space="preserve">, 1193-1206. </w:t>
      </w:r>
    </w:p>
    <w:p w:rsidR="000401F4" w:rsidRPr="005955D7" w:rsidRDefault="000401F4" w:rsidP="00CB484A">
      <w:pPr>
        <w:pStyle w:val="EndNoteBibliography"/>
        <w:spacing w:after="60"/>
        <w:ind w:left="567" w:hanging="567"/>
      </w:pPr>
      <w:r w:rsidRPr="005955D7">
        <w:t>(6)</w:t>
      </w:r>
      <w:r w:rsidRPr="005955D7">
        <w:tab/>
      </w:r>
      <w:r w:rsidRPr="005955D7">
        <w:rPr>
          <w:b/>
        </w:rPr>
        <w:t>Kuusi M</w:t>
      </w:r>
      <w:r w:rsidRPr="005955D7">
        <w:rPr>
          <w:b/>
          <w:i/>
        </w:rPr>
        <w:t>, et al.</w:t>
      </w:r>
      <w:r w:rsidRPr="005955D7">
        <w:t xml:space="preserve"> Incidence of gastroenteritis in Norway - a population-based survey. </w:t>
      </w:r>
      <w:r w:rsidRPr="005955D7">
        <w:rPr>
          <w:i/>
        </w:rPr>
        <w:t>Epidemiology and Infection</w:t>
      </w:r>
      <w:r w:rsidRPr="005955D7">
        <w:t xml:space="preserve"> 2003;</w:t>
      </w:r>
      <w:r w:rsidRPr="005955D7">
        <w:rPr>
          <w:b/>
        </w:rPr>
        <w:t xml:space="preserve"> 131</w:t>
      </w:r>
      <w:r w:rsidRPr="005955D7">
        <w:t xml:space="preserve">, 591-597. </w:t>
      </w:r>
    </w:p>
    <w:p w:rsidR="000401F4" w:rsidRPr="005955D7" w:rsidRDefault="000401F4" w:rsidP="00CB484A">
      <w:pPr>
        <w:pStyle w:val="EndNoteBibliography"/>
        <w:spacing w:after="60"/>
        <w:ind w:left="567" w:hanging="567"/>
      </w:pPr>
      <w:r w:rsidRPr="005955D7">
        <w:t>(7)</w:t>
      </w:r>
      <w:r w:rsidRPr="005955D7">
        <w:tab/>
      </w:r>
      <w:r w:rsidRPr="005955D7">
        <w:rPr>
          <w:b/>
        </w:rPr>
        <w:t>Muller L, Korsgaard H, Ethelberg S.</w:t>
      </w:r>
      <w:r w:rsidRPr="005955D7">
        <w:t xml:space="preserve"> Burden of acute gastrointestinal illness in Denmark 2009: a population-based telephone survey. </w:t>
      </w:r>
      <w:r w:rsidRPr="005955D7">
        <w:rPr>
          <w:i/>
        </w:rPr>
        <w:t>Epidemiology and Infection</w:t>
      </w:r>
      <w:r w:rsidRPr="005955D7">
        <w:t xml:space="preserve"> 2012;</w:t>
      </w:r>
      <w:r w:rsidRPr="005955D7">
        <w:rPr>
          <w:b/>
        </w:rPr>
        <w:t xml:space="preserve"> 140</w:t>
      </w:r>
      <w:r w:rsidRPr="005955D7">
        <w:t xml:space="preserve">, 290-298. </w:t>
      </w:r>
    </w:p>
    <w:p w:rsidR="000401F4" w:rsidRPr="005955D7" w:rsidRDefault="000401F4" w:rsidP="00CB484A">
      <w:pPr>
        <w:pStyle w:val="EndNoteBibliography"/>
        <w:spacing w:after="60"/>
        <w:ind w:left="567" w:hanging="567"/>
      </w:pPr>
      <w:r w:rsidRPr="005955D7">
        <w:t>(8)</w:t>
      </w:r>
      <w:r w:rsidRPr="005955D7">
        <w:tab/>
      </w:r>
      <w:r w:rsidRPr="005955D7">
        <w:rPr>
          <w:b/>
        </w:rPr>
        <w:t xml:space="preserve">NewIndex AG. </w:t>
      </w:r>
      <w:r w:rsidRPr="005955D7">
        <w:t>Kantonale Taxpunktwerte (</w:t>
      </w:r>
      <w:r w:rsidRPr="000401F4">
        <w:t>http://www.newindex.ch/Taxpunktwerte-100)</w:t>
      </w:r>
      <w:r w:rsidRPr="005955D7">
        <w:t>. Accessed 20 April 2016</w:t>
      </w:r>
    </w:p>
    <w:p w:rsidR="000401F4" w:rsidRPr="005955D7" w:rsidRDefault="000401F4" w:rsidP="00CB484A">
      <w:pPr>
        <w:pStyle w:val="EndNoteBibliography"/>
        <w:spacing w:after="60"/>
        <w:ind w:left="567" w:hanging="567"/>
      </w:pPr>
      <w:r w:rsidRPr="005955D7">
        <w:t>(9)</w:t>
      </w:r>
      <w:r w:rsidRPr="005955D7">
        <w:tab/>
      </w:r>
      <w:r w:rsidRPr="005955D7">
        <w:rPr>
          <w:b/>
        </w:rPr>
        <w:t xml:space="preserve">TARMED. </w:t>
      </w:r>
      <w:r w:rsidRPr="005955D7">
        <w:t>TARMED Tarif version 1.08.0000 of 1 June 2012 (</w:t>
      </w:r>
      <w:r w:rsidRPr="000401F4">
        <w:t>http://www.tarmedsuisse.ch/pdf-tarifbrowser.html)</w:t>
      </w:r>
      <w:r w:rsidRPr="005955D7">
        <w:t>. Accessed 20 April 2016</w:t>
      </w:r>
    </w:p>
    <w:p w:rsidR="000401F4" w:rsidRPr="005955D7" w:rsidRDefault="000401F4" w:rsidP="00CB484A">
      <w:pPr>
        <w:pStyle w:val="EndNoteBibliography"/>
        <w:spacing w:after="60"/>
        <w:ind w:left="567" w:hanging="567"/>
      </w:pPr>
      <w:r w:rsidRPr="005955D7">
        <w:t>(10)</w:t>
      </w:r>
      <w:r w:rsidRPr="005955D7">
        <w:tab/>
      </w:r>
      <w:r w:rsidRPr="005955D7">
        <w:rPr>
          <w:b/>
        </w:rPr>
        <w:t xml:space="preserve">Eidgenössisches Departement des Innern [Federal Department of Home Affairs]. </w:t>
      </w:r>
      <w:r w:rsidRPr="00CB484A">
        <w:rPr>
          <w:lang w:val="de-CH"/>
        </w:rPr>
        <w:t xml:space="preserve">Analysenliste vom 1. Januar 2012. Appendix 3 of "Verordnung des EDI vom 29. September 1995 über Leistungen in der obligatorischen Krankenpflegeversicherung (Krankenpflege-Leistungsverordnung, KLV) SR 832.112.31". </w:t>
      </w:r>
      <w:r w:rsidRPr="005955D7">
        <w:t xml:space="preserve">Bern: 2012. Available from </w:t>
      </w:r>
      <w:r w:rsidRPr="000401F4">
        <w:t>http://www.bag.admin.ch/al</w:t>
      </w:r>
      <w:r w:rsidRPr="005955D7">
        <w:t>.</w:t>
      </w:r>
    </w:p>
    <w:p w:rsidR="000401F4" w:rsidRPr="005955D7" w:rsidRDefault="000401F4" w:rsidP="00CB484A">
      <w:pPr>
        <w:pStyle w:val="EndNoteBibliography"/>
        <w:spacing w:after="60"/>
        <w:ind w:left="567" w:hanging="567"/>
      </w:pPr>
      <w:r w:rsidRPr="005955D7">
        <w:t>(11)</w:t>
      </w:r>
      <w:r w:rsidRPr="005955D7">
        <w:tab/>
      </w:r>
      <w:r w:rsidRPr="005955D7">
        <w:rPr>
          <w:b/>
        </w:rPr>
        <w:t xml:space="preserve">Anon. </w:t>
      </w:r>
      <w:r w:rsidRPr="00CB484A">
        <w:rPr>
          <w:lang w:val="de-CH"/>
        </w:rPr>
        <w:t xml:space="preserve">Tarifvertrag (LOA IV) zwischen dem Schweizerischen Apothekerverband (pharmaSuisse) und santésuisse - Die Schweizer Krankenversicherer (santésuisse). </w:t>
      </w:r>
      <w:r w:rsidRPr="005955D7">
        <w:t xml:space="preserve">Endversion vom 06.03.2009. [Agreement on tariffs between the Swiss organisation of pharmacies (pharmaSuisse) and santésuisse - the Swiss health insurers (santésuisse). Final version from 06.03.2009]. Available from </w:t>
      </w:r>
      <w:r w:rsidRPr="000401F4">
        <w:t>http://www.pharmasuisse.org/data/Oeffentlich/de/Themen/Tarifvertrag_LOA-IV_def_d_09-03-6.pdf</w:t>
      </w:r>
      <w:r w:rsidRPr="005955D7">
        <w:t>.</w:t>
      </w:r>
    </w:p>
    <w:p w:rsidR="000401F4" w:rsidRPr="00CB484A" w:rsidRDefault="000401F4" w:rsidP="00CB484A">
      <w:pPr>
        <w:pStyle w:val="EndNoteBibliography"/>
        <w:spacing w:after="60"/>
        <w:ind w:left="567" w:hanging="567"/>
        <w:rPr>
          <w:lang w:val="de-CH"/>
        </w:rPr>
      </w:pPr>
      <w:r w:rsidRPr="00CB484A">
        <w:rPr>
          <w:lang w:val="de-CH"/>
        </w:rPr>
        <w:t>(12)</w:t>
      </w:r>
      <w:r w:rsidRPr="00CB484A">
        <w:rPr>
          <w:lang w:val="de-CH"/>
        </w:rPr>
        <w:tab/>
      </w:r>
      <w:r w:rsidRPr="00CB484A">
        <w:rPr>
          <w:b/>
          <w:lang w:val="de-CH"/>
        </w:rPr>
        <w:t xml:space="preserve">Bundesamt für Statistik. </w:t>
      </w:r>
      <w:r w:rsidRPr="00CB484A">
        <w:rPr>
          <w:lang w:val="de-CH"/>
        </w:rPr>
        <w:t>Spezialitätenliste (SL) as per 1 January 2012 (www.sl.bag.admin.ch). Accessed 24 April 2015</w:t>
      </w:r>
    </w:p>
    <w:p w:rsidR="000401F4" w:rsidRPr="00CB484A" w:rsidRDefault="000401F4" w:rsidP="00CB484A">
      <w:pPr>
        <w:pStyle w:val="EndNoteBibliography"/>
        <w:spacing w:after="60"/>
        <w:ind w:left="567" w:hanging="567"/>
        <w:rPr>
          <w:lang w:val="de-CH"/>
        </w:rPr>
      </w:pPr>
      <w:r w:rsidRPr="00CB484A">
        <w:rPr>
          <w:lang w:val="de-CH"/>
        </w:rPr>
        <w:t>(13)</w:t>
      </w:r>
      <w:r w:rsidRPr="00CB484A">
        <w:rPr>
          <w:lang w:val="de-CH"/>
        </w:rPr>
        <w:tab/>
      </w:r>
      <w:r w:rsidRPr="00CB484A">
        <w:rPr>
          <w:b/>
          <w:lang w:val="de-CH"/>
        </w:rPr>
        <w:t>SwissDRG AG</w:t>
      </w:r>
      <w:r w:rsidRPr="00CB484A">
        <w:rPr>
          <w:lang w:val="de-CH"/>
        </w:rPr>
        <w:t>. Fallpauschalen in Schweizer Spitälern. In. Bern: SwissDRG AG, 2015: 8.</w:t>
      </w:r>
    </w:p>
    <w:p w:rsidR="000401F4" w:rsidRPr="005955D7" w:rsidRDefault="000401F4" w:rsidP="00CB484A">
      <w:pPr>
        <w:pStyle w:val="EndNoteBibliography"/>
        <w:spacing w:after="60"/>
        <w:ind w:left="567" w:hanging="567"/>
      </w:pPr>
      <w:r w:rsidRPr="00CB484A">
        <w:rPr>
          <w:lang w:val="de-CH"/>
        </w:rPr>
        <w:t>(14)</w:t>
      </w:r>
      <w:r w:rsidRPr="00CB484A">
        <w:rPr>
          <w:lang w:val="de-CH"/>
        </w:rPr>
        <w:tab/>
      </w:r>
      <w:r w:rsidRPr="00CB484A">
        <w:rPr>
          <w:b/>
          <w:lang w:val="de-CH"/>
        </w:rPr>
        <w:t xml:space="preserve">Gesundheits- und Fürsorgedirektion des Kantons Bern. </w:t>
      </w:r>
      <w:r w:rsidRPr="00CB484A">
        <w:rPr>
          <w:lang w:val="de-CH"/>
        </w:rPr>
        <w:t xml:space="preserve">Übersicht stationäre Spitaltarife 2012 Kanton Bern (http://www.gef.be.ch/gef/de/index/gesundheit/gesundheit/spitalversorgung/spitaeler/superprovisorischetarife.assetref/dam/documents/GEF/SPA/de/Spitalversorgung/Tarife/Tarif%C3%BCbersicht_2012_d_141016.pdf). </w:t>
      </w:r>
      <w:r w:rsidRPr="005955D7">
        <w:t>Accessed 06 November 2015</w:t>
      </w:r>
    </w:p>
    <w:p w:rsidR="000401F4" w:rsidRPr="00CB484A" w:rsidRDefault="000401F4" w:rsidP="00CB484A">
      <w:pPr>
        <w:pStyle w:val="EndNoteBibliography"/>
        <w:spacing w:after="60"/>
        <w:ind w:left="567" w:hanging="567"/>
        <w:rPr>
          <w:lang w:val="de-CH"/>
        </w:rPr>
      </w:pPr>
      <w:r w:rsidRPr="005955D7">
        <w:t>(15)</w:t>
      </w:r>
      <w:r w:rsidRPr="005955D7">
        <w:tab/>
      </w:r>
      <w:r w:rsidRPr="005955D7">
        <w:rPr>
          <w:b/>
        </w:rPr>
        <w:t xml:space="preserve">European Central Bank. </w:t>
      </w:r>
      <w:r w:rsidRPr="005955D7">
        <w:t>Euro foreign exchange reference rates (</w:t>
      </w:r>
      <w:r w:rsidRPr="000401F4">
        <w:t>http://www.ecb.europa.eu/stats/exchange/eurofxref/html/index.en.html)</w:t>
      </w:r>
      <w:r w:rsidRPr="005955D7">
        <w:t xml:space="preserve">. </w:t>
      </w:r>
      <w:r w:rsidRPr="00CB484A">
        <w:rPr>
          <w:lang w:val="de-CH"/>
        </w:rPr>
        <w:t>Accessed 15 April 2016</w:t>
      </w:r>
    </w:p>
    <w:p w:rsidR="000401F4" w:rsidRPr="005955D7" w:rsidRDefault="000401F4" w:rsidP="00CB484A">
      <w:pPr>
        <w:pStyle w:val="EndNoteBibliography"/>
        <w:spacing w:after="60"/>
        <w:ind w:left="567" w:hanging="567"/>
      </w:pPr>
      <w:r w:rsidRPr="00CB484A">
        <w:rPr>
          <w:lang w:val="de-CH"/>
        </w:rPr>
        <w:t>(16)</w:t>
      </w:r>
      <w:r w:rsidRPr="00CB484A">
        <w:rPr>
          <w:lang w:val="de-CH"/>
        </w:rPr>
        <w:tab/>
      </w:r>
      <w:r w:rsidRPr="00CB484A">
        <w:rPr>
          <w:b/>
          <w:lang w:val="de-CH"/>
        </w:rPr>
        <w:t>Schweiger A, Markwalder K, Vogt M.</w:t>
      </w:r>
      <w:r w:rsidRPr="00CB484A">
        <w:rPr>
          <w:lang w:val="de-CH"/>
        </w:rPr>
        <w:t xml:space="preserve"> Infektiöse Diarrhoe: Epidemiologie, Klinik und Diagnostik. </w:t>
      </w:r>
      <w:r w:rsidRPr="005955D7">
        <w:rPr>
          <w:i/>
        </w:rPr>
        <w:t>Swiss Medical Forum</w:t>
      </w:r>
      <w:r w:rsidRPr="005955D7">
        <w:t xml:space="preserve"> 2005;</w:t>
      </w:r>
      <w:r w:rsidRPr="005955D7">
        <w:rPr>
          <w:b/>
        </w:rPr>
        <w:t xml:space="preserve"> 5</w:t>
      </w:r>
      <w:r w:rsidRPr="005955D7">
        <w:t xml:space="preserve">, 714-723. </w:t>
      </w:r>
    </w:p>
    <w:sectPr w:rsidR="000401F4" w:rsidRPr="005955D7" w:rsidSect="006C55BD">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01F4"/>
    <w:rsid w:val="000214D2"/>
    <w:rsid w:val="000401F4"/>
    <w:rsid w:val="00057252"/>
    <w:rsid w:val="00090FFF"/>
    <w:rsid w:val="000937EF"/>
    <w:rsid w:val="000B2642"/>
    <w:rsid w:val="000C015F"/>
    <w:rsid w:val="000D1708"/>
    <w:rsid w:val="000E43A0"/>
    <w:rsid w:val="000E4CCB"/>
    <w:rsid w:val="000F792C"/>
    <w:rsid w:val="001170D3"/>
    <w:rsid w:val="001230FA"/>
    <w:rsid w:val="00144435"/>
    <w:rsid w:val="001545F1"/>
    <w:rsid w:val="001572DF"/>
    <w:rsid w:val="001639BC"/>
    <w:rsid w:val="00166AD4"/>
    <w:rsid w:val="00172577"/>
    <w:rsid w:val="00174734"/>
    <w:rsid w:val="00176BFD"/>
    <w:rsid w:val="00182B34"/>
    <w:rsid w:val="001942F0"/>
    <w:rsid w:val="001A39FC"/>
    <w:rsid w:val="001D0429"/>
    <w:rsid w:val="001D0BF8"/>
    <w:rsid w:val="001F3B3B"/>
    <w:rsid w:val="00203B6E"/>
    <w:rsid w:val="002057A3"/>
    <w:rsid w:val="00220557"/>
    <w:rsid w:val="002248B7"/>
    <w:rsid w:val="00231B31"/>
    <w:rsid w:val="002336CF"/>
    <w:rsid w:val="002364E3"/>
    <w:rsid w:val="0024495A"/>
    <w:rsid w:val="00247474"/>
    <w:rsid w:val="00277211"/>
    <w:rsid w:val="002A29C0"/>
    <w:rsid w:val="002A4FEB"/>
    <w:rsid w:val="002C0E43"/>
    <w:rsid w:val="002C6D14"/>
    <w:rsid w:val="002D2612"/>
    <w:rsid w:val="002D3270"/>
    <w:rsid w:val="002E4A2E"/>
    <w:rsid w:val="002E6FA8"/>
    <w:rsid w:val="002F0B6E"/>
    <w:rsid w:val="003119C7"/>
    <w:rsid w:val="00314052"/>
    <w:rsid w:val="00324E5F"/>
    <w:rsid w:val="003271EC"/>
    <w:rsid w:val="00330383"/>
    <w:rsid w:val="0034049A"/>
    <w:rsid w:val="003438E3"/>
    <w:rsid w:val="00345268"/>
    <w:rsid w:val="00352BB2"/>
    <w:rsid w:val="00380A50"/>
    <w:rsid w:val="00381521"/>
    <w:rsid w:val="0038190C"/>
    <w:rsid w:val="0038199F"/>
    <w:rsid w:val="0038796B"/>
    <w:rsid w:val="00391E81"/>
    <w:rsid w:val="00392F17"/>
    <w:rsid w:val="003975B0"/>
    <w:rsid w:val="003B36E3"/>
    <w:rsid w:val="003B3915"/>
    <w:rsid w:val="003F699D"/>
    <w:rsid w:val="0040670B"/>
    <w:rsid w:val="00441381"/>
    <w:rsid w:val="00442CC9"/>
    <w:rsid w:val="00463E33"/>
    <w:rsid w:val="00471B3C"/>
    <w:rsid w:val="00477886"/>
    <w:rsid w:val="0048204A"/>
    <w:rsid w:val="00490BF7"/>
    <w:rsid w:val="0049167D"/>
    <w:rsid w:val="00491DA4"/>
    <w:rsid w:val="004A53F5"/>
    <w:rsid w:val="004E1A52"/>
    <w:rsid w:val="004E7DE5"/>
    <w:rsid w:val="004F795B"/>
    <w:rsid w:val="00522070"/>
    <w:rsid w:val="0052653F"/>
    <w:rsid w:val="005304CE"/>
    <w:rsid w:val="00533512"/>
    <w:rsid w:val="00533E1D"/>
    <w:rsid w:val="005621EA"/>
    <w:rsid w:val="0057423D"/>
    <w:rsid w:val="005747DF"/>
    <w:rsid w:val="00574E4A"/>
    <w:rsid w:val="00575E37"/>
    <w:rsid w:val="00585570"/>
    <w:rsid w:val="005A6149"/>
    <w:rsid w:val="005B3C02"/>
    <w:rsid w:val="005D4429"/>
    <w:rsid w:val="005E6A5D"/>
    <w:rsid w:val="0060086F"/>
    <w:rsid w:val="006171F5"/>
    <w:rsid w:val="00631653"/>
    <w:rsid w:val="00633DBE"/>
    <w:rsid w:val="006348B4"/>
    <w:rsid w:val="00637309"/>
    <w:rsid w:val="006416E2"/>
    <w:rsid w:val="006419C0"/>
    <w:rsid w:val="0064456F"/>
    <w:rsid w:val="00645D67"/>
    <w:rsid w:val="0065200A"/>
    <w:rsid w:val="006773B4"/>
    <w:rsid w:val="00693B4F"/>
    <w:rsid w:val="006A1AE8"/>
    <w:rsid w:val="006A2DA5"/>
    <w:rsid w:val="006A6735"/>
    <w:rsid w:val="006B019D"/>
    <w:rsid w:val="006D2A88"/>
    <w:rsid w:val="006D42AB"/>
    <w:rsid w:val="006E5836"/>
    <w:rsid w:val="006E68CE"/>
    <w:rsid w:val="006F7634"/>
    <w:rsid w:val="00707F9E"/>
    <w:rsid w:val="00712F17"/>
    <w:rsid w:val="0071395E"/>
    <w:rsid w:val="00715BCF"/>
    <w:rsid w:val="00737D3B"/>
    <w:rsid w:val="00743492"/>
    <w:rsid w:val="00763FD9"/>
    <w:rsid w:val="007640AE"/>
    <w:rsid w:val="00764BBC"/>
    <w:rsid w:val="00765230"/>
    <w:rsid w:val="007658FC"/>
    <w:rsid w:val="007865B2"/>
    <w:rsid w:val="0079046C"/>
    <w:rsid w:val="00792838"/>
    <w:rsid w:val="007A145C"/>
    <w:rsid w:val="007B2C70"/>
    <w:rsid w:val="007B2D8E"/>
    <w:rsid w:val="007E7B0F"/>
    <w:rsid w:val="007F1513"/>
    <w:rsid w:val="007F1770"/>
    <w:rsid w:val="007F48CF"/>
    <w:rsid w:val="007F6351"/>
    <w:rsid w:val="00803127"/>
    <w:rsid w:val="0081523B"/>
    <w:rsid w:val="008218F2"/>
    <w:rsid w:val="00837469"/>
    <w:rsid w:val="00842473"/>
    <w:rsid w:val="0086342E"/>
    <w:rsid w:val="008669BE"/>
    <w:rsid w:val="00870213"/>
    <w:rsid w:val="00883E6E"/>
    <w:rsid w:val="008A4F75"/>
    <w:rsid w:val="008B0C23"/>
    <w:rsid w:val="008E0776"/>
    <w:rsid w:val="008E568B"/>
    <w:rsid w:val="008E704A"/>
    <w:rsid w:val="008F21B1"/>
    <w:rsid w:val="008F40EC"/>
    <w:rsid w:val="00930862"/>
    <w:rsid w:val="009361AA"/>
    <w:rsid w:val="00953C44"/>
    <w:rsid w:val="00962FE1"/>
    <w:rsid w:val="00963F52"/>
    <w:rsid w:val="009810A9"/>
    <w:rsid w:val="00990C0E"/>
    <w:rsid w:val="00993BEC"/>
    <w:rsid w:val="00996524"/>
    <w:rsid w:val="0099696A"/>
    <w:rsid w:val="009A5BD4"/>
    <w:rsid w:val="009B13EF"/>
    <w:rsid w:val="009C277E"/>
    <w:rsid w:val="009D00E7"/>
    <w:rsid w:val="009D0B76"/>
    <w:rsid w:val="009D1A8D"/>
    <w:rsid w:val="009D2EC7"/>
    <w:rsid w:val="009F3A62"/>
    <w:rsid w:val="00A11679"/>
    <w:rsid w:val="00A1284F"/>
    <w:rsid w:val="00A22444"/>
    <w:rsid w:val="00A2564A"/>
    <w:rsid w:val="00A35695"/>
    <w:rsid w:val="00A408EF"/>
    <w:rsid w:val="00A62B0A"/>
    <w:rsid w:val="00AB7B57"/>
    <w:rsid w:val="00AD00B9"/>
    <w:rsid w:val="00AD5F47"/>
    <w:rsid w:val="00AF317C"/>
    <w:rsid w:val="00AF5B8B"/>
    <w:rsid w:val="00B2691E"/>
    <w:rsid w:val="00B3396E"/>
    <w:rsid w:val="00B4339E"/>
    <w:rsid w:val="00B52B9F"/>
    <w:rsid w:val="00B7477F"/>
    <w:rsid w:val="00B9249E"/>
    <w:rsid w:val="00BA0A4B"/>
    <w:rsid w:val="00BA5293"/>
    <w:rsid w:val="00BB01B3"/>
    <w:rsid w:val="00BC6D9E"/>
    <w:rsid w:val="00BE50CE"/>
    <w:rsid w:val="00BF21EF"/>
    <w:rsid w:val="00C246B8"/>
    <w:rsid w:val="00C35139"/>
    <w:rsid w:val="00C36A7F"/>
    <w:rsid w:val="00C41730"/>
    <w:rsid w:val="00C41ADE"/>
    <w:rsid w:val="00C46FA8"/>
    <w:rsid w:val="00C50105"/>
    <w:rsid w:val="00C61AD5"/>
    <w:rsid w:val="00C75591"/>
    <w:rsid w:val="00C8016E"/>
    <w:rsid w:val="00C90587"/>
    <w:rsid w:val="00CA75CD"/>
    <w:rsid w:val="00CB484A"/>
    <w:rsid w:val="00CC24A5"/>
    <w:rsid w:val="00CD15F4"/>
    <w:rsid w:val="00CD7583"/>
    <w:rsid w:val="00D001B1"/>
    <w:rsid w:val="00D03542"/>
    <w:rsid w:val="00D055E9"/>
    <w:rsid w:val="00D1206E"/>
    <w:rsid w:val="00D13F70"/>
    <w:rsid w:val="00D22AA3"/>
    <w:rsid w:val="00D23117"/>
    <w:rsid w:val="00D510EA"/>
    <w:rsid w:val="00DB063D"/>
    <w:rsid w:val="00DB59E0"/>
    <w:rsid w:val="00DD37B0"/>
    <w:rsid w:val="00DE71EF"/>
    <w:rsid w:val="00DF18E6"/>
    <w:rsid w:val="00DF43F9"/>
    <w:rsid w:val="00E03062"/>
    <w:rsid w:val="00E034D8"/>
    <w:rsid w:val="00E14FA8"/>
    <w:rsid w:val="00E3085C"/>
    <w:rsid w:val="00E444F2"/>
    <w:rsid w:val="00E473A9"/>
    <w:rsid w:val="00E604E5"/>
    <w:rsid w:val="00E72D8F"/>
    <w:rsid w:val="00E92BB0"/>
    <w:rsid w:val="00E96D77"/>
    <w:rsid w:val="00EA41A8"/>
    <w:rsid w:val="00EB4244"/>
    <w:rsid w:val="00EC4B08"/>
    <w:rsid w:val="00EC51E0"/>
    <w:rsid w:val="00EC5CA7"/>
    <w:rsid w:val="00ED08E4"/>
    <w:rsid w:val="00EE4D74"/>
    <w:rsid w:val="00EE7F74"/>
    <w:rsid w:val="00EF17FD"/>
    <w:rsid w:val="00EF68FB"/>
    <w:rsid w:val="00EF6C5E"/>
    <w:rsid w:val="00F14EFA"/>
    <w:rsid w:val="00F30618"/>
    <w:rsid w:val="00F45579"/>
    <w:rsid w:val="00F47154"/>
    <w:rsid w:val="00F474B0"/>
    <w:rsid w:val="00F5301D"/>
    <w:rsid w:val="00F70AE8"/>
    <w:rsid w:val="00F81318"/>
    <w:rsid w:val="00F84A7C"/>
    <w:rsid w:val="00FC11A1"/>
    <w:rsid w:val="00FC12FD"/>
    <w:rsid w:val="00FC2F85"/>
    <w:rsid w:val="00FE4A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F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0401F4"/>
    <w:rPr>
      <w:rFonts w:ascii="Calibri" w:eastAsia="Calibri" w:hAnsi="Calibri"/>
      <w:lang w:val="x-none"/>
    </w:rPr>
  </w:style>
  <w:style w:type="character" w:customStyle="1" w:styleId="CommentTextChar">
    <w:name w:val="Comment Text Char"/>
    <w:link w:val="CommentText"/>
    <w:uiPriority w:val="99"/>
    <w:rsid w:val="000401F4"/>
    <w:rPr>
      <w:rFonts w:ascii="Calibri" w:eastAsia="Calibri" w:hAnsi="Calibri"/>
      <w:lang w:val="x-none"/>
    </w:rPr>
  </w:style>
  <w:style w:type="paragraph" w:styleId="BalloonText">
    <w:name w:val="Balloon Text"/>
    <w:basedOn w:val="Normal"/>
    <w:link w:val="BalloonTextChar"/>
    <w:semiHidden/>
    <w:rsid w:val="000401F4"/>
    <w:pPr>
      <w:tabs>
        <w:tab w:val="left" w:pos="851"/>
      </w:tabs>
      <w:spacing w:after="240" w:line="240" w:lineRule="auto"/>
      <w:jc w:val="both"/>
    </w:pPr>
    <w:rPr>
      <w:rFonts w:ascii="Tahoma" w:eastAsia="Times New Roman" w:hAnsi="Tahoma"/>
      <w:sz w:val="18"/>
      <w:szCs w:val="16"/>
      <w:lang w:val="x-none" w:eastAsia="de-DE"/>
    </w:rPr>
  </w:style>
  <w:style w:type="character" w:customStyle="1" w:styleId="BalloonTextChar">
    <w:name w:val="Balloon Text Char"/>
    <w:link w:val="BalloonText"/>
    <w:semiHidden/>
    <w:rsid w:val="000401F4"/>
    <w:rPr>
      <w:rFonts w:ascii="Tahoma" w:eastAsia="Times New Roman" w:hAnsi="Tahoma"/>
      <w:sz w:val="18"/>
      <w:szCs w:val="16"/>
      <w:lang w:val="x-none" w:eastAsia="de-DE"/>
    </w:rPr>
  </w:style>
  <w:style w:type="paragraph" w:customStyle="1" w:styleId="Title1">
    <w:name w:val="Title1"/>
    <w:basedOn w:val="Normal"/>
    <w:next w:val="author"/>
    <w:rsid w:val="000401F4"/>
    <w:pPr>
      <w:overflowPunct w:val="0"/>
      <w:autoSpaceDE w:val="0"/>
      <w:autoSpaceDN w:val="0"/>
      <w:adjustRightInd w:val="0"/>
      <w:spacing w:after="0" w:line="360" w:lineRule="auto"/>
      <w:textAlignment w:val="baseline"/>
    </w:pPr>
    <w:rPr>
      <w:rFonts w:eastAsia="Times New Roman" w:cs="Arial"/>
      <w:b/>
      <w:sz w:val="36"/>
      <w:szCs w:val="20"/>
      <w:lang w:val="en-US" w:eastAsia="de-DE"/>
    </w:rPr>
  </w:style>
  <w:style w:type="paragraph" w:customStyle="1" w:styleId="author">
    <w:name w:val="author"/>
    <w:basedOn w:val="Normal"/>
    <w:next w:val="Normal"/>
    <w:rsid w:val="000401F4"/>
    <w:pPr>
      <w:overflowPunct w:val="0"/>
      <w:autoSpaceDE w:val="0"/>
      <w:autoSpaceDN w:val="0"/>
      <w:adjustRightInd w:val="0"/>
      <w:spacing w:before="120" w:after="0" w:line="360" w:lineRule="auto"/>
      <w:textAlignment w:val="baseline"/>
    </w:pPr>
    <w:rPr>
      <w:rFonts w:ascii="Times New Roman" w:eastAsia="Times New Roman" w:hAnsi="Times New Roman" w:cs="Arial"/>
      <w:sz w:val="24"/>
      <w:szCs w:val="20"/>
      <w:lang w:val="en-US" w:eastAsia="de-DE"/>
    </w:rPr>
  </w:style>
  <w:style w:type="paragraph" w:customStyle="1" w:styleId="heading1">
    <w:name w:val="heading1"/>
    <w:basedOn w:val="Normal"/>
    <w:next w:val="Normal"/>
    <w:rsid w:val="000401F4"/>
    <w:pPr>
      <w:keepNext/>
      <w:overflowPunct w:val="0"/>
      <w:autoSpaceDE w:val="0"/>
      <w:autoSpaceDN w:val="0"/>
      <w:adjustRightInd w:val="0"/>
      <w:spacing w:before="240" w:after="180" w:line="360" w:lineRule="auto"/>
      <w:textAlignment w:val="baseline"/>
    </w:pPr>
    <w:rPr>
      <w:rFonts w:eastAsia="Times New Roman" w:cs="Arial"/>
      <w:b/>
      <w:sz w:val="32"/>
      <w:szCs w:val="20"/>
      <w:lang w:val="en-US" w:eastAsia="de-DE"/>
    </w:rPr>
  </w:style>
  <w:style w:type="paragraph" w:styleId="Header">
    <w:name w:val="header"/>
    <w:basedOn w:val="Normal"/>
    <w:link w:val="HeaderChar"/>
    <w:uiPriority w:val="99"/>
    <w:unhideWhenUsed/>
    <w:rsid w:val="00040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01F4"/>
    <w:rPr>
      <w:rFonts w:ascii="Arial" w:hAnsi="Arial"/>
      <w:lang w:val="en-GB"/>
    </w:rPr>
  </w:style>
  <w:style w:type="paragraph" w:styleId="Footer">
    <w:name w:val="footer"/>
    <w:basedOn w:val="Normal"/>
    <w:link w:val="FooterChar"/>
    <w:uiPriority w:val="99"/>
    <w:unhideWhenUsed/>
    <w:rsid w:val="00040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01F4"/>
    <w:rPr>
      <w:rFonts w:ascii="Arial" w:hAnsi="Arial"/>
      <w:lang w:val="en-GB"/>
    </w:rPr>
  </w:style>
  <w:style w:type="character" w:styleId="PlaceholderText">
    <w:name w:val="Placeholder Text"/>
    <w:basedOn w:val="DefaultParagraphFont"/>
    <w:uiPriority w:val="99"/>
    <w:semiHidden/>
    <w:rsid w:val="000401F4"/>
    <w:rPr>
      <w:color w:val="808080"/>
    </w:rPr>
  </w:style>
  <w:style w:type="table" w:styleId="TableGrid">
    <w:name w:val="Table Grid"/>
    <w:basedOn w:val="TableNormal"/>
    <w:uiPriority w:val="59"/>
    <w:rsid w:val="0004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401F4"/>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0401F4"/>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401F4"/>
    <w:rPr>
      <w:rFonts w:ascii="Arial" w:hAnsi="Arial" w:cs="Arial"/>
      <w:noProof/>
      <w:lang w:val="en-US"/>
    </w:rPr>
  </w:style>
  <w:style w:type="paragraph" w:customStyle="1" w:styleId="EndNoteBibliography">
    <w:name w:val="EndNote Bibliography"/>
    <w:basedOn w:val="Normal"/>
    <w:link w:val="EndNoteBibliographyChar"/>
    <w:rsid w:val="000401F4"/>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401F4"/>
    <w:rPr>
      <w:rFonts w:ascii="Arial" w:hAnsi="Arial" w:cs="Arial"/>
      <w:noProof/>
      <w:lang w:val="en-US"/>
    </w:rPr>
  </w:style>
  <w:style w:type="character" w:styleId="Hyperlink">
    <w:name w:val="Hyperlink"/>
    <w:basedOn w:val="DefaultParagraphFont"/>
    <w:uiPriority w:val="99"/>
    <w:unhideWhenUsed/>
    <w:rsid w:val="00040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F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0401F4"/>
    <w:rPr>
      <w:rFonts w:ascii="Calibri" w:eastAsia="Calibri" w:hAnsi="Calibri"/>
      <w:lang w:val="x-none"/>
    </w:rPr>
  </w:style>
  <w:style w:type="character" w:customStyle="1" w:styleId="CommentTextChar">
    <w:name w:val="Comment Text Char"/>
    <w:link w:val="CommentText"/>
    <w:uiPriority w:val="99"/>
    <w:rsid w:val="000401F4"/>
    <w:rPr>
      <w:rFonts w:ascii="Calibri" w:eastAsia="Calibri" w:hAnsi="Calibri"/>
      <w:lang w:val="x-none"/>
    </w:rPr>
  </w:style>
  <w:style w:type="paragraph" w:styleId="BalloonText">
    <w:name w:val="Balloon Text"/>
    <w:basedOn w:val="Normal"/>
    <w:link w:val="BalloonTextChar"/>
    <w:semiHidden/>
    <w:rsid w:val="000401F4"/>
    <w:pPr>
      <w:tabs>
        <w:tab w:val="left" w:pos="851"/>
      </w:tabs>
      <w:spacing w:after="240" w:line="240" w:lineRule="auto"/>
      <w:jc w:val="both"/>
    </w:pPr>
    <w:rPr>
      <w:rFonts w:ascii="Tahoma" w:eastAsia="Times New Roman" w:hAnsi="Tahoma"/>
      <w:sz w:val="18"/>
      <w:szCs w:val="16"/>
      <w:lang w:val="x-none" w:eastAsia="de-DE"/>
    </w:rPr>
  </w:style>
  <w:style w:type="character" w:customStyle="1" w:styleId="BalloonTextChar">
    <w:name w:val="Balloon Text Char"/>
    <w:link w:val="BalloonText"/>
    <w:semiHidden/>
    <w:rsid w:val="000401F4"/>
    <w:rPr>
      <w:rFonts w:ascii="Tahoma" w:eastAsia="Times New Roman" w:hAnsi="Tahoma"/>
      <w:sz w:val="18"/>
      <w:szCs w:val="16"/>
      <w:lang w:val="x-none" w:eastAsia="de-DE"/>
    </w:rPr>
  </w:style>
  <w:style w:type="paragraph" w:customStyle="1" w:styleId="Title1">
    <w:name w:val="Title1"/>
    <w:basedOn w:val="Normal"/>
    <w:next w:val="author"/>
    <w:rsid w:val="000401F4"/>
    <w:pPr>
      <w:overflowPunct w:val="0"/>
      <w:autoSpaceDE w:val="0"/>
      <w:autoSpaceDN w:val="0"/>
      <w:adjustRightInd w:val="0"/>
      <w:spacing w:after="0" w:line="360" w:lineRule="auto"/>
      <w:textAlignment w:val="baseline"/>
    </w:pPr>
    <w:rPr>
      <w:rFonts w:eastAsia="Times New Roman" w:cs="Arial"/>
      <w:b/>
      <w:sz w:val="36"/>
      <w:szCs w:val="20"/>
      <w:lang w:val="en-US" w:eastAsia="de-DE"/>
    </w:rPr>
  </w:style>
  <w:style w:type="paragraph" w:customStyle="1" w:styleId="author">
    <w:name w:val="author"/>
    <w:basedOn w:val="Normal"/>
    <w:next w:val="Normal"/>
    <w:rsid w:val="000401F4"/>
    <w:pPr>
      <w:overflowPunct w:val="0"/>
      <w:autoSpaceDE w:val="0"/>
      <w:autoSpaceDN w:val="0"/>
      <w:adjustRightInd w:val="0"/>
      <w:spacing w:before="120" w:after="0" w:line="360" w:lineRule="auto"/>
      <w:textAlignment w:val="baseline"/>
    </w:pPr>
    <w:rPr>
      <w:rFonts w:ascii="Times New Roman" w:eastAsia="Times New Roman" w:hAnsi="Times New Roman" w:cs="Arial"/>
      <w:sz w:val="24"/>
      <w:szCs w:val="20"/>
      <w:lang w:val="en-US" w:eastAsia="de-DE"/>
    </w:rPr>
  </w:style>
  <w:style w:type="paragraph" w:customStyle="1" w:styleId="heading1">
    <w:name w:val="heading1"/>
    <w:basedOn w:val="Normal"/>
    <w:next w:val="Normal"/>
    <w:rsid w:val="000401F4"/>
    <w:pPr>
      <w:keepNext/>
      <w:overflowPunct w:val="0"/>
      <w:autoSpaceDE w:val="0"/>
      <w:autoSpaceDN w:val="0"/>
      <w:adjustRightInd w:val="0"/>
      <w:spacing w:before="240" w:after="180" w:line="360" w:lineRule="auto"/>
      <w:textAlignment w:val="baseline"/>
    </w:pPr>
    <w:rPr>
      <w:rFonts w:eastAsia="Times New Roman" w:cs="Arial"/>
      <w:b/>
      <w:sz w:val="32"/>
      <w:szCs w:val="20"/>
      <w:lang w:val="en-US" w:eastAsia="de-DE"/>
    </w:rPr>
  </w:style>
  <w:style w:type="paragraph" w:styleId="Header">
    <w:name w:val="header"/>
    <w:basedOn w:val="Normal"/>
    <w:link w:val="HeaderChar"/>
    <w:uiPriority w:val="99"/>
    <w:unhideWhenUsed/>
    <w:rsid w:val="00040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01F4"/>
    <w:rPr>
      <w:rFonts w:ascii="Arial" w:hAnsi="Arial"/>
      <w:lang w:val="en-GB"/>
    </w:rPr>
  </w:style>
  <w:style w:type="paragraph" w:styleId="Footer">
    <w:name w:val="footer"/>
    <w:basedOn w:val="Normal"/>
    <w:link w:val="FooterChar"/>
    <w:uiPriority w:val="99"/>
    <w:unhideWhenUsed/>
    <w:rsid w:val="00040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01F4"/>
    <w:rPr>
      <w:rFonts w:ascii="Arial" w:hAnsi="Arial"/>
      <w:lang w:val="en-GB"/>
    </w:rPr>
  </w:style>
  <w:style w:type="character" w:styleId="PlaceholderText">
    <w:name w:val="Placeholder Text"/>
    <w:basedOn w:val="DefaultParagraphFont"/>
    <w:uiPriority w:val="99"/>
    <w:semiHidden/>
    <w:rsid w:val="000401F4"/>
    <w:rPr>
      <w:color w:val="808080"/>
    </w:rPr>
  </w:style>
  <w:style w:type="table" w:styleId="TableGrid">
    <w:name w:val="Table Grid"/>
    <w:basedOn w:val="TableNormal"/>
    <w:uiPriority w:val="59"/>
    <w:rsid w:val="0004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401F4"/>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0401F4"/>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401F4"/>
    <w:rPr>
      <w:rFonts w:ascii="Arial" w:hAnsi="Arial" w:cs="Arial"/>
      <w:noProof/>
      <w:lang w:val="en-US"/>
    </w:rPr>
  </w:style>
  <w:style w:type="paragraph" w:customStyle="1" w:styleId="EndNoteBibliography">
    <w:name w:val="EndNote Bibliography"/>
    <w:basedOn w:val="Normal"/>
    <w:link w:val="EndNoteBibliographyChar"/>
    <w:rsid w:val="000401F4"/>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401F4"/>
    <w:rPr>
      <w:rFonts w:ascii="Arial" w:hAnsi="Arial" w:cs="Arial"/>
      <w:noProof/>
      <w:lang w:val="en-US"/>
    </w:rPr>
  </w:style>
  <w:style w:type="character" w:styleId="Hyperlink">
    <w:name w:val="Hyperlink"/>
    <w:basedOn w:val="DefaultParagraphFont"/>
    <w:uiPriority w:val="99"/>
    <w:unhideWhenUsed/>
    <w:rsid w:val="0004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1959</Words>
  <Characters>12345</Characters>
  <Application>Microsoft Office Word</Application>
  <DocSecurity>0</DocSecurity>
  <Lines>102</Lines>
  <Paragraphs>28</Paragraphs>
  <ScaleCrop>false</ScaleCrop>
  <Company>Swiss TPH</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Schmutz</dc:creator>
  <cp:lastModifiedBy>Claudia Schmutz</cp:lastModifiedBy>
  <cp:revision>3</cp:revision>
  <dcterms:created xsi:type="dcterms:W3CDTF">2016-06-19T19:23:00Z</dcterms:created>
  <dcterms:modified xsi:type="dcterms:W3CDTF">2016-06-19T19:41:00Z</dcterms:modified>
</cp:coreProperties>
</file>