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40" w:rsidRPr="00DE5817" w:rsidRDefault="00FE0340" w:rsidP="000D05B9">
      <w:pPr>
        <w:pStyle w:val="Caption"/>
        <w:keepNext/>
        <w:rPr>
          <w:rFonts w:asciiTheme="majorBidi" w:hAnsiTheme="majorBidi" w:cstheme="majorBidi"/>
          <w:color w:val="auto"/>
          <w:sz w:val="20"/>
        </w:rPr>
      </w:pPr>
      <w:bookmarkStart w:id="0" w:name="_Ref424741446"/>
      <w:r>
        <w:rPr>
          <w:rFonts w:asciiTheme="majorBidi" w:hAnsiTheme="majorBidi" w:cstheme="majorBidi"/>
          <w:color w:val="auto"/>
          <w:sz w:val="20"/>
        </w:rPr>
        <w:t xml:space="preserve">Supplementary </w:t>
      </w:r>
      <w:bookmarkStart w:id="1" w:name="_GoBack"/>
      <w:bookmarkEnd w:id="1"/>
      <w:r w:rsidR="00365C40" w:rsidRPr="00DE5817">
        <w:rPr>
          <w:rFonts w:asciiTheme="majorBidi" w:hAnsiTheme="majorBidi" w:cstheme="majorBidi"/>
          <w:color w:val="auto"/>
          <w:sz w:val="20"/>
        </w:rPr>
        <w:t>Appendix Figure</w:t>
      </w:r>
      <w:r w:rsidR="00871579">
        <w:rPr>
          <w:rFonts w:asciiTheme="majorBidi" w:hAnsiTheme="majorBidi" w:cstheme="majorBidi"/>
          <w:color w:val="auto"/>
          <w:sz w:val="20"/>
        </w:rPr>
        <w:t xml:space="preserve"> </w:t>
      </w:r>
      <w:r>
        <w:rPr>
          <w:rFonts w:asciiTheme="majorBidi" w:hAnsiTheme="majorBidi" w:cstheme="majorBidi"/>
          <w:color w:val="auto"/>
          <w:sz w:val="20"/>
        </w:rPr>
        <w:t>A</w:t>
      </w:r>
      <w:r w:rsidR="00871579">
        <w:rPr>
          <w:rFonts w:asciiTheme="majorBidi" w:hAnsiTheme="majorBidi" w:cstheme="majorBidi"/>
          <w:color w:val="auto"/>
          <w:sz w:val="20"/>
        </w:rPr>
        <w:t>1</w:t>
      </w:r>
      <w:r w:rsidR="00365C40" w:rsidRPr="00DE5817">
        <w:rPr>
          <w:rFonts w:asciiTheme="majorBidi" w:hAnsiTheme="majorBidi" w:cstheme="majorBidi"/>
          <w:color w:val="auto"/>
          <w:sz w:val="20"/>
        </w:rPr>
        <w:t>: Disease group notifications across jurisdictions, Australia 1991—2011</w:t>
      </w:r>
      <w:bookmarkEnd w:id="0"/>
    </w:p>
    <w:tbl>
      <w:tblPr>
        <w:tblStyle w:val="TableGrid"/>
        <w:tblW w:w="15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4820"/>
        <w:gridCol w:w="4678"/>
        <w:gridCol w:w="425"/>
      </w:tblGrid>
      <w:tr w:rsidR="00365C40" w:rsidRPr="006B6A07" w:rsidTr="000D05B9">
        <w:trPr>
          <w:gridBefore w:val="1"/>
          <w:gridAfter w:val="1"/>
          <w:wBefore w:w="709" w:type="dxa"/>
          <w:wAfter w:w="425" w:type="dxa"/>
          <w:trHeight w:val="559"/>
          <w:jc w:val="center"/>
        </w:trPr>
        <w:tc>
          <w:tcPr>
            <w:tcW w:w="5103" w:type="dxa"/>
          </w:tcPr>
          <w:p w:rsidR="00365C40" w:rsidRPr="006B6A07" w:rsidRDefault="00365C40" w:rsidP="00AE74B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a· Notification </w:t>
            </w:r>
            <w:r w:rsidR="00AE7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relative risks</w:t>
            </w:r>
            <w:r w:rsidRPr="006B6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(RR) for jurisdictions compared to NSW, by disease group</w:t>
            </w:r>
          </w:p>
        </w:tc>
        <w:tc>
          <w:tcPr>
            <w:tcW w:w="4820" w:type="dxa"/>
          </w:tcPr>
          <w:p w:rsidR="00365C40" w:rsidRPr="006B6A07" w:rsidRDefault="00365C40" w:rsidP="006B6A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b· Average annual change in notification incidence over study period, by disease group and jurisdiction</w:t>
            </w:r>
            <w:r w:rsidR="00851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4678" w:type="dxa"/>
          </w:tcPr>
          <w:p w:rsidR="00365C40" w:rsidRPr="006B6A07" w:rsidRDefault="00365C40" w:rsidP="006B6A07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c· Percentage of all disease notifications in each disease group by jurisdiction</w:t>
            </w:r>
            <w:r w:rsidR="00851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%</w:t>
            </w:r>
          </w:p>
        </w:tc>
      </w:tr>
      <w:tr w:rsidR="00365C40" w:rsidRPr="006B6A07" w:rsidTr="0085156C">
        <w:trPr>
          <w:trHeight w:val="4608"/>
          <w:jc w:val="center"/>
        </w:trPr>
        <w:tc>
          <w:tcPr>
            <w:tcW w:w="15735" w:type="dxa"/>
            <w:gridSpan w:val="5"/>
          </w:tcPr>
          <w:tbl>
            <w:tblPr>
              <w:tblW w:w="14825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76"/>
              <w:gridCol w:w="624"/>
              <w:gridCol w:w="576"/>
              <w:gridCol w:w="624"/>
              <w:gridCol w:w="576"/>
              <w:gridCol w:w="576"/>
              <w:gridCol w:w="576"/>
              <w:gridCol w:w="579"/>
              <w:gridCol w:w="68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680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524640">
                  <w:pPr>
                    <w:spacing w:after="0" w:line="240" w:lineRule="auto"/>
                    <w:ind w:left="-126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ACT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CDE9D7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DBD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3·5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E3CA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F9F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F7FA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2D7B1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63BE7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0·1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CF8F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D8EDE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E0E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A989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BC1C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BD0D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6·8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BD1D4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BB8BB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BB6B8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BBDC0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0·1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NSW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NSW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8EDE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E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7F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8487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CA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6E9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FE4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D1D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6·6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NSW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AB0B3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E6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7FA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3B5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2C5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2F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AFD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97577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6E9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696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12·1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AED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8E91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9·3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DE0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0·8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BAB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6·0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CE8E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E8D6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1E4CC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0E3"/>
                  <w:noWrap/>
                  <w:vAlign w:val="center"/>
                  <w:hideMark/>
                </w:tcPr>
                <w:p w:rsidR="00365C40" w:rsidRPr="0085156C" w:rsidRDefault="00365C40" w:rsidP="00851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8082"/>
                  <w:noWrap/>
                  <w:vAlign w:val="center"/>
                  <w:hideMark/>
                </w:tcPr>
                <w:p w:rsidR="00365C40" w:rsidRPr="0085156C" w:rsidRDefault="00365C40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D4A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CE8E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3·3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DF0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CCF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696B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E6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BE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0·1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QLD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6ECD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FD2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4·4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E3C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EF1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1F4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9C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4·9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BED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0F3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QLD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EEE1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0C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919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7EDD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E6D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BDD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5·0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QLD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DEE1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C7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EB0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C7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1E3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9FC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1·2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2DEB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BC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4·7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1F7F5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8F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DF0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1E4C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4F7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EEFE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4C7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696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6D9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3BE7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CCC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7·2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1E3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3B5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0C2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EB0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5F8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0·3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TAS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A4D8B3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8DB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3·8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5D8B4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CF5F2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CD5A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AC181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DE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DF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7F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7A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0B2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1F4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4CB98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CFD2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6·7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DCDE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9AB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EB0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CCF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0·2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VIC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6EDD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FE2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F8F8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9F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3EBD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8DAB6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DE9D7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VIC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1E4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2F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9A9C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999B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BCE9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CCC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7·2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VIC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BCACC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B6B8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7FA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ABAE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4D7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0·6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WA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CE2C8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9DC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3·7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5F0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CEF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FBFE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DF0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2·2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7FC993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0·3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5F8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WA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F4F7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1F4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B5B8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8487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3E6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7D9B5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CBCE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7·3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WA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DEE1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2C5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FAFD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9294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D4D7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DF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365C40" w:rsidP="00851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0·2</w:t>
                  </w:r>
                </w:p>
              </w:tc>
            </w:tr>
            <w:tr w:rsidR="0085156C" w:rsidRPr="0085156C" w:rsidTr="0085156C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AUS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9F4E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FF2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FCFF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ADB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9698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CF7FA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E3CB"/>
                  <w:noWrap/>
                  <w:vAlign w:val="center"/>
                  <w:hideMark/>
                </w:tcPr>
                <w:p w:rsidR="00365C40" w:rsidRPr="0085156C" w:rsidRDefault="0085156C" w:rsidP="00AE7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AE74B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D2D4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6·4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5C40" w:rsidRPr="0085156C" w:rsidRDefault="00365C40" w:rsidP="00D615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AUS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BCFD2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BC7CA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F7FA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1·5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ABAE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BC7CA"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DF0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AFD"/>
                  <w:noWrap/>
                  <w:vAlign w:val="center"/>
                  <w:hideMark/>
                </w:tcPr>
                <w:p w:rsidR="00365C40" w:rsidRPr="0085156C" w:rsidRDefault="0085156C" w:rsidP="00B97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0·7</w:t>
                  </w:r>
                </w:p>
              </w:tc>
            </w:tr>
            <w:tr w:rsidR="00365C40" w:rsidRPr="0085156C" w:rsidTr="0085156C">
              <w:trPr>
                <w:cantSplit/>
                <w:trHeight w:val="242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Blood-borne viral hepatitis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Gastrointestinal*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Other bacterial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Sexually transmissible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Vaccine preventable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Vector-borne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Zoonotic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All diseases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Blood-borne viral hepatitis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Gastrointestinal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Other bacterial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Sexually transmissible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Vaccine preventable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Vector-borne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Zoonotic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All diseases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Blood-borne viral hepatitis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Gastrointestinal*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Other Bacterial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Sexually transmissible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Vaccine preventable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5C40" w:rsidRPr="0085156C" w:rsidRDefault="00365C40" w:rsidP="006E746F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Vector-borne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65C40" w:rsidRPr="0085156C" w:rsidRDefault="00365C40" w:rsidP="00071064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15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Zoonoses</w:t>
                  </w:r>
                </w:p>
              </w:tc>
            </w:tr>
          </w:tbl>
          <w:p w:rsidR="00365C40" w:rsidRPr="006B6A07" w:rsidRDefault="00365C40" w:rsidP="00A26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C40" w:rsidRPr="006B6A07" w:rsidTr="0085156C">
        <w:trPr>
          <w:trHeight w:val="610"/>
          <w:jc w:val="center"/>
        </w:trPr>
        <w:tc>
          <w:tcPr>
            <w:tcW w:w="15735" w:type="dxa"/>
            <w:gridSpan w:val="5"/>
          </w:tcPr>
          <w:p w:rsidR="00365C40" w:rsidRPr="006B6A07" w:rsidRDefault="00AE74B1" w:rsidP="00A86654">
            <w:pPr>
              <w:pStyle w:val="ListParagraph"/>
              <w:numPr>
                <w:ilvl w:val="0"/>
                <w:numId w:val="11"/>
              </w:numPr>
              <w:ind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>Relative risk</w:t>
            </w:r>
            <w:r w:rsidR="00365C40" w:rsidRPr="006B6A07"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 xml:space="preserve"> (reference state NSW = 1); red = higher notification incidence, green = lower notificatoin incidence· – no notifications recived</w:t>
            </w:r>
          </w:p>
          <w:p w:rsidR="00365C40" w:rsidRPr="006B6A07" w:rsidRDefault="00365C40" w:rsidP="00A86654">
            <w:pPr>
              <w:pStyle w:val="ListParagraph"/>
              <w:numPr>
                <w:ilvl w:val="0"/>
                <w:numId w:val="11"/>
              </w:numPr>
              <w:ind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6B6A07"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>Change in disease incidence dark red=greatest increase in incidence, white = no significant change in incidence, dark green = greatest decrease in incidence of notifications over study period; numbers show average annual change (%) in disease incidence over study period</w:t>
            </w:r>
          </w:p>
          <w:p w:rsidR="00365C40" w:rsidRPr="006B6A07" w:rsidRDefault="00365C40" w:rsidP="00A86654">
            <w:pPr>
              <w:pStyle w:val="ListParagraph"/>
              <w:numPr>
                <w:ilvl w:val="0"/>
                <w:numId w:val="11"/>
              </w:numPr>
              <w:ind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6B6A07"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 xml:space="preserve">Dark red = greatest proportion of jurisdiction’s total notifications in that disease group; White = lowest proportion of jurisdiction’s totatl notifications in that disease group </w:t>
            </w:r>
          </w:p>
          <w:p w:rsidR="00365C40" w:rsidRPr="006B6A07" w:rsidRDefault="00365C40" w:rsidP="00A86654">
            <w:pPr>
              <w:ind w:left="459"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6B6A07"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>*Campylobacteriosis not notifiable in NSW</w:t>
            </w:r>
          </w:p>
          <w:p w:rsidR="00365C40" w:rsidRPr="006B6A07" w:rsidRDefault="00365C40" w:rsidP="00A86654">
            <w:pPr>
              <w:ind w:left="459"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6B6A07">
              <w:rPr>
                <w:rFonts w:ascii="Times New Roman" w:hAnsi="Times New Roman" w:cs="Times New Roman"/>
                <w:noProof/>
                <w:sz w:val="18"/>
                <w:szCs w:val="18"/>
                <w:lang w:eastAsia="en-AU"/>
              </w:rPr>
              <w:t>ACT – Australian Captial Territory; NSW – New South Wales; NT – Northern Territory; Qld – Queensland; SA – South Australia; Tas – Tasmania; Vic – Victoria; WA – Western Australia; Aus - Australia</w:t>
            </w:r>
          </w:p>
        </w:tc>
      </w:tr>
    </w:tbl>
    <w:p w:rsidR="006E465F" w:rsidRDefault="008330C8" w:rsidP="0026781C"/>
    <w:sectPr w:rsidR="006E465F" w:rsidSect="005F0DED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C8" w:rsidRDefault="008330C8">
      <w:pPr>
        <w:spacing w:after="0" w:line="240" w:lineRule="auto"/>
      </w:pPr>
      <w:r>
        <w:separator/>
      </w:r>
    </w:p>
  </w:endnote>
  <w:endnote w:type="continuationSeparator" w:id="0">
    <w:p w:rsidR="008330C8" w:rsidRDefault="0083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gaGarmnd BT">
    <w:altName w:val="Elega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77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940" w:rsidRDefault="00267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940" w:rsidRDefault="0083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C8" w:rsidRDefault="008330C8">
      <w:pPr>
        <w:spacing w:after="0" w:line="240" w:lineRule="auto"/>
      </w:pPr>
      <w:r>
        <w:separator/>
      </w:r>
    </w:p>
  </w:footnote>
  <w:footnote w:type="continuationSeparator" w:id="0">
    <w:p w:rsidR="008330C8" w:rsidRDefault="0083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C0D"/>
    <w:multiLevelType w:val="hybridMultilevel"/>
    <w:tmpl w:val="A86228B6"/>
    <w:lvl w:ilvl="0" w:tplc="F47AA33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8D4"/>
    <w:multiLevelType w:val="hybridMultilevel"/>
    <w:tmpl w:val="27CC1B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EAA"/>
    <w:multiLevelType w:val="hybridMultilevel"/>
    <w:tmpl w:val="4FFA8AE4"/>
    <w:lvl w:ilvl="0" w:tplc="9988A72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68C01FC"/>
    <w:multiLevelType w:val="hybridMultilevel"/>
    <w:tmpl w:val="B8C03984"/>
    <w:lvl w:ilvl="0" w:tplc="ED62493E">
      <w:start w:val="1"/>
      <w:numFmt w:val="decimal"/>
      <w:lvlText w:val="Appendix 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6D8"/>
    <w:multiLevelType w:val="hybridMultilevel"/>
    <w:tmpl w:val="BDF63662"/>
    <w:lvl w:ilvl="0" w:tplc="A956E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F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6B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7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AD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C8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0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E3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41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1754"/>
    <w:multiLevelType w:val="hybridMultilevel"/>
    <w:tmpl w:val="5B1254B6"/>
    <w:lvl w:ilvl="0" w:tplc="4C723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7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20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20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24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47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7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F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DA0"/>
    <w:multiLevelType w:val="hybridMultilevel"/>
    <w:tmpl w:val="EC8A0D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A521B"/>
    <w:multiLevelType w:val="hybridMultilevel"/>
    <w:tmpl w:val="46AEFE2E"/>
    <w:lvl w:ilvl="0" w:tplc="F8CAF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28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2E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D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A9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29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40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89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2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8B4"/>
    <w:multiLevelType w:val="hybridMultilevel"/>
    <w:tmpl w:val="3F0ABC48"/>
    <w:lvl w:ilvl="0" w:tplc="FB5CB774">
      <w:start w:val="1"/>
      <w:numFmt w:val="decimal"/>
      <w:lvlText w:val="Table %1."/>
      <w:lvlJc w:val="left"/>
      <w:pPr>
        <w:ind w:left="720" w:firstLine="283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8175B32"/>
    <w:multiLevelType w:val="hybridMultilevel"/>
    <w:tmpl w:val="9700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718"/>
    <w:multiLevelType w:val="hybridMultilevel"/>
    <w:tmpl w:val="8D6AC00A"/>
    <w:lvl w:ilvl="0" w:tplc="BCE2D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EF5E8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44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CC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E3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85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C1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0D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B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02BD"/>
    <w:multiLevelType w:val="hybridMultilevel"/>
    <w:tmpl w:val="02105942"/>
    <w:lvl w:ilvl="0" w:tplc="BEF0B6E0">
      <w:start w:val="1"/>
      <w:numFmt w:val="decimal"/>
      <w:lvlText w:val="Appendix Figure 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8"/>
        <w:szCs w:val="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3703"/>
    <w:multiLevelType w:val="hybridMultilevel"/>
    <w:tmpl w:val="78DE5330"/>
    <w:lvl w:ilvl="0" w:tplc="AAD4F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CC50C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2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2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4F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2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F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2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CD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5E6"/>
    <w:multiLevelType w:val="hybridMultilevel"/>
    <w:tmpl w:val="A0C670A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3840"/>
    <w:multiLevelType w:val="hybridMultilevel"/>
    <w:tmpl w:val="01AC6C8C"/>
    <w:lvl w:ilvl="0" w:tplc="B986CA1A">
      <w:start w:val="1"/>
      <w:numFmt w:val="decimal"/>
      <w:lvlText w:val="Table 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B12B1"/>
    <w:multiLevelType w:val="hybridMultilevel"/>
    <w:tmpl w:val="7CFE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4DC"/>
    <w:multiLevelType w:val="hybridMultilevel"/>
    <w:tmpl w:val="D7D8FEB8"/>
    <w:lvl w:ilvl="0" w:tplc="8758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7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B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9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69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6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8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41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EB2"/>
    <w:multiLevelType w:val="hybridMultilevel"/>
    <w:tmpl w:val="08564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"/>
  </w:num>
  <w:num w:numId="9">
    <w:abstractNumId w:val="17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65C40"/>
    <w:rsid w:val="00063F67"/>
    <w:rsid w:val="000D05B9"/>
    <w:rsid w:val="0026781C"/>
    <w:rsid w:val="00365C40"/>
    <w:rsid w:val="004D4AD9"/>
    <w:rsid w:val="005D538B"/>
    <w:rsid w:val="00707ACB"/>
    <w:rsid w:val="007532A9"/>
    <w:rsid w:val="007E366E"/>
    <w:rsid w:val="007E5CD4"/>
    <w:rsid w:val="008024FC"/>
    <w:rsid w:val="008330C8"/>
    <w:rsid w:val="0085156C"/>
    <w:rsid w:val="00871579"/>
    <w:rsid w:val="00910AB8"/>
    <w:rsid w:val="009434F0"/>
    <w:rsid w:val="00A86654"/>
    <w:rsid w:val="00AE74B1"/>
    <w:rsid w:val="00BF03D3"/>
    <w:rsid w:val="00C5080F"/>
    <w:rsid w:val="00D72171"/>
    <w:rsid w:val="00DE5817"/>
    <w:rsid w:val="00E435DB"/>
    <w:rsid w:val="00F06DE6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A8FD6-C932-4E31-87E4-FCEB8F1D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4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40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365C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40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40"/>
    <w:rPr>
      <w:rFonts w:ascii="Tahoma" w:eastAsiaTheme="minorEastAsi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365C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65C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5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65C4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65C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C40"/>
    <w:rPr>
      <w:color w:val="808080"/>
    </w:rPr>
  </w:style>
  <w:style w:type="character" w:customStyle="1" w:styleId="apple-converted-space">
    <w:name w:val="apple-converted-space"/>
    <w:basedOn w:val="DefaultParagraphFont"/>
    <w:rsid w:val="00365C40"/>
  </w:style>
  <w:style w:type="character" w:customStyle="1" w:styleId="highlight2">
    <w:name w:val="highlight2"/>
    <w:basedOn w:val="DefaultParagraphFont"/>
    <w:rsid w:val="00365C40"/>
  </w:style>
  <w:style w:type="character" w:styleId="FollowedHyperlink">
    <w:name w:val="FollowedHyperlink"/>
    <w:basedOn w:val="DefaultParagraphFont"/>
    <w:uiPriority w:val="99"/>
    <w:semiHidden/>
    <w:unhideWhenUsed/>
    <w:rsid w:val="00365C4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5C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65C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65C40"/>
    <w:rPr>
      <w:vertAlign w:val="superscript"/>
    </w:rPr>
  </w:style>
  <w:style w:type="character" w:customStyle="1" w:styleId="A6">
    <w:name w:val="A6"/>
    <w:uiPriority w:val="99"/>
    <w:rsid w:val="00365C40"/>
    <w:rPr>
      <w:rFonts w:cs="ElegaGarmnd BT"/>
      <w:color w:val="000000"/>
    </w:rPr>
  </w:style>
  <w:style w:type="paragraph" w:styleId="Revision">
    <w:name w:val="Revision"/>
    <w:hidden/>
    <w:uiPriority w:val="99"/>
    <w:semiHidden/>
    <w:rsid w:val="00365C4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2016-04-28T12:42:00Z</dcterms:created>
  <dcterms:modified xsi:type="dcterms:W3CDTF">2016-05-15T13:06:00Z</dcterms:modified>
</cp:coreProperties>
</file>