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FF" w:rsidRPr="00D43663" w:rsidRDefault="00D43663">
      <w:pPr>
        <w:spacing w:after="480" w:line="480" w:lineRule="auto"/>
        <w:rPr>
          <w:rFonts w:ascii="Times New Roman" w:hAnsi="Times New Roman"/>
          <w:b/>
          <w:sz w:val="24"/>
          <w:szCs w:val="24"/>
        </w:rPr>
      </w:pPr>
      <w:bookmarkStart w:id="0" w:name="_GoBack"/>
      <w:bookmarkEnd w:id="0"/>
      <w:r w:rsidRPr="00D43663">
        <w:rPr>
          <w:rFonts w:ascii="Times New Roman" w:hAnsi="Times New Roman"/>
          <w:b/>
          <w:sz w:val="24"/>
          <w:szCs w:val="24"/>
        </w:rPr>
        <w:t xml:space="preserve">SUPPLEMENTARY MATERIAL </w:t>
      </w:r>
    </w:p>
    <w:p w:rsidR="00BC6EFF" w:rsidRDefault="00756E09">
      <w:pPr>
        <w:spacing w:after="480" w:line="480" w:lineRule="auto"/>
        <w:rPr>
          <w:rFonts w:ascii="Times New Roman" w:hAnsi="Times New Roman"/>
          <w:b/>
        </w:rPr>
      </w:pPr>
      <w:r>
        <w:rPr>
          <w:rFonts w:ascii="Times New Roman" w:hAnsi="Times New Roman"/>
          <w:b/>
        </w:rPr>
        <w:t xml:space="preserve">Estimation of atypical scrapie prevalence of infection in GB at animal level </w:t>
      </w:r>
    </w:p>
    <w:p w:rsidR="00BC6EFF" w:rsidRDefault="00756E09">
      <w:pPr>
        <w:spacing w:after="480" w:line="480" w:lineRule="auto"/>
        <w:rPr>
          <w:rFonts w:ascii="Times New Roman" w:hAnsi="Times New Roman"/>
          <w:b/>
        </w:rPr>
      </w:pPr>
      <w:r>
        <w:rPr>
          <w:rFonts w:ascii="Times New Roman" w:hAnsi="Times New Roman"/>
          <w:b/>
        </w:rPr>
        <w:t>Methods</w:t>
      </w:r>
    </w:p>
    <w:p w:rsidR="00BC6EFF" w:rsidRDefault="00756E09">
      <w:pPr>
        <w:spacing w:after="480" w:line="480" w:lineRule="auto"/>
        <w:rPr>
          <w:rFonts w:ascii="Times New Roman" w:hAnsi="Times New Roman"/>
        </w:rPr>
      </w:pPr>
      <w:r>
        <w:rPr>
          <w:rFonts w:ascii="Times New Roman" w:hAnsi="Times New Roman"/>
        </w:rPr>
        <w:t xml:space="preserve">The basic approach used followed that </w:t>
      </w:r>
      <w:r w:rsidRPr="00435236">
        <w:rPr>
          <w:rFonts w:ascii="Times New Roman" w:hAnsi="Times New Roman"/>
        </w:rPr>
        <w:t xml:space="preserve">described in </w:t>
      </w:r>
      <w:proofErr w:type="spellStart"/>
      <w:r w:rsidRPr="00435236">
        <w:rPr>
          <w:rFonts w:ascii="Times New Roman" w:hAnsi="Times New Roman"/>
        </w:rPr>
        <w:t>Gubbins</w:t>
      </w:r>
      <w:proofErr w:type="spellEnd"/>
      <w:r w:rsidRPr="00435236">
        <w:rPr>
          <w:rFonts w:ascii="Times New Roman" w:hAnsi="Times New Roman"/>
        </w:rPr>
        <w:t xml:space="preserve"> </w:t>
      </w:r>
      <w:r w:rsidR="00BB5A88" w:rsidRPr="00435236">
        <w:rPr>
          <w:rFonts w:ascii="Times New Roman" w:hAnsi="Times New Roman"/>
        </w:rPr>
        <w:t>[1]</w:t>
      </w:r>
      <w:r w:rsidRPr="00435236">
        <w:rPr>
          <w:rFonts w:ascii="Times New Roman" w:hAnsi="Times New Roman"/>
        </w:rPr>
        <w:t>, where</w:t>
      </w:r>
      <w:r>
        <w:rPr>
          <w:rFonts w:ascii="Times New Roman" w:hAnsi="Times New Roman"/>
        </w:rPr>
        <w:t xml:space="preserve"> abattoir survey and fallen stock data were integrated using a back-calculation approach to determine the prevalence of infection in the national flock.</w:t>
      </w:r>
    </w:p>
    <w:p w:rsidR="00BC6EFF" w:rsidRDefault="00756E09">
      <w:pPr>
        <w:spacing w:after="480" w:line="480" w:lineRule="auto"/>
        <w:rPr>
          <w:rFonts w:ascii="Times New Roman" w:hAnsi="Times New Roman"/>
          <w:i/>
        </w:rPr>
      </w:pPr>
      <w:r>
        <w:rPr>
          <w:rFonts w:ascii="Times New Roman" w:hAnsi="Times New Roman"/>
          <w:i/>
        </w:rPr>
        <w:t>Back-calculation model</w:t>
      </w:r>
    </w:p>
    <w:p w:rsidR="00BC6EFF" w:rsidRDefault="00756E09">
      <w:pPr>
        <w:spacing w:after="480" w:line="480" w:lineRule="auto"/>
      </w:pPr>
      <w:r>
        <w:rPr>
          <w:rFonts w:ascii="Times New Roman" w:hAnsi="Times New Roman"/>
        </w:rPr>
        <w:t xml:space="preserve">There are two possible ways that an animal could end up as a fallen stock positive at age </w:t>
      </w:r>
      <w:r>
        <w:rPr>
          <w:rFonts w:ascii="Times New Roman" w:hAnsi="Times New Roman"/>
          <w:i/>
        </w:rPr>
        <w:t>a</w:t>
      </w:r>
      <w:r>
        <w:rPr>
          <w:rFonts w:ascii="Times New Roman" w:hAnsi="Times New Roman"/>
        </w:rPr>
        <w:t>: (</w:t>
      </w:r>
      <w:proofErr w:type="spellStart"/>
      <w:r>
        <w:rPr>
          <w:rFonts w:ascii="Times New Roman" w:hAnsi="Times New Roman"/>
        </w:rPr>
        <w:t>i</w:t>
      </w:r>
      <w:proofErr w:type="spellEnd"/>
      <w:r>
        <w:rPr>
          <w:rFonts w:ascii="Times New Roman" w:hAnsi="Times New Roman"/>
        </w:rPr>
        <w:t>) it reached clinical onset without being identified by the farmer and died of scrapie (we assume that there are no reported cases of scrapie so animals reaching clinical onset will die and become fallen stock) (ii) it died on farm (not of scrapie) and happened to have scrapie. Probability (</w:t>
      </w:r>
      <w:proofErr w:type="spellStart"/>
      <w:r>
        <w:rPr>
          <w:rFonts w:ascii="Times New Roman" w:hAnsi="Times New Roman"/>
        </w:rPr>
        <w:t>i</w:t>
      </w:r>
      <w:proofErr w:type="spellEnd"/>
      <w:r>
        <w:rPr>
          <w:rFonts w:ascii="Times New Roman" w:hAnsi="Times New Roman"/>
        </w:rPr>
        <w:t xml:space="preserve">) is the product of the risk of infection (denoted </w:t>
      </w:r>
      <w:r>
        <w:rPr>
          <w:rFonts w:ascii="Times New Roman" w:hAnsi="Times New Roman"/>
          <w:i/>
        </w:rPr>
        <w:t>r</w:t>
      </w:r>
      <w:r>
        <w:rPr>
          <w:rFonts w:ascii="Times New Roman" w:hAnsi="Times New Roman"/>
        </w:rPr>
        <w:t xml:space="preserve">), the probability of surviving to age </w:t>
      </w:r>
      <w:r>
        <w:rPr>
          <w:rFonts w:ascii="Times New Roman" w:hAnsi="Times New Roman"/>
          <w:i/>
        </w:rPr>
        <w:t>a (</w:t>
      </w:r>
      <w:r>
        <w:rPr>
          <w:rFonts w:ascii="Times New Roman" w:hAnsi="Times New Roman"/>
        </w:rPr>
        <w:t xml:space="preserve">denoted </w:t>
      </w:r>
      <w:proofErr w:type="gramStart"/>
      <w:r>
        <w:rPr>
          <w:rFonts w:ascii="Times New Roman" w:hAnsi="Times New Roman"/>
          <w:i/>
        </w:rPr>
        <w:t>S(</w:t>
      </w:r>
      <w:proofErr w:type="gramEnd"/>
      <w:r>
        <w:rPr>
          <w:rFonts w:ascii="Times New Roman" w:hAnsi="Times New Roman"/>
          <w:i/>
        </w:rPr>
        <w:t>a))</w:t>
      </w:r>
      <w:r>
        <w:rPr>
          <w:rFonts w:ascii="Times New Roman" w:hAnsi="Times New Roman"/>
        </w:rPr>
        <w:t xml:space="preserve">, and the probability density of the incubation period at age </w:t>
      </w:r>
      <w:r>
        <w:rPr>
          <w:rFonts w:ascii="Times New Roman" w:hAnsi="Times New Roman"/>
          <w:i/>
        </w:rPr>
        <w:t>a (</w:t>
      </w:r>
      <w:r>
        <w:rPr>
          <w:rFonts w:ascii="Times New Roman" w:hAnsi="Times New Roman"/>
        </w:rPr>
        <w:t xml:space="preserve">denoted </w:t>
      </w:r>
      <w:r>
        <w:rPr>
          <w:rFonts w:ascii="Times New Roman" w:hAnsi="Times New Roman"/>
          <w:i/>
        </w:rPr>
        <w:t>f(a))</w:t>
      </w:r>
      <w:r>
        <w:rPr>
          <w:rFonts w:ascii="Times New Roman" w:hAnsi="Times New Roman"/>
        </w:rPr>
        <w:t xml:space="preserve">. Probability (ii) is the product of the risk of infection, the proportion of animals of age </w:t>
      </w:r>
      <w:r>
        <w:rPr>
          <w:rFonts w:ascii="Times New Roman" w:hAnsi="Times New Roman"/>
          <w:i/>
        </w:rPr>
        <w:t>a</w:t>
      </w:r>
      <w:r>
        <w:rPr>
          <w:rFonts w:ascii="Times New Roman" w:hAnsi="Times New Roman"/>
        </w:rPr>
        <w:t xml:space="preserve"> that are found dead on farm</w:t>
      </w:r>
      <w:r>
        <w:rPr>
          <w:rFonts w:ascii="Times New Roman" w:hAnsi="Times New Roman"/>
          <w:i/>
        </w:rPr>
        <w:t xml:space="preserve"> </w:t>
      </w:r>
      <w:r>
        <w:rPr>
          <w:rFonts w:ascii="Times New Roman" w:hAnsi="Times New Roman"/>
        </w:rPr>
        <w:t xml:space="preserve">(denoted </w:t>
      </w:r>
      <w:r>
        <w:rPr>
          <w:rFonts w:ascii="Times New Roman" w:hAnsi="Times New Roman"/>
        </w:rPr>
        <w:object w:dxaOrig="495" w:dyaOrig="315" w14:anchorId="445D4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4.85pt;height:15.7pt;visibility:visible;mso-wrap-style:square" o:ole="">
            <v:imagedata r:id="rId7" o:title=""/>
          </v:shape>
          <o:OLEObject Type="Embed" ProgID="Equation.3" ShapeID="Object 1" DrawAspect="Content" ObjectID="_1519018969" r:id="rId8"/>
        </w:object>
      </w:r>
      <w:r>
        <w:rPr>
          <w:rFonts w:ascii="Times New Roman" w:hAnsi="Times New Roman"/>
        </w:rPr>
        <w:t>(</w:t>
      </w:r>
      <w:proofErr w:type="gramStart"/>
      <w:r>
        <w:rPr>
          <w:rFonts w:ascii="Times New Roman" w:hAnsi="Times New Roman"/>
        </w:rPr>
        <w:t>S(</w:t>
      </w:r>
      <w:proofErr w:type="gramEnd"/>
      <w:r>
        <w:rPr>
          <w:rFonts w:ascii="Times New Roman" w:hAnsi="Times New Roman"/>
          <w:i/>
        </w:rPr>
        <w:t>a</w:t>
      </w:r>
      <w:r>
        <w:rPr>
          <w:rFonts w:ascii="Times New Roman" w:hAnsi="Times New Roman"/>
        </w:rPr>
        <w:t>)-S(</w:t>
      </w:r>
      <w:r>
        <w:rPr>
          <w:rFonts w:ascii="Times New Roman" w:hAnsi="Times New Roman"/>
          <w:i/>
        </w:rPr>
        <w:t>a</w:t>
      </w:r>
      <w:r>
        <w:rPr>
          <w:rFonts w:ascii="Times New Roman" w:hAnsi="Times New Roman"/>
        </w:rPr>
        <w:t xml:space="preserve">+1)), and the likelihood that an infected animal of age </w:t>
      </w:r>
      <w:r>
        <w:rPr>
          <w:rFonts w:ascii="Times New Roman" w:hAnsi="Times New Roman"/>
          <w:i/>
        </w:rPr>
        <w:t>a</w:t>
      </w:r>
      <w:r>
        <w:rPr>
          <w:rFonts w:ascii="Times New Roman" w:hAnsi="Times New Roman"/>
        </w:rPr>
        <w:t xml:space="preserve"> will be detected by the diagnostic test. We also allow the potential for differential slaughter of </w:t>
      </w:r>
      <w:proofErr w:type="spellStart"/>
      <w:r>
        <w:rPr>
          <w:rFonts w:ascii="Times New Roman" w:hAnsi="Times New Roman"/>
        </w:rPr>
        <w:t>subclinically</w:t>
      </w:r>
      <w:proofErr w:type="spellEnd"/>
      <w:r>
        <w:rPr>
          <w:rFonts w:ascii="Times New Roman" w:hAnsi="Times New Roman"/>
        </w:rPr>
        <w:t xml:space="preserve"> affected sheep, where subclinical sheep may be at higher risk of slaughter due to an effect of scrapie on their production traits, so that sheep end up in the fallen stock/clinical stream with probability 1-K, and in the healthy slaughter stream with probability K. Therefore the probability of being detected as a fallen stock positive at age </w:t>
      </w:r>
      <w:r>
        <w:rPr>
          <w:rFonts w:ascii="Times New Roman" w:hAnsi="Times New Roman"/>
          <w:i/>
        </w:rPr>
        <w:t xml:space="preserve">a, </w:t>
      </w:r>
      <w:r>
        <w:rPr>
          <w:rFonts w:ascii="Times New Roman" w:hAnsi="Times New Roman"/>
        </w:rPr>
        <w:t>denoted</w:t>
      </w:r>
      <w:r>
        <w:rPr>
          <w:rFonts w:ascii="Times New Roman" w:hAnsi="Times New Roman"/>
        </w:rPr>
        <w:object w:dxaOrig="375" w:dyaOrig="375" w14:anchorId="58FB9785">
          <v:shape id="Object 2" o:spid="_x0000_i1026" type="#_x0000_t75" style="width:19pt;height:19pt;visibility:visible;mso-wrap-style:square" o:ole="">
            <v:imagedata r:id="rId9" o:title=""/>
          </v:shape>
          <o:OLEObject Type="Embed" ProgID="Equation.3" ShapeID="Object 2" DrawAspect="Content" ObjectID="_1519018970" r:id="rId10"/>
        </w:object>
      </w:r>
      <w:r>
        <w:rPr>
          <w:rFonts w:ascii="Times New Roman" w:hAnsi="Times New Roman"/>
        </w:rPr>
        <w:t>, is given by:</w:t>
      </w:r>
    </w:p>
    <w:p w:rsidR="00BC6EFF" w:rsidRDefault="00756E09">
      <w:pPr>
        <w:spacing w:after="480" w:line="480" w:lineRule="auto"/>
      </w:pPr>
      <w:r>
        <w:rPr>
          <w:rFonts w:ascii="Times New Roman" w:hAnsi="Times New Roman"/>
        </w:rPr>
        <w:object w:dxaOrig="6495" w:dyaOrig="795" w14:anchorId="2415EAE1">
          <v:shape id="Object 3" o:spid="_x0000_i1027" type="#_x0000_t75" style="width:324.65pt;height:39.95pt;visibility:visible;mso-wrap-style:square" o:ole="">
            <v:imagedata r:id="rId11" o:title=""/>
          </v:shape>
          <o:OLEObject Type="Embed" ProgID="Equation.3" ShapeID="Object 3" DrawAspect="Content" ObjectID="_1519018971" r:id="rId12"/>
        </w:object>
      </w:r>
    </w:p>
    <w:p w:rsidR="00BC6EFF" w:rsidRDefault="00756E09">
      <w:pPr>
        <w:spacing w:after="480" w:line="480" w:lineRule="auto"/>
      </w:pPr>
      <w:r>
        <w:rPr>
          <w:rFonts w:ascii="Times New Roman" w:hAnsi="Times New Roman"/>
        </w:rPr>
        <w:lastRenderedPageBreak/>
        <w:t xml:space="preserve">Where </w:t>
      </w:r>
      <w:r>
        <w:rPr>
          <w:rFonts w:ascii="Times New Roman" w:hAnsi="Times New Roman"/>
        </w:rPr>
        <w:object w:dxaOrig="495" w:dyaOrig="315" w14:anchorId="697016D2">
          <v:shape id="Object 4" o:spid="_x0000_i1028" type="#_x0000_t75" style="width:24.85pt;height:15.7pt;visibility:visible;mso-wrap-style:square" o:ole="">
            <v:imagedata r:id="rId13" o:title=""/>
          </v:shape>
          <o:OLEObject Type="Embed" ProgID="Equation.3" ShapeID="Object 4" DrawAspect="Content" ObjectID="_1519018972" r:id="rId14"/>
        </w:object>
      </w:r>
      <w:r>
        <w:rPr>
          <w:rFonts w:ascii="Times New Roman" w:hAnsi="Times New Roman"/>
        </w:rPr>
        <w:t xml:space="preserve">is the probability that the diagnostic test will detect an infected animal </w:t>
      </w:r>
      <w:r>
        <w:rPr>
          <w:rFonts w:ascii="Times New Roman" w:hAnsi="Times New Roman"/>
          <w:i/>
        </w:rPr>
        <w:t xml:space="preserve">t </w:t>
      </w:r>
      <w:r>
        <w:rPr>
          <w:rFonts w:ascii="Times New Roman" w:hAnsi="Times New Roman"/>
        </w:rPr>
        <w:t xml:space="preserve">months before clinical onset. </w:t>
      </w:r>
    </w:p>
    <w:p w:rsidR="00BC6EFF" w:rsidRDefault="00756E09">
      <w:pPr>
        <w:spacing w:after="480" w:line="480" w:lineRule="auto"/>
      </w:pPr>
      <w:r>
        <w:rPr>
          <w:rFonts w:ascii="Times New Roman" w:hAnsi="Times New Roman"/>
        </w:rPr>
        <w:t>The likelihood that an animal would end up as an abattoir survey positive was given by the product of the risk of infection, the proportion of animals of age a that are sent for slaughter (i.e. do not die on farm</w:t>
      </w:r>
      <w:proofErr w:type="gramStart"/>
      <w:r>
        <w:rPr>
          <w:rFonts w:ascii="Times New Roman" w:hAnsi="Times New Roman"/>
        </w:rPr>
        <w:t>)  (</w:t>
      </w:r>
      <w:proofErr w:type="gramEnd"/>
      <w:r>
        <w:rPr>
          <w:rFonts w:ascii="Times New Roman" w:hAnsi="Times New Roman"/>
        </w:rPr>
        <w:t xml:space="preserve">1- </w:t>
      </w:r>
      <w:r>
        <w:rPr>
          <w:rFonts w:ascii="Times New Roman" w:hAnsi="Times New Roman"/>
        </w:rPr>
        <w:object w:dxaOrig="570" w:dyaOrig="315" w14:anchorId="72EBA489">
          <v:shape id="Object 5" o:spid="_x0000_i1029" type="#_x0000_t75" style="width:28.8pt;height:15.7pt;visibility:visible;mso-wrap-style:square" o:ole="">
            <v:imagedata r:id="rId15" o:title=""/>
          </v:shape>
          <o:OLEObject Type="Embed" ProgID="Equation.3" ShapeID="Object 5" DrawAspect="Content" ObjectID="_1519018973" r:id="rId16"/>
        </w:object>
      </w:r>
      <w:r>
        <w:rPr>
          <w:rFonts w:ascii="Times New Roman" w:hAnsi="Times New Roman"/>
        </w:rPr>
        <w:t>(S(</w:t>
      </w:r>
      <w:r>
        <w:rPr>
          <w:rFonts w:ascii="Times New Roman" w:hAnsi="Times New Roman"/>
          <w:i/>
        </w:rPr>
        <w:t>a</w:t>
      </w:r>
      <w:r>
        <w:rPr>
          <w:rFonts w:ascii="Times New Roman" w:hAnsi="Times New Roman"/>
        </w:rPr>
        <w:t>)-S(</w:t>
      </w:r>
      <w:r>
        <w:rPr>
          <w:rFonts w:ascii="Times New Roman" w:hAnsi="Times New Roman"/>
          <w:i/>
        </w:rPr>
        <w:t>a</w:t>
      </w:r>
      <w:r>
        <w:rPr>
          <w:rFonts w:ascii="Times New Roman" w:hAnsi="Times New Roman"/>
        </w:rPr>
        <w:t xml:space="preserve">+1)), and the likelihood that an infected animal of age </w:t>
      </w:r>
      <w:r>
        <w:rPr>
          <w:rFonts w:ascii="Times New Roman" w:hAnsi="Times New Roman"/>
          <w:i/>
        </w:rPr>
        <w:t>a</w:t>
      </w:r>
      <w:r>
        <w:rPr>
          <w:rFonts w:ascii="Times New Roman" w:hAnsi="Times New Roman"/>
        </w:rPr>
        <w:t xml:space="preserve"> will be detected by the diagnostic test. Therefore the probability of being detected as an abattoir survey positive at age </w:t>
      </w:r>
      <w:proofErr w:type="gramStart"/>
      <w:r>
        <w:rPr>
          <w:rFonts w:ascii="Times New Roman" w:hAnsi="Times New Roman"/>
          <w:i/>
        </w:rPr>
        <w:t>a</w:t>
      </w:r>
      <w:r>
        <w:rPr>
          <w:rFonts w:ascii="Times New Roman" w:hAnsi="Times New Roman"/>
        </w:rPr>
        <w:t xml:space="preserve"> is</w:t>
      </w:r>
      <w:proofErr w:type="gramEnd"/>
      <w:r>
        <w:rPr>
          <w:rFonts w:ascii="Times New Roman" w:hAnsi="Times New Roman"/>
        </w:rPr>
        <w:t xml:space="preserve"> given by:</w:t>
      </w:r>
    </w:p>
    <w:p w:rsidR="00BC6EFF" w:rsidRDefault="00756E09">
      <w:pPr>
        <w:spacing w:after="480" w:line="480" w:lineRule="auto"/>
      </w:pPr>
      <w:r>
        <w:rPr>
          <w:rFonts w:ascii="Times New Roman" w:hAnsi="Times New Roman"/>
        </w:rPr>
        <w:object w:dxaOrig="5385" w:dyaOrig="795" w14:anchorId="3B94DD8B">
          <v:shape id="Object 6" o:spid="_x0000_i1030" type="#_x0000_t75" style="width:269pt;height:39.95pt;visibility:visible;mso-wrap-style:square" o:ole="">
            <v:imagedata r:id="rId17" o:title=""/>
          </v:shape>
          <o:OLEObject Type="Embed" ProgID="Equation.3" ShapeID="Object 6" DrawAspect="Content" ObjectID="_1519018974" r:id="rId18"/>
        </w:object>
      </w:r>
    </w:p>
    <w:p w:rsidR="00BC6EFF" w:rsidRDefault="00756E09">
      <w:pPr>
        <w:spacing w:after="480" w:line="480" w:lineRule="auto"/>
        <w:rPr>
          <w:rFonts w:ascii="Times New Roman" w:hAnsi="Times New Roman"/>
        </w:rPr>
      </w:pPr>
      <w:r>
        <w:rPr>
          <w:rFonts w:ascii="Times New Roman" w:hAnsi="Times New Roman"/>
        </w:rPr>
        <w:t>The total likelihood of an animal ending up in the fallen stock or abattoir survey streams is the sum of the respective probabilities over all ages. The final log-likelihood is then the sum of the log-likelihoods of the binomial probabilities of the observed number of fallen stock/abattoir survey positives given the number of fallen stock/abattoir survey tested.</w:t>
      </w:r>
    </w:p>
    <w:p w:rsidR="00BC6EFF" w:rsidRDefault="00756E09">
      <w:pPr>
        <w:spacing w:after="480" w:line="480" w:lineRule="auto"/>
        <w:rPr>
          <w:rFonts w:ascii="Times New Roman" w:hAnsi="Times New Roman"/>
          <w:i/>
        </w:rPr>
      </w:pPr>
      <w:r>
        <w:rPr>
          <w:rFonts w:ascii="Times New Roman" w:hAnsi="Times New Roman"/>
          <w:i/>
        </w:rPr>
        <w:t>Estimation of the age of onset distribution</w:t>
      </w:r>
    </w:p>
    <w:p w:rsidR="00BC6EFF" w:rsidRDefault="00756E09">
      <w:pPr>
        <w:spacing w:after="480" w:line="480" w:lineRule="auto"/>
        <w:rPr>
          <w:rFonts w:ascii="Times New Roman" w:hAnsi="Times New Roman"/>
        </w:rPr>
      </w:pPr>
      <w:r>
        <w:rPr>
          <w:rFonts w:ascii="Times New Roman" w:hAnsi="Times New Roman"/>
        </w:rPr>
        <w:t xml:space="preserve">The age of onset distribution was estimated by fitting a lognormal </w:t>
      </w:r>
      <w:r w:rsidRPr="00435236">
        <w:rPr>
          <w:rFonts w:ascii="Times New Roman" w:hAnsi="Times New Roman"/>
        </w:rPr>
        <w:t xml:space="preserve">incubation period to the observed age at onset of clinical cases in the Scrapie Notifications Database (SND) between 1993 and 2011, accounting for the age distribution of the population as applied by </w:t>
      </w:r>
      <w:proofErr w:type="spellStart"/>
      <w:r w:rsidR="00435236" w:rsidRPr="00435236">
        <w:rPr>
          <w:rFonts w:ascii="Times New Roman" w:hAnsi="Times New Roman"/>
        </w:rPr>
        <w:t>Gubbins</w:t>
      </w:r>
      <w:proofErr w:type="spellEnd"/>
      <w:r w:rsidR="00435236" w:rsidRPr="00435236">
        <w:rPr>
          <w:rFonts w:ascii="Times New Roman" w:hAnsi="Times New Roman"/>
        </w:rPr>
        <w:t xml:space="preserve"> and </w:t>
      </w:r>
      <w:proofErr w:type="spellStart"/>
      <w:r w:rsidRPr="00D26D16">
        <w:rPr>
          <w:rFonts w:ascii="Times New Roman" w:hAnsi="Times New Roman"/>
        </w:rPr>
        <w:t>Gubbins</w:t>
      </w:r>
      <w:proofErr w:type="spellEnd"/>
      <w:r w:rsidRPr="00D26D16">
        <w:rPr>
          <w:rFonts w:ascii="Times New Roman" w:hAnsi="Times New Roman"/>
        </w:rPr>
        <w:t xml:space="preserve"> et al. </w:t>
      </w:r>
      <w:r w:rsidR="00BB5A88" w:rsidRPr="00D26D16">
        <w:rPr>
          <w:rFonts w:ascii="Times New Roman" w:hAnsi="Times New Roman"/>
        </w:rPr>
        <w:t>[</w:t>
      </w:r>
      <w:r w:rsidR="00435236" w:rsidRPr="00D26D16">
        <w:rPr>
          <w:rFonts w:ascii="Times New Roman" w:hAnsi="Times New Roman"/>
        </w:rPr>
        <w:t>1</w:t>
      </w:r>
      <w:proofErr w:type="gramStart"/>
      <w:r w:rsidR="00435236" w:rsidRPr="00D26D16">
        <w:rPr>
          <w:rFonts w:ascii="Times New Roman" w:hAnsi="Times New Roman"/>
        </w:rPr>
        <w:t>,2</w:t>
      </w:r>
      <w:proofErr w:type="gramEnd"/>
      <w:r w:rsidR="00BB5A88" w:rsidRPr="00D26D16">
        <w:rPr>
          <w:rFonts w:ascii="Times New Roman" w:hAnsi="Times New Roman"/>
        </w:rPr>
        <w:t>]</w:t>
      </w:r>
      <w:r w:rsidRPr="00D26D16">
        <w:rPr>
          <w:rFonts w:ascii="Times New Roman" w:hAnsi="Times New Roman"/>
        </w:rPr>
        <w:t>. However due to a low number of passive surveillance cases with known ages (n=8), the positive</w:t>
      </w:r>
      <w:r>
        <w:rPr>
          <w:rFonts w:ascii="Times New Roman" w:hAnsi="Times New Roman"/>
        </w:rPr>
        <w:t xml:space="preserve"> cases confirmed by the Fallen Stock survey (2003-2012) were also included in the calculation, making the assumption that the majority of fallen stock atypical scrapie positives died due to scrapie. When the fallen stock positives were included, the total number of positive animals increased to 50 (Figure S1). </w:t>
      </w:r>
    </w:p>
    <w:p w:rsidR="00BC6EFF" w:rsidRDefault="00756E09">
      <w:pPr>
        <w:spacing w:after="480" w:line="480" w:lineRule="auto"/>
        <w:rPr>
          <w:rFonts w:ascii="Times New Roman" w:hAnsi="Times New Roman"/>
        </w:rPr>
      </w:pPr>
      <w:r>
        <w:rPr>
          <w:rFonts w:ascii="Times New Roman" w:hAnsi="Times New Roman"/>
        </w:rPr>
        <w:lastRenderedPageBreak/>
        <w:t xml:space="preserve">Although there was no data with which to estimate the sensitivity of the rapid </w:t>
      </w:r>
      <w:r w:rsidRPr="00435236">
        <w:rPr>
          <w:rFonts w:ascii="Times New Roman" w:hAnsi="Times New Roman"/>
        </w:rPr>
        <w:t xml:space="preserve">test to detect atypical scrapie, it can be assumed it has the same sensitivity as the rapid test to detect classical </w:t>
      </w:r>
      <w:r w:rsidRPr="00D26D16">
        <w:rPr>
          <w:rFonts w:ascii="Times New Roman" w:hAnsi="Times New Roman"/>
        </w:rPr>
        <w:t xml:space="preserve">scrapie </w:t>
      </w:r>
      <w:r w:rsidR="00BB5A88" w:rsidRPr="00D26D16">
        <w:rPr>
          <w:rFonts w:ascii="Times New Roman" w:hAnsi="Times New Roman"/>
        </w:rPr>
        <w:t>[</w:t>
      </w:r>
      <w:r w:rsidR="00435236" w:rsidRPr="00D26D16">
        <w:rPr>
          <w:rFonts w:ascii="Times New Roman" w:hAnsi="Times New Roman"/>
        </w:rPr>
        <w:t>3</w:t>
      </w:r>
      <w:r w:rsidR="00BB5A88" w:rsidRPr="00D26D16">
        <w:rPr>
          <w:rFonts w:ascii="Times New Roman" w:hAnsi="Times New Roman"/>
        </w:rPr>
        <w:t>]</w:t>
      </w:r>
      <w:r w:rsidRPr="00D26D16">
        <w:rPr>
          <w:rFonts w:ascii="Times New Roman" w:hAnsi="Times New Roman"/>
        </w:rPr>
        <w:t>,</w:t>
      </w:r>
      <w:r w:rsidRPr="00435236">
        <w:rPr>
          <w:rFonts w:ascii="Times New Roman" w:hAnsi="Times New Roman"/>
        </w:rPr>
        <w:t xml:space="preserve"> where it was estimated that it followed a logistic regression curve, with a sensitivity of 50% at approximately 70% of the incubation period completed, increasing to 100% at clinical onset</w:t>
      </w:r>
      <w:r>
        <w:rPr>
          <w:rFonts w:ascii="Times New Roman" w:hAnsi="Times New Roman"/>
        </w:rPr>
        <w:t xml:space="preserve"> </w:t>
      </w:r>
    </w:p>
    <w:p w:rsidR="00BC6EFF" w:rsidRDefault="00756E09">
      <w:pPr>
        <w:spacing w:after="480" w:line="480" w:lineRule="auto"/>
        <w:rPr>
          <w:rFonts w:ascii="Times New Roman" w:hAnsi="Times New Roman"/>
          <w:b/>
        </w:rPr>
      </w:pPr>
      <w:r>
        <w:rPr>
          <w:rFonts w:ascii="Times New Roman" w:hAnsi="Times New Roman"/>
          <w:b/>
        </w:rPr>
        <w:t>Results</w:t>
      </w:r>
    </w:p>
    <w:p w:rsidR="00BC6EFF" w:rsidRDefault="00756E09">
      <w:pPr>
        <w:spacing w:after="480" w:line="480" w:lineRule="auto"/>
        <w:rPr>
          <w:rFonts w:ascii="Times New Roman" w:hAnsi="Times New Roman"/>
          <w:i/>
        </w:rPr>
      </w:pPr>
      <w:r>
        <w:rPr>
          <w:rFonts w:ascii="Times New Roman" w:hAnsi="Times New Roman"/>
          <w:i/>
        </w:rPr>
        <w:t>Estimation of the age of onset distribution</w:t>
      </w:r>
    </w:p>
    <w:p w:rsidR="00BC6EFF" w:rsidRDefault="00756E09">
      <w:pPr>
        <w:spacing w:after="480" w:line="480" w:lineRule="auto"/>
        <w:rPr>
          <w:rFonts w:ascii="Times New Roman" w:hAnsi="Times New Roman"/>
        </w:rPr>
      </w:pPr>
      <w:r>
        <w:rPr>
          <w:rFonts w:ascii="Times New Roman" w:hAnsi="Times New Roman"/>
        </w:rPr>
        <w:t xml:space="preserve">The estimated prevalence of atypical scrapie in GB varied between years (Fig. S2) but a linear regression applied to the data showed no statistically significant trend in the prevalence of infection over time (p=0.79). The estimated prevalence of atypical scrapie, using the test sensitivity estimate from classical scrapie data was 0.10% (95% CI: 0.08-0.11%)   </w:t>
      </w:r>
    </w:p>
    <w:p w:rsidR="00BC6EFF" w:rsidRDefault="00756E09">
      <w:pPr>
        <w:spacing w:after="480" w:line="480" w:lineRule="auto"/>
        <w:rPr>
          <w:rFonts w:ascii="Times New Roman" w:hAnsi="Times New Roman"/>
        </w:rPr>
      </w:pPr>
      <w:r>
        <w:rPr>
          <w:rFonts w:ascii="Times New Roman" w:hAnsi="Times New Roman"/>
        </w:rPr>
        <w:t>All data used in the preparation of this manuscript and supplementary material can be provide by contacting the corresponding author.</w:t>
      </w:r>
    </w:p>
    <w:p w:rsidR="00BC6EFF" w:rsidRDefault="00BC6EFF">
      <w:pPr>
        <w:rPr>
          <w:rFonts w:ascii="Times New Roman" w:eastAsia="Times New Roman" w:hAnsi="Times New Roman"/>
          <w:b/>
          <w:sz w:val="32"/>
          <w:szCs w:val="32"/>
        </w:rPr>
      </w:pPr>
    </w:p>
    <w:tbl>
      <w:tblPr>
        <w:tblW w:w="6876" w:type="dxa"/>
        <w:jc w:val="center"/>
        <w:tblCellMar>
          <w:left w:w="10" w:type="dxa"/>
          <w:right w:w="10" w:type="dxa"/>
        </w:tblCellMar>
        <w:tblLook w:val="04A0" w:firstRow="1" w:lastRow="0" w:firstColumn="1" w:lastColumn="0" w:noHBand="0" w:noVBand="1"/>
      </w:tblPr>
      <w:tblGrid>
        <w:gridCol w:w="6876"/>
      </w:tblGrid>
      <w:tr w:rsidR="00BC6EFF">
        <w:trPr>
          <w:trHeight w:hRule="exact" w:val="5670"/>
          <w:jc w:val="center"/>
        </w:trPr>
        <w:tc>
          <w:tcPr>
            <w:tcW w:w="6876" w:type="dxa"/>
            <w:shd w:val="clear" w:color="auto" w:fill="auto"/>
            <w:tcMar>
              <w:top w:w="0" w:type="dxa"/>
              <w:left w:w="108" w:type="dxa"/>
              <w:bottom w:w="0" w:type="dxa"/>
              <w:right w:w="108" w:type="dxa"/>
            </w:tcMar>
          </w:tcPr>
          <w:p w:rsidR="00BC6EFF" w:rsidRDefault="00756E09">
            <w:pPr>
              <w:spacing w:after="480" w:line="480" w:lineRule="auto"/>
            </w:pPr>
            <w:r>
              <w:rPr>
                <w:rFonts w:ascii="Times New Roman" w:hAnsi="Times New Roman"/>
                <w:i/>
                <w:noProof/>
                <w:lang w:val="en-GB" w:eastAsia="en-GB"/>
              </w:rPr>
              <w:lastRenderedPageBreak/>
              <w:drawing>
                <wp:inline distT="0" distB="0" distL="0" distR="0">
                  <wp:extent cx="4178771" cy="3490758"/>
                  <wp:effectExtent l="0" t="0" r="0" b="0"/>
                  <wp:docPr id="1" name="Picture 3" descr="ageonsetpl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l="4470" t="5538" r="9163" b="2828"/>
                          <a:stretch>
                            <a:fillRect/>
                          </a:stretch>
                        </pic:blipFill>
                        <pic:spPr>
                          <a:xfrm>
                            <a:off x="0" y="0"/>
                            <a:ext cx="4178771" cy="3490758"/>
                          </a:xfrm>
                          <a:prstGeom prst="rect">
                            <a:avLst/>
                          </a:prstGeom>
                          <a:noFill/>
                          <a:ln>
                            <a:noFill/>
                            <a:prstDash/>
                          </a:ln>
                        </pic:spPr>
                      </pic:pic>
                    </a:graphicData>
                  </a:graphic>
                </wp:inline>
              </w:drawing>
            </w:r>
          </w:p>
        </w:tc>
      </w:tr>
      <w:tr w:rsidR="00BC6EFF">
        <w:trPr>
          <w:jc w:val="center"/>
        </w:trPr>
        <w:tc>
          <w:tcPr>
            <w:tcW w:w="6876" w:type="dxa"/>
            <w:shd w:val="clear" w:color="auto" w:fill="auto"/>
            <w:tcMar>
              <w:top w:w="0" w:type="dxa"/>
              <w:left w:w="108" w:type="dxa"/>
              <w:bottom w:w="0" w:type="dxa"/>
              <w:right w:w="108" w:type="dxa"/>
            </w:tcMar>
          </w:tcPr>
          <w:p w:rsidR="00BC6EFF" w:rsidRDefault="00756E09">
            <w:pPr>
              <w:spacing w:after="0" w:line="240" w:lineRule="auto"/>
              <w:ind w:left="377" w:hanging="377"/>
              <w:jc w:val="center"/>
            </w:pPr>
            <w:r>
              <w:rPr>
                <w:rFonts w:ascii="Times New Roman" w:hAnsi="Times New Roman"/>
                <w:sz w:val="18"/>
                <w:szCs w:val="18"/>
              </w:rPr>
              <w:t>Figure S1. Comparison of the age distribution of reported cases/fallen stock of atypical scrapie in the Scrapie Notifications Database compared with that predicted by the lognormal incubation period distribution used in the back-calculation model of atypical scrapie infection prevalence.</w:t>
            </w:r>
          </w:p>
        </w:tc>
      </w:tr>
    </w:tbl>
    <w:p w:rsidR="00BC6EFF" w:rsidRDefault="00756E09">
      <w:pPr>
        <w:jc w:val="center"/>
      </w:pPr>
      <w:r>
        <w:rPr>
          <w:noProof/>
          <w:lang w:val="en-GB" w:eastAsia="en-GB"/>
        </w:rPr>
        <w:drawing>
          <wp:inline distT="0" distB="0" distL="0" distR="0">
            <wp:extent cx="4940302" cy="3905246"/>
            <wp:effectExtent l="0" t="0" r="0" b="4"/>
            <wp:docPr id="2" name="Picture 8" descr="C:\scrapie\scrapie backcalculation\Atypical\atypicalprevplot.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l="4166" t="2623" r="5787" b="2469"/>
                    <a:stretch>
                      <a:fillRect/>
                    </a:stretch>
                  </pic:blipFill>
                  <pic:spPr>
                    <a:xfrm>
                      <a:off x="0" y="0"/>
                      <a:ext cx="4940302" cy="3905246"/>
                    </a:xfrm>
                    <a:prstGeom prst="rect">
                      <a:avLst/>
                    </a:prstGeom>
                    <a:noFill/>
                    <a:ln>
                      <a:noFill/>
                      <a:prstDash/>
                    </a:ln>
                  </pic:spPr>
                </pic:pic>
              </a:graphicData>
            </a:graphic>
          </wp:inline>
        </w:drawing>
      </w:r>
    </w:p>
    <w:p w:rsidR="00BC6EFF" w:rsidRDefault="00756E09">
      <w:pPr>
        <w:spacing w:after="0" w:line="240" w:lineRule="auto"/>
        <w:jc w:val="center"/>
      </w:pPr>
      <w:r>
        <w:rPr>
          <w:rFonts w:ascii="Times New Roman" w:hAnsi="Times New Roman"/>
          <w:sz w:val="18"/>
          <w:szCs w:val="18"/>
        </w:rPr>
        <w:t>Figure S2. The estimated prevalence of atypical scrapie each year 2005-2012 (black dots) and the mean prevalence across all years (dotted line) estimated using a back-calculation model applied to the number of atypical scrapie cases in GB.</w:t>
      </w:r>
    </w:p>
    <w:p w:rsidR="00BC6EFF" w:rsidRDefault="00BC6EFF">
      <w:pPr>
        <w:rPr>
          <w:rFonts w:ascii="Times New Roman" w:eastAsia="Times New Roman" w:hAnsi="Times New Roman"/>
          <w:b/>
          <w:sz w:val="40"/>
          <w:szCs w:val="40"/>
        </w:rPr>
      </w:pPr>
    </w:p>
    <w:p w:rsidR="00BC6EFF" w:rsidRDefault="00BC6EFF">
      <w:pPr>
        <w:pageBreakBefore/>
        <w:rPr>
          <w:rFonts w:ascii="Times New Roman" w:hAnsi="Times New Roman"/>
          <w:b/>
        </w:rPr>
      </w:pPr>
    </w:p>
    <w:p w:rsidR="00BC6EFF" w:rsidRDefault="00756E09">
      <w:pPr>
        <w:spacing w:after="480" w:line="480" w:lineRule="auto"/>
        <w:rPr>
          <w:rFonts w:ascii="Times New Roman" w:hAnsi="Times New Roman"/>
          <w:b/>
        </w:rPr>
      </w:pPr>
      <w:r>
        <w:rPr>
          <w:rFonts w:ascii="Times New Roman" w:hAnsi="Times New Roman"/>
          <w:b/>
        </w:rPr>
        <w:t xml:space="preserve">Convergence diagnostics of the MCMC simulations </w:t>
      </w:r>
    </w:p>
    <w:p w:rsidR="00BC6EFF" w:rsidRDefault="00756E09">
      <w:pPr>
        <w:spacing w:after="480" w:line="480" w:lineRule="auto"/>
        <w:rPr>
          <w:rFonts w:ascii="Times New Roman" w:hAnsi="Times New Roman"/>
        </w:rPr>
      </w:pPr>
      <w:r>
        <w:rPr>
          <w:rFonts w:ascii="Times New Roman" w:hAnsi="Times New Roman"/>
        </w:rPr>
        <w:t xml:space="preserve">The function </w:t>
      </w:r>
      <w:proofErr w:type="spellStart"/>
      <w:r>
        <w:rPr>
          <w:rFonts w:ascii="Times New Roman" w:hAnsi="Times New Roman"/>
        </w:rPr>
        <w:t>gelman.diag</w:t>
      </w:r>
      <w:proofErr w:type="spellEnd"/>
      <w:r>
        <w:rPr>
          <w:rFonts w:ascii="Times New Roman" w:hAnsi="Times New Roman"/>
        </w:rPr>
        <w:t xml:space="preserve"> within the coda package in R to test the convergence of the MCMC with the number of iterations used. Values closed to 1 indicates convergence. Tables S1 and S2 contain the median of all </w:t>
      </w:r>
      <w:proofErr w:type="spellStart"/>
      <w:r>
        <w:rPr>
          <w:rFonts w:ascii="Times New Roman" w:hAnsi="Times New Roman"/>
        </w:rPr>
        <w:t>Gelman</w:t>
      </w:r>
      <w:proofErr w:type="spellEnd"/>
      <w:r>
        <w:rPr>
          <w:rFonts w:ascii="Times New Roman" w:hAnsi="Times New Roman"/>
        </w:rPr>
        <w:t xml:space="preserve">-Rubin values from all replications for the random case. </w:t>
      </w:r>
    </w:p>
    <w:p w:rsidR="00BC6EFF" w:rsidRDefault="00BC6EFF">
      <w:pPr>
        <w:shd w:val="clear" w:color="auto" w:fill="FFFFFF"/>
        <w:spacing w:after="0" w:line="240" w:lineRule="auto"/>
        <w:rPr>
          <w:rFonts w:ascii="Segoe UI" w:eastAsia="Times New Roman" w:hAnsi="Segoe UI" w:cs="Segoe UI"/>
          <w: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tbl>
      <w:tblPr>
        <w:tblW w:w="3950" w:type="dxa"/>
        <w:jc w:val="center"/>
        <w:tblCellMar>
          <w:left w:w="10" w:type="dxa"/>
          <w:right w:w="10" w:type="dxa"/>
        </w:tblCellMar>
        <w:tblLook w:val="04A0" w:firstRow="1" w:lastRow="0" w:firstColumn="1" w:lastColumn="0" w:noHBand="0" w:noVBand="1"/>
      </w:tblPr>
      <w:tblGrid>
        <w:gridCol w:w="960"/>
        <w:gridCol w:w="1553"/>
        <w:gridCol w:w="1437"/>
      </w:tblGrid>
      <w:tr w:rsidR="00BC6EFF">
        <w:trPr>
          <w:trHeight w:val="890"/>
          <w:jc w:val="center"/>
        </w:trPr>
        <w:tc>
          <w:tcPr>
            <w:tcW w:w="3950" w:type="dxa"/>
            <w:gridSpan w:val="3"/>
            <w:tcBorders>
              <w:bottom w:val="single" w:sz="4" w:space="0" w:color="000000"/>
            </w:tcBorders>
            <w:shd w:val="clear" w:color="auto" w:fill="auto"/>
            <w:noWrap/>
            <w:tcMar>
              <w:top w:w="0" w:type="dxa"/>
              <w:left w:w="108" w:type="dxa"/>
              <w:bottom w:w="0" w:type="dxa"/>
              <w:right w:w="108" w:type="dxa"/>
            </w:tcMar>
          </w:tcPr>
          <w:p w:rsidR="00BC6EFF" w:rsidRDefault="00756E09">
            <w:pPr>
              <w:spacing w:after="0" w:line="240" w:lineRule="auto"/>
            </w:pPr>
            <w:r>
              <w:rPr>
                <w:rFonts w:ascii="Times" w:eastAsia="Times New Roman" w:hAnsi="Times"/>
                <w:b/>
                <w:bCs/>
                <w:i/>
                <w:lang w:eastAsia="en-GB"/>
              </w:rPr>
              <w:t xml:space="preserve">Table S1. Median of all </w:t>
            </w:r>
            <w:proofErr w:type="spellStart"/>
            <w:r>
              <w:rPr>
                <w:rFonts w:ascii="Times" w:eastAsia="Times New Roman" w:hAnsi="Times"/>
                <w:b/>
                <w:bCs/>
                <w:i/>
                <w:lang w:eastAsia="en-GB"/>
              </w:rPr>
              <w:t>Gelman</w:t>
            </w:r>
            <w:proofErr w:type="spellEnd"/>
            <w:r>
              <w:rPr>
                <w:rFonts w:ascii="Times" w:eastAsia="Times New Roman" w:hAnsi="Times"/>
                <w:b/>
                <w:bCs/>
                <w:i/>
                <w:lang w:eastAsia="en-GB"/>
              </w:rPr>
              <w:t>-Rubin values from all replications of random data in the yearly models</w:t>
            </w:r>
            <w:r>
              <w:rPr>
                <w:rFonts w:eastAsia="Times New Roman"/>
                <w:b/>
                <w:bCs/>
                <w:color w:val="000000"/>
                <w:lang w:eastAsia="ja-JP"/>
              </w:rPr>
              <w:t xml:space="preserve"> </w:t>
            </w:r>
          </w:p>
        </w:tc>
      </w:tr>
      <w:tr w:rsidR="00BC6EFF">
        <w:trPr>
          <w:trHeight w:val="980"/>
          <w:jc w:val="center"/>
        </w:trPr>
        <w:tc>
          <w:tcPr>
            <w:tcW w:w="960" w:type="dxa"/>
            <w:tcBorders>
              <w:top w:val="single" w:sz="4" w:space="0" w:color="000000"/>
              <w:bottom w:val="single" w:sz="4" w:space="0" w:color="000000"/>
            </w:tcBorders>
            <w:shd w:val="clear" w:color="auto" w:fill="auto"/>
            <w:noWrap/>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Year</w:t>
            </w:r>
          </w:p>
        </w:tc>
        <w:tc>
          <w:tcPr>
            <w:tcW w:w="1553" w:type="dxa"/>
            <w:tcBorders>
              <w:top w:val="single" w:sz="4" w:space="0" w:color="000000"/>
              <w:bottom w:val="single" w:sz="4"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Probability of detecting  at least one holding with 2 cases of AS</w:t>
            </w:r>
          </w:p>
        </w:tc>
        <w:tc>
          <w:tcPr>
            <w:tcW w:w="1437" w:type="dxa"/>
            <w:tcBorders>
              <w:top w:val="single" w:sz="4" w:space="0" w:color="000000"/>
              <w:bottom w:val="single" w:sz="4"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with 1 case of AS</w:t>
            </w:r>
          </w:p>
        </w:tc>
      </w:tr>
      <w:tr w:rsidR="00BC6EFF">
        <w:trPr>
          <w:trHeight w:val="300"/>
          <w:jc w:val="center"/>
        </w:trPr>
        <w:tc>
          <w:tcPr>
            <w:tcW w:w="960" w:type="dxa"/>
            <w:tcBorders>
              <w:top w:val="single" w:sz="4"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2006</w:t>
            </w:r>
          </w:p>
        </w:tc>
        <w:tc>
          <w:tcPr>
            <w:tcW w:w="1553" w:type="dxa"/>
            <w:tcBorders>
              <w:top w:val="single" w:sz="4"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1.00205</w:t>
            </w:r>
          </w:p>
        </w:tc>
        <w:tc>
          <w:tcPr>
            <w:tcW w:w="1437" w:type="dxa"/>
            <w:tcBorders>
              <w:top w:val="single" w:sz="4"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1.00044</w:t>
            </w:r>
          </w:p>
        </w:tc>
      </w:tr>
      <w:tr w:rsidR="00BC6EFF">
        <w:trPr>
          <w:trHeight w:val="300"/>
          <w:jc w:val="center"/>
        </w:trPr>
        <w:tc>
          <w:tcPr>
            <w:tcW w:w="96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2007</w:t>
            </w:r>
          </w:p>
        </w:tc>
        <w:tc>
          <w:tcPr>
            <w:tcW w:w="1553"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1.00853</w:t>
            </w:r>
          </w:p>
        </w:tc>
        <w:tc>
          <w:tcPr>
            <w:tcW w:w="1437"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1.00010</w:t>
            </w:r>
          </w:p>
        </w:tc>
      </w:tr>
      <w:tr w:rsidR="00BC6EFF">
        <w:trPr>
          <w:trHeight w:val="300"/>
          <w:jc w:val="center"/>
        </w:trPr>
        <w:tc>
          <w:tcPr>
            <w:tcW w:w="96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2008</w:t>
            </w:r>
          </w:p>
        </w:tc>
        <w:tc>
          <w:tcPr>
            <w:tcW w:w="1553"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1.01198</w:t>
            </w:r>
          </w:p>
        </w:tc>
        <w:tc>
          <w:tcPr>
            <w:tcW w:w="1437"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1.00052</w:t>
            </w:r>
          </w:p>
        </w:tc>
      </w:tr>
      <w:tr w:rsidR="00BC6EFF">
        <w:trPr>
          <w:trHeight w:val="300"/>
          <w:jc w:val="center"/>
        </w:trPr>
        <w:tc>
          <w:tcPr>
            <w:tcW w:w="96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2009</w:t>
            </w:r>
          </w:p>
        </w:tc>
        <w:tc>
          <w:tcPr>
            <w:tcW w:w="1553"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1.01435</w:t>
            </w:r>
          </w:p>
        </w:tc>
        <w:tc>
          <w:tcPr>
            <w:tcW w:w="1437"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1.00063</w:t>
            </w:r>
          </w:p>
        </w:tc>
      </w:tr>
      <w:tr w:rsidR="00BC6EFF">
        <w:trPr>
          <w:trHeight w:val="300"/>
          <w:jc w:val="center"/>
        </w:trPr>
        <w:tc>
          <w:tcPr>
            <w:tcW w:w="96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2010</w:t>
            </w:r>
          </w:p>
        </w:tc>
        <w:tc>
          <w:tcPr>
            <w:tcW w:w="1553"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1.01654</w:t>
            </w:r>
          </w:p>
        </w:tc>
        <w:tc>
          <w:tcPr>
            <w:tcW w:w="1437"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1.00031</w:t>
            </w:r>
          </w:p>
        </w:tc>
      </w:tr>
      <w:tr w:rsidR="00BC6EFF">
        <w:trPr>
          <w:trHeight w:val="300"/>
          <w:jc w:val="center"/>
        </w:trPr>
        <w:tc>
          <w:tcPr>
            <w:tcW w:w="96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2011</w:t>
            </w:r>
          </w:p>
        </w:tc>
        <w:tc>
          <w:tcPr>
            <w:tcW w:w="1553"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1.00383</w:t>
            </w:r>
          </w:p>
        </w:tc>
        <w:tc>
          <w:tcPr>
            <w:tcW w:w="1437"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1.00016</w:t>
            </w:r>
          </w:p>
        </w:tc>
      </w:tr>
      <w:tr w:rsidR="00BC6EFF">
        <w:trPr>
          <w:trHeight w:val="300"/>
          <w:jc w:val="center"/>
        </w:trPr>
        <w:tc>
          <w:tcPr>
            <w:tcW w:w="96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2012</w:t>
            </w:r>
          </w:p>
        </w:tc>
        <w:tc>
          <w:tcPr>
            <w:tcW w:w="1553"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1.00985</w:t>
            </w:r>
          </w:p>
        </w:tc>
        <w:tc>
          <w:tcPr>
            <w:tcW w:w="1437"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1.00025</w:t>
            </w:r>
          </w:p>
        </w:tc>
      </w:tr>
    </w:tbl>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tbl>
      <w:tblPr>
        <w:tblW w:w="10431" w:type="dxa"/>
        <w:tblLayout w:type="fixed"/>
        <w:tblCellMar>
          <w:left w:w="10" w:type="dxa"/>
          <w:right w:w="10" w:type="dxa"/>
        </w:tblCellMar>
        <w:tblLook w:val="04A0" w:firstRow="1" w:lastRow="0" w:firstColumn="1" w:lastColumn="0" w:noHBand="0" w:noVBand="1"/>
      </w:tblPr>
      <w:tblGrid>
        <w:gridCol w:w="810"/>
        <w:gridCol w:w="923"/>
        <w:gridCol w:w="923"/>
        <w:gridCol w:w="923"/>
        <w:gridCol w:w="1256"/>
        <w:gridCol w:w="900"/>
        <w:gridCol w:w="923"/>
        <w:gridCol w:w="923"/>
        <w:gridCol w:w="867"/>
        <w:gridCol w:w="887"/>
        <w:gridCol w:w="1096"/>
      </w:tblGrid>
      <w:tr w:rsidR="00BC6EFF">
        <w:trPr>
          <w:trHeight w:val="413"/>
        </w:trPr>
        <w:tc>
          <w:tcPr>
            <w:tcW w:w="10431" w:type="dxa"/>
            <w:gridSpan w:val="11"/>
            <w:shd w:val="clear" w:color="auto" w:fill="auto"/>
            <w:noWrap/>
            <w:tcMar>
              <w:top w:w="0" w:type="dxa"/>
              <w:left w:w="108" w:type="dxa"/>
              <w:bottom w:w="0" w:type="dxa"/>
              <w:right w:w="108" w:type="dxa"/>
            </w:tcMar>
          </w:tcPr>
          <w:p w:rsidR="00BC6EFF" w:rsidRDefault="00756E09">
            <w:pPr>
              <w:spacing w:before="40" w:after="0" w:line="240" w:lineRule="auto"/>
            </w:pPr>
            <w:r>
              <w:rPr>
                <w:rFonts w:ascii="Times" w:eastAsia="Times New Roman" w:hAnsi="Times"/>
                <w:b/>
                <w:bCs/>
                <w:i/>
                <w:lang w:eastAsia="en-GB"/>
              </w:rPr>
              <w:t xml:space="preserve">Table S2. Median of all </w:t>
            </w:r>
            <w:proofErr w:type="spellStart"/>
            <w:r>
              <w:rPr>
                <w:rFonts w:ascii="Times" w:eastAsia="Times New Roman" w:hAnsi="Times"/>
                <w:b/>
                <w:bCs/>
                <w:i/>
                <w:lang w:eastAsia="en-GB"/>
              </w:rPr>
              <w:t>Gelman</w:t>
            </w:r>
            <w:proofErr w:type="spellEnd"/>
            <w:r>
              <w:rPr>
                <w:rFonts w:ascii="Times" w:eastAsia="Times New Roman" w:hAnsi="Times"/>
                <w:b/>
                <w:bCs/>
                <w:i/>
                <w:lang w:eastAsia="en-GB"/>
              </w:rPr>
              <w:t>-Rubin values from all replications of random data in the three-year models</w:t>
            </w:r>
          </w:p>
        </w:tc>
      </w:tr>
      <w:tr w:rsidR="00BC6EFF">
        <w:trPr>
          <w:trHeight w:val="1313"/>
        </w:trPr>
        <w:tc>
          <w:tcPr>
            <w:tcW w:w="810" w:type="dxa"/>
            <w:shd w:val="clear" w:color="auto" w:fill="auto"/>
            <w:noWrap/>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Year</w:t>
            </w:r>
          </w:p>
        </w:tc>
        <w:tc>
          <w:tcPr>
            <w:tcW w:w="923"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≥1 AS  case1 CS case</w:t>
            </w:r>
          </w:p>
        </w:tc>
        <w:tc>
          <w:tcPr>
            <w:tcW w:w="923"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≥1 AS case 2 CS cases</w:t>
            </w:r>
          </w:p>
        </w:tc>
        <w:tc>
          <w:tcPr>
            <w:tcW w:w="923"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≥1 AS case 3 CS cases</w:t>
            </w:r>
          </w:p>
        </w:tc>
        <w:tc>
          <w:tcPr>
            <w:tcW w:w="1256"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proofErr w:type="spellStart"/>
            <w:r>
              <w:rPr>
                <w:rFonts w:ascii="Times New Roman" w:eastAsia="Times New Roman" w:hAnsi="Times New Roman"/>
                <w:b/>
                <w:bCs/>
                <w:sz w:val="18"/>
                <w:szCs w:val="18"/>
                <w:lang w:eastAsia="en-GB"/>
              </w:rPr>
              <w:t>Prob</w:t>
            </w:r>
            <w:proofErr w:type="spellEnd"/>
            <w:r>
              <w:rPr>
                <w:rFonts w:ascii="Times New Roman" w:eastAsia="Times New Roman" w:hAnsi="Times New Roman"/>
                <w:b/>
                <w:bCs/>
                <w:sz w:val="18"/>
                <w:szCs w:val="18"/>
                <w:lang w:eastAsia="en-GB"/>
              </w:rPr>
              <w:t xml:space="preserve"> of detecting  at least a holding with 2 AS cases </w:t>
            </w:r>
          </w:p>
        </w:tc>
        <w:tc>
          <w:tcPr>
            <w:tcW w:w="900"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proofErr w:type="spellStart"/>
            <w:r>
              <w:rPr>
                <w:rFonts w:ascii="Times New Roman" w:eastAsia="Times New Roman" w:hAnsi="Times New Roman"/>
                <w:b/>
                <w:bCs/>
                <w:sz w:val="18"/>
                <w:szCs w:val="18"/>
                <w:lang w:eastAsia="en-GB"/>
              </w:rPr>
              <w:t>Prob</w:t>
            </w:r>
            <w:proofErr w:type="spellEnd"/>
            <w:r>
              <w:rPr>
                <w:rFonts w:ascii="Times New Roman" w:eastAsia="Times New Roman" w:hAnsi="Times New Roman"/>
                <w:b/>
                <w:bCs/>
                <w:sz w:val="18"/>
                <w:szCs w:val="18"/>
                <w:lang w:eastAsia="en-GB"/>
              </w:rPr>
              <w:t xml:space="preserve"> of detecting ≥1 AS  case 1 CS case</w:t>
            </w:r>
          </w:p>
        </w:tc>
        <w:tc>
          <w:tcPr>
            <w:tcW w:w="923"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proofErr w:type="spellStart"/>
            <w:r>
              <w:rPr>
                <w:rFonts w:ascii="Times New Roman" w:eastAsia="Times New Roman" w:hAnsi="Times New Roman"/>
                <w:b/>
                <w:bCs/>
                <w:sz w:val="18"/>
                <w:szCs w:val="18"/>
                <w:lang w:eastAsia="en-GB"/>
              </w:rPr>
              <w:t>Prob</w:t>
            </w:r>
            <w:proofErr w:type="spellEnd"/>
            <w:r>
              <w:rPr>
                <w:rFonts w:ascii="Times New Roman" w:eastAsia="Times New Roman" w:hAnsi="Times New Roman"/>
                <w:b/>
                <w:bCs/>
                <w:sz w:val="18"/>
                <w:szCs w:val="18"/>
                <w:lang w:eastAsia="en-GB"/>
              </w:rPr>
              <w:t xml:space="preserve"> of detecting ≥1 AS  case 2 CS case</w:t>
            </w:r>
          </w:p>
        </w:tc>
        <w:tc>
          <w:tcPr>
            <w:tcW w:w="923"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proofErr w:type="spellStart"/>
            <w:r>
              <w:rPr>
                <w:rFonts w:ascii="Times New Roman" w:eastAsia="Times New Roman" w:hAnsi="Times New Roman"/>
                <w:b/>
                <w:bCs/>
                <w:sz w:val="18"/>
                <w:szCs w:val="18"/>
                <w:lang w:eastAsia="en-GB"/>
              </w:rPr>
              <w:t>Prob</w:t>
            </w:r>
            <w:proofErr w:type="spellEnd"/>
            <w:r>
              <w:rPr>
                <w:rFonts w:ascii="Times New Roman" w:eastAsia="Times New Roman" w:hAnsi="Times New Roman"/>
                <w:b/>
                <w:bCs/>
                <w:sz w:val="18"/>
                <w:szCs w:val="18"/>
                <w:lang w:eastAsia="en-GB"/>
              </w:rPr>
              <w:t xml:space="preserve"> of detecting ≥1 AS  case 3 CS case</w:t>
            </w:r>
          </w:p>
        </w:tc>
        <w:tc>
          <w:tcPr>
            <w:tcW w:w="867"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with 1 AS case</w:t>
            </w:r>
          </w:p>
        </w:tc>
        <w:tc>
          <w:tcPr>
            <w:tcW w:w="887"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with 2 AS cases</w:t>
            </w:r>
          </w:p>
        </w:tc>
        <w:tc>
          <w:tcPr>
            <w:tcW w:w="1096" w:type="dxa"/>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with 3 AS cases</w:t>
            </w:r>
          </w:p>
        </w:tc>
      </w:tr>
      <w:tr w:rsidR="00BC6EFF">
        <w:trPr>
          <w:trHeight w:val="312"/>
        </w:trPr>
        <w:tc>
          <w:tcPr>
            <w:tcW w:w="810"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2006-09</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1.0001</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1.0098</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1.0303</w:t>
            </w:r>
          </w:p>
        </w:tc>
        <w:tc>
          <w:tcPr>
            <w:tcW w:w="1256"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1.0003</w:t>
            </w:r>
          </w:p>
        </w:tc>
        <w:tc>
          <w:tcPr>
            <w:tcW w:w="900"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0.9998</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1.0098</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1.0309</w:t>
            </w:r>
          </w:p>
        </w:tc>
        <w:tc>
          <w:tcPr>
            <w:tcW w:w="867"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1.0002</w:t>
            </w:r>
          </w:p>
        </w:tc>
        <w:tc>
          <w:tcPr>
            <w:tcW w:w="887"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1.0008</w:t>
            </w:r>
          </w:p>
        </w:tc>
        <w:tc>
          <w:tcPr>
            <w:tcW w:w="1096"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1.0556</w:t>
            </w:r>
          </w:p>
        </w:tc>
      </w:tr>
      <w:tr w:rsidR="00BC6EFF">
        <w:trPr>
          <w:trHeight w:val="312"/>
        </w:trPr>
        <w:tc>
          <w:tcPr>
            <w:tcW w:w="810"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2007-10</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1.0004</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1.0223</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1.0821</w:t>
            </w:r>
          </w:p>
        </w:tc>
        <w:tc>
          <w:tcPr>
            <w:tcW w:w="1256"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1.0001</w:t>
            </w:r>
          </w:p>
        </w:tc>
        <w:tc>
          <w:tcPr>
            <w:tcW w:w="900"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1.0000</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1.0223</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1.0408</w:t>
            </w:r>
          </w:p>
        </w:tc>
        <w:tc>
          <w:tcPr>
            <w:tcW w:w="867"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1.0004</w:t>
            </w:r>
          </w:p>
        </w:tc>
        <w:tc>
          <w:tcPr>
            <w:tcW w:w="887"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1.0005</w:t>
            </w:r>
          </w:p>
        </w:tc>
        <w:tc>
          <w:tcPr>
            <w:tcW w:w="1096"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1.0364</w:t>
            </w:r>
          </w:p>
        </w:tc>
      </w:tr>
      <w:tr w:rsidR="00BC6EFF">
        <w:trPr>
          <w:trHeight w:val="312"/>
        </w:trPr>
        <w:tc>
          <w:tcPr>
            <w:tcW w:w="810"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2008-11</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1.0002</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1.0192</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1.0556</w:t>
            </w:r>
          </w:p>
        </w:tc>
        <w:tc>
          <w:tcPr>
            <w:tcW w:w="1256"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1.0002</w:t>
            </w:r>
          </w:p>
        </w:tc>
        <w:tc>
          <w:tcPr>
            <w:tcW w:w="900"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0.9999</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1.0192</w:t>
            </w:r>
          </w:p>
        </w:tc>
        <w:tc>
          <w:tcPr>
            <w:tcW w:w="92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1.0387</w:t>
            </w:r>
          </w:p>
        </w:tc>
        <w:tc>
          <w:tcPr>
            <w:tcW w:w="867"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1.0002</w:t>
            </w:r>
          </w:p>
        </w:tc>
        <w:tc>
          <w:tcPr>
            <w:tcW w:w="887"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1.0003</w:t>
            </w:r>
          </w:p>
        </w:tc>
        <w:tc>
          <w:tcPr>
            <w:tcW w:w="1096"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1.0294</w:t>
            </w:r>
          </w:p>
        </w:tc>
      </w:tr>
    </w:tbl>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pacing w:after="480" w:line="480" w:lineRule="auto"/>
        <w:rPr>
          <w:rFonts w:ascii="Times New Roman" w:hAnsi="Times New Roman"/>
        </w:rPr>
      </w:pPr>
    </w:p>
    <w:p w:rsidR="00BC6EFF" w:rsidRDefault="00BC6EFF">
      <w:pPr>
        <w:spacing w:after="480" w:line="480" w:lineRule="auto"/>
        <w:rPr>
          <w:rFonts w:ascii="Times New Roman" w:hAnsi="Times New Roman"/>
        </w:rPr>
      </w:pPr>
    </w:p>
    <w:p w:rsidR="00BC6EFF" w:rsidRDefault="00756E09">
      <w:pPr>
        <w:spacing w:after="480" w:line="480" w:lineRule="auto"/>
        <w:rPr>
          <w:rFonts w:ascii="Times New Roman" w:hAnsi="Times New Roman"/>
        </w:rPr>
      </w:pPr>
      <w:r>
        <w:rPr>
          <w:rFonts w:ascii="Times New Roman" w:hAnsi="Times New Roman"/>
        </w:rPr>
        <w:lastRenderedPageBreak/>
        <w:t xml:space="preserve">Tables S3 and S4 contain the results from </w:t>
      </w:r>
      <w:proofErr w:type="spellStart"/>
      <w:r>
        <w:rPr>
          <w:rFonts w:ascii="Times New Roman" w:hAnsi="Times New Roman"/>
        </w:rPr>
        <w:t>autocorr.diag</w:t>
      </w:r>
      <w:proofErr w:type="spellEnd"/>
      <w:r>
        <w:rPr>
          <w:rFonts w:ascii="Times New Roman" w:hAnsi="Times New Roman"/>
        </w:rPr>
        <w:t xml:space="preserve"> command in the coda package. This command checks the correlation between different simulated lags. The table shows the median values for all population samples. </w:t>
      </w:r>
    </w:p>
    <w:tbl>
      <w:tblPr>
        <w:tblW w:w="6639" w:type="dxa"/>
        <w:tblInd w:w="-5" w:type="dxa"/>
        <w:tblCellMar>
          <w:left w:w="10" w:type="dxa"/>
          <w:right w:w="10" w:type="dxa"/>
        </w:tblCellMar>
        <w:tblLook w:val="04A0" w:firstRow="1" w:lastRow="0" w:firstColumn="1" w:lastColumn="0" w:noHBand="0" w:noVBand="1"/>
      </w:tblPr>
      <w:tblGrid>
        <w:gridCol w:w="659"/>
        <w:gridCol w:w="786"/>
        <w:gridCol w:w="810"/>
        <w:gridCol w:w="874"/>
        <w:gridCol w:w="904"/>
        <w:gridCol w:w="896"/>
        <w:gridCol w:w="810"/>
        <w:gridCol w:w="900"/>
      </w:tblGrid>
      <w:tr w:rsidR="00BC6EFF">
        <w:trPr>
          <w:trHeight w:val="396"/>
        </w:trPr>
        <w:tc>
          <w:tcPr>
            <w:tcW w:w="6639" w:type="dxa"/>
            <w:gridSpan w:val="8"/>
            <w:tcBorders>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rPr>
                <w:rFonts w:ascii="Times" w:eastAsia="Times New Roman" w:hAnsi="Times"/>
                <w:b/>
                <w:bCs/>
                <w:i/>
                <w:lang w:eastAsia="en-GB"/>
              </w:rPr>
            </w:pPr>
            <w:r>
              <w:rPr>
                <w:rFonts w:ascii="Times" w:eastAsia="Times New Roman" w:hAnsi="Times"/>
                <w:b/>
                <w:bCs/>
                <w:i/>
                <w:lang w:eastAsia="en-GB"/>
              </w:rPr>
              <w:t>Table S3. Median values of correlation values between the different simulated lags in the yearly models</w:t>
            </w:r>
          </w:p>
        </w:tc>
      </w:tr>
      <w:tr w:rsidR="00BC6EFF">
        <w:trPr>
          <w:trHeight w:val="396"/>
        </w:trPr>
        <w:tc>
          <w:tcPr>
            <w:tcW w:w="6639" w:type="dxa"/>
            <w:gridSpan w:val="8"/>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pPr>
            <w:r>
              <w:rPr>
                <w:rFonts w:ascii="Times New Roman" w:eastAsia="Times New Roman" w:hAnsi="Times New Roman"/>
                <w:b/>
                <w:bCs/>
                <w:sz w:val="18"/>
                <w:szCs w:val="18"/>
                <w:lang w:eastAsia="en-GB"/>
              </w:rPr>
              <w:t>Probability of detecting  at least one holding with 2 cases of AS</w:t>
            </w:r>
          </w:p>
        </w:tc>
      </w:tr>
      <w:tr w:rsidR="00BC6EFF">
        <w:trPr>
          <w:trHeight w:val="396"/>
        </w:trPr>
        <w:tc>
          <w:tcPr>
            <w:tcW w:w="659" w:type="dxa"/>
            <w:tcBorders>
              <w:top w:val="single" w:sz="8" w:space="0" w:color="000000"/>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Lag</w:t>
            </w:r>
          </w:p>
        </w:tc>
        <w:tc>
          <w:tcPr>
            <w:tcW w:w="786" w:type="dxa"/>
            <w:tcBorders>
              <w:top w:val="single" w:sz="8" w:space="0" w:color="000000"/>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2006</w:t>
            </w:r>
          </w:p>
        </w:tc>
        <w:tc>
          <w:tcPr>
            <w:tcW w:w="810" w:type="dxa"/>
            <w:tcBorders>
              <w:top w:val="single" w:sz="8" w:space="0" w:color="000000"/>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2007</w:t>
            </w:r>
          </w:p>
        </w:tc>
        <w:tc>
          <w:tcPr>
            <w:tcW w:w="874" w:type="dxa"/>
            <w:tcBorders>
              <w:top w:val="single" w:sz="8" w:space="0" w:color="000000"/>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2008</w:t>
            </w:r>
          </w:p>
        </w:tc>
        <w:tc>
          <w:tcPr>
            <w:tcW w:w="904" w:type="dxa"/>
            <w:tcBorders>
              <w:top w:val="single" w:sz="8" w:space="0" w:color="000000"/>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2009</w:t>
            </w:r>
          </w:p>
        </w:tc>
        <w:tc>
          <w:tcPr>
            <w:tcW w:w="896" w:type="dxa"/>
            <w:tcBorders>
              <w:top w:val="single" w:sz="8" w:space="0" w:color="000000"/>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2010</w:t>
            </w:r>
          </w:p>
        </w:tc>
        <w:tc>
          <w:tcPr>
            <w:tcW w:w="810" w:type="dxa"/>
            <w:tcBorders>
              <w:top w:val="single" w:sz="8" w:space="0" w:color="000000"/>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2011</w:t>
            </w:r>
          </w:p>
        </w:tc>
        <w:tc>
          <w:tcPr>
            <w:tcW w:w="900" w:type="dxa"/>
            <w:tcBorders>
              <w:top w:val="single" w:sz="8" w:space="0" w:color="000000"/>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2012</w:t>
            </w:r>
          </w:p>
        </w:tc>
      </w:tr>
      <w:tr w:rsidR="00BC6EFF">
        <w:trPr>
          <w:trHeight w:val="396"/>
        </w:trPr>
        <w:tc>
          <w:tcPr>
            <w:tcW w:w="659"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0</w:t>
            </w:r>
          </w:p>
        </w:tc>
        <w:tc>
          <w:tcPr>
            <w:tcW w:w="786"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10"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74"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04"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96"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10"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00"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r>
      <w:tr w:rsidR="00BC6EFF">
        <w:trPr>
          <w:trHeight w:val="396"/>
        </w:trPr>
        <w:tc>
          <w:tcPr>
            <w:tcW w:w="659"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1</w:t>
            </w:r>
          </w:p>
        </w:tc>
        <w:tc>
          <w:tcPr>
            <w:tcW w:w="78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-0.0022</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-0.0023</w:t>
            </w:r>
          </w:p>
        </w:tc>
        <w:tc>
          <w:tcPr>
            <w:tcW w:w="87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-0.0071</w:t>
            </w:r>
          </w:p>
        </w:tc>
        <w:tc>
          <w:tcPr>
            <w:tcW w:w="90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-0.0073</w:t>
            </w:r>
          </w:p>
        </w:tc>
        <w:tc>
          <w:tcPr>
            <w:tcW w:w="89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-0.0069</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0.0020</w:t>
            </w:r>
          </w:p>
        </w:tc>
        <w:tc>
          <w:tcPr>
            <w:tcW w:w="90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-0.0019</w:t>
            </w:r>
          </w:p>
        </w:tc>
      </w:tr>
      <w:tr w:rsidR="00BC6EFF">
        <w:trPr>
          <w:trHeight w:val="396"/>
        </w:trPr>
        <w:tc>
          <w:tcPr>
            <w:tcW w:w="659"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5</w:t>
            </w:r>
          </w:p>
        </w:tc>
        <w:tc>
          <w:tcPr>
            <w:tcW w:w="78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-0.0050</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-0.0100</w:t>
            </w:r>
          </w:p>
        </w:tc>
        <w:tc>
          <w:tcPr>
            <w:tcW w:w="87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-0.0068</w:t>
            </w:r>
          </w:p>
        </w:tc>
        <w:tc>
          <w:tcPr>
            <w:tcW w:w="90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-0.0065</w:t>
            </w:r>
          </w:p>
        </w:tc>
        <w:tc>
          <w:tcPr>
            <w:tcW w:w="89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-0.0070</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0.0017</w:t>
            </w:r>
          </w:p>
        </w:tc>
        <w:tc>
          <w:tcPr>
            <w:tcW w:w="90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-0.0013</w:t>
            </w:r>
          </w:p>
        </w:tc>
      </w:tr>
      <w:tr w:rsidR="00BC6EFF">
        <w:trPr>
          <w:trHeight w:val="396"/>
        </w:trPr>
        <w:tc>
          <w:tcPr>
            <w:tcW w:w="659"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10</w:t>
            </w:r>
          </w:p>
        </w:tc>
        <w:tc>
          <w:tcPr>
            <w:tcW w:w="78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0.0011</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87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-0.0071</w:t>
            </w:r>
          </w:p>
        </w:tc>
        <w:tc>
          <w:tcPr>
            <w:tcW w:w="90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-0.0071</w:t>
            </w:r>
          </w:p>
        </w:tc>
        <w:tc>
          <w:tcPr>
            <w:tcW w:w="89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-0.0071</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-0.0012</w:t>
            </w:r>
          </w:p>
        </w:tc>
        <w:tc>
          <w:tcPr>
            <w:tcW w:w="90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w:t>
            </w:r>
          </w:p>
        </w:tc>
      </w:tr>
      <w:tr w:rsidR="00BC6EFF">
        <w:trPr>
          <w:trHeight w:val="396"/>
        </w:trPr>
        <w:tc>
          <w:tcPr>
            <w:tcW w:w="659" w:type="dxa"/>
            <w:tcBorders>
              <w:bottom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50</w:t>
            </w:r>
          </w:p>
        </w:tc>
        <w:tc>
          <w:tcPr>
            <w:tcW w:w="786" w:type="dxa"/>
            <w:tcBorders>
              <w:bottom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w:t>
            </w:r>
          </w:p>
        </w:tc>
        <w:tc>
          <w:tcPr>
            <w:tcW w:w="810" w:type="dxa"/>
            <w:tcBorders>
              <w:bottom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-0.0097</w:t>
            </w:r>
          </w:p>
        </w:tc>
        <w:tc>
          <w:tcPr>
            <w:tcW w:w="874" w:type="dxa"/>
            <w:tcBorders>
              <w:bottom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-0.0072</w:t>
            </w:r>
          </w:p>
        </w:tc>
        <w:tc>
          <w:tcPr>
            <w:tcW w:w="904" w:type="dxa"/>
            <w:tcBorders>
              <w:bottom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-0.0072</w:t>
            </w:r>
          </w:p>
        </w:tc>
        <w:tc>
          <w:tcPr>
            <w:tcW w:w="896" w:type="dxa"/>
            <w:tcBorders>
              <w:bottom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-0.0070</w:t>
            </w:r>
          </w:p>
        </w:tc>
        <w:tc>
          <w:tcPr>
            <w:tcW w:w="810" w:type="dxa"/>
            <w:tcBorders>
              <w:bottom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w:t>
            </w:r>
          </w:p>
        </w:tc>
        <w:tc>
          <w:tcPr>
            <w:tcW w:w="90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r>
      <w:tr w:rsidR="00BC6EFF">
        <w:trPr>
          <w:trHeight w:val="396"/>
        </w:trPr>
        <w:tc>
          <w:tcPr>
            <w:tcW w:w="6639" w:type="dxa"/>
            <w:gridSpan w:val="8"/>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before="40" w:after="0" w:line="240" w:lineRule="auto"/>
              <w:jc w:val="center"/>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with 1 case of AS</w:t>
            </w:r>
          </w:p>
        </w:tc>
      </w:tr>
      <w:tr w:rsidR="00BC6EFF">
        <w:trPr>
          <w:trHeight w:val="396"/>
        </w:trPr>
        <w:tc>
          <w:tcPr>
            <w:tcW w:w="659"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0</w:t>
            </w:r>
          </w:p>
        </w:tc>
        <w:tc>
          <w:tcPr>
            <w:tcW w:w="786"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10"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74"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04"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96"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10"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00" w:type="dxa"/>
            <w:tcBorders>
              <w:top w:val="single" w:sz="8" w:space="0" w:color="000000"/>
            </w:tcBorders>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r>
      <w:tr w:rsidR="00BC6EFF">
        <w:trPr>
          <w:trHeight w:val="396"/>
        </w:trPr>
        <w:tc>
          <w:tcPr>
            <w:tcW w:w="659"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1</w:t>
            </w:r>
          </w:p>
        </w:tc>
        <w:tc>
          <w:tcPr>
            <w:tcW w:w="78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-0.0080</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0.0019</w:t>
            </w:r>
          </w:p>
        </w:tc>
        <w:tc>
          <w:tcPr>
            <w:tcW w:w="87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-0.0021</w:t>
            </w:r>
          </w:p>
        </w:tc>
        <w:tc>
          <w:tcPr>
            <w:tcW w:w="90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0.0020</w:t>
            </w:r>
          </w:p>
        </w:tc>
        <w:tc>
          <w:tcPr>
            <w:tcW w:w="89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-0.0054</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-0.0014</w:t>
            </w:r>
          </w:p>
        </w:tc>
        <w:tc>
          <w:tcPr>
            <w:tcW w:w="90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0.0026</w:t>
            </w:r>
          </w:p>
        </w:tc>
      </w:tr>
      <w:tr w:rsidR="00BC6EFF">
        <w:trPr>
          <w:trHeight w:val="396"/>
        </w:trPr>
        <w:tc>
          <w:tcPr>
            <w:tcW w:w="659"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5</w:t>
            </w:r>
          </w:p>
        </w:tc>
        <w:tc>
          <w:tcPr>
            <w:tcW w:w="78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0.0002</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-0.0021</w:t>
            </w:r>
          </w:p>
        </w:tc>
        <w:tc>
          <w:tcPr>
            <w:tcW w:w="87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0.0026</w:t>
            </w:r>
          </w:p>
        </w:tc>
        <w:tc>
          <w:tcPr>
            <w:tcW w:w="90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0.0001</w:t>
            </w:r>
          </w:p>
        </w:tc>
        <w:tc>
          <w:tcPr>
            <w:tcW w:w="89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0.0048</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90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0.0015</w:t>
            </w:r>
          </w:p>
        </w:tc>
      </w:tr>
      <w:tr w:rsidR="00BC6EFF">
        <w:trPr>
          <w:trHeight w:val="396"/>
        </w:trPr>
        <w:tc>
          <w:tcPr>
            <w:tcW w:w="659"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10</w:t>
            </w:r>
          </w:p>
        </w:tc>
        <w:tc>
          <w:tcPr>
            <w:tcW w:w="78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0.0020</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0.0032</w:t>
            </w:r>
          </w:p>
        </w:tc>
        <w:tc>
          <w:tcPr>
            <w:tcW w:w="87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0.0031</w:t>
            </w:r>
          </w:p>
        </w:tc>
        <w:tc>
          <w:tcPr>
            <w:tcW w:w="90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-0.0039</w:t>
            </w:r>
          </w:p>
        </w:tc>
        <w:tc>
          <w:tcPr>
            <w:tcW w:w="89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0.0032</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-0.0017</w:t>
            </w:r>
          </w:p>
        </w:tc>
        <w:tc>
          <w:tcPr>
            <w:tcW w:w="90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-0.0027</w:t>
            </w:r>
          </w:p>
        </w:tc>
      </w:tr>
      <w:tr w:rsidR="00BC6EFF">
        <w:trPr>
          <w:trHeight w:val="396"/>
        </w:trPr>
        <w:tc>
          <w:tcPr>
            <w:tcW w:w="659"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b/>
                <w:color w:val="000000"/>
                <w:sz w:val="16"/>
                <w:szCs w:val="16"/>
                <w:lang w:eastAsia="ja-JP"/>
              </w:rPr>
            </w:pPr>
            <w:r>
              <w:rPr>
                <w:rFonts w:ascii="Times New Roman" w:eastAsia="Times New Roman" w:hAnsi="Times New Roman"/>
                <w:b/>
                <w:color w:val="000000"/>
                <w:sz w:val="16"/>
                <w:szCs w:val="16"/>
                <w:lang w:eastAsia="ja-JP"/>
              </w:rPr>
              <w:t>50</w:t>
            </w:r>
          </w:p>
        </w:tc>
        <w:tc>
          <w:tcPr>
            <w:tcW w:w="78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-0.0079</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0.0029</w:t>
            </w:r>
          </w:p>
        </w:tc>
        <w:tc>
          <w:tcPr>
            <w:tcW w:w="87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0.0014</w:t>
            </w:r>
          </w:p>
        </w:tc>
        <w:tc>
          <w:tcPr>
            <w:tcW w:w="904"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0.0001</w:t>
            </w:r>
          </w:p>
        </w:tc>
        <w:tc>
          <w:tcPr>
            <w:tcW w:w="896"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-0.0051</w:t>
            </w:r>
          </w:p>
        </w:tc>
        <w:tc>
          <w:tcPr>
            <w:tcW w:w="81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-0.0023</w:t>
            </w:r>
          </w:p>
        </w:tc>
        <w:tc>
          <w:tcPr>
            <w:tcW w:w="900" w:type="dxa"/>
            <w:shd w:val="clear" w:color="auto" w:fill="auto"/>
            <w:noWrap/>
            <w:tcMar>
              <w:top w:w="0" w:type="dxa"/>
              <w:left w:w="108" w:type="dxa"/>
              <w:bottom w:w="0" w:type="dxa"/>
              <w:right w:w="108" w:type="dxa"/>
            </w:tcMar>
            <w:vAlign w:val="bottom"/>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-0.0021</w:t>
            </w:r>
          </w:p>
        </w:tc>
      </w:tr>
    </w:tbl>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shd w:val="clear" w:color="auto" w:fill="FFFFFF"/>
        <w:spacing w:after="0" w:line="240" w:lineRule="auto"/>
        <w:rPr>
          <w:rFonts w:ascii="Segoe UI" w:eastAsia="Times New Roman" w:hAnsi="Segoe UI" w:cs="Segoe UI"/>
          <w:color w:val="000000"/>
          <w:sz w:val="20"/>
          <w:szCs w:val="20"/>
        </w:rPr>
      </w:pPr>
    </w:p>
    <w:tbl>
      <w:tblPr>
        <w:tblW w:w="10384" w:type="dxa"/>
        <w:tblInd w:w="-5" w:type="dxa"/>
        <w:tblLayout w:type="fixed"/>
        <w:tblCellMar>
          <w:left w:w="10" w:type="dxa"/>
          <w:right w:w="10" w:type="dxa"/>
        </w:tblCellMar>
        <w:tblLook w:val="04A0" w:firstRow="1" w:lastRow="0" w:firstColumn="1" w:lastColumn="0" w:noHBand="0" w:noVBand="1"/>
      </w:tblPr>
      <w:tblGrid>
        <w:gridCol w:w="521"/>
        <w:gridCol w:w="1014"/>
        <w:gridCol w:w="968"/>
        <w:gridCol w:w="894"/>
        <w:gridCol w:w="973"/>
        <w:gridCol w:w="225"/>
        <w:gridCol w:w="704"/>
        <w:gridCol w:w="212"/>
        <w:gridCol w:w="907"/>
        <w:gridCol w:w="933"/>
        <w:gridCol w:w="61"/>
        <w:gridCol w:w="992"/>
        <w:gridCol w:w="973"/>
        <w:gridCol w:w="17"/>
        <w:gridCol w:w="990"/>
      </w:tblGrid>
      <w:tr w:rsidR="00BC6EFF">
        <w:trPr>
          <w:trHeight w:val="332"/>
        </w:trPr>
        <w:tc>
          <w:tcPr>
            <w:tcW w:w="10384" w:type="dxa"/>
            <w:gridSpan w:val="15"/>
            <w:shd w:val="clear" w:color="auto" w:fill="auto"/>
            <w:noWrap/>
            <w:tcMar>
              <w:top w:w="0" w:type="dxa"/>
              <w:left w:w="108" w:type="dxa"/>
              <w:bottom w:w="0" w:type="dxa"/>
              <w:right w:w="108" w:type="dxa"/>
            </w:tcMar>
          </w:tcPr>
          <w:p w:rsidR="00BC6EFF" w:rsidRDefault="00756E09">
            <w:pPr>
              <w:spacing w:before="40" w:after="0" w:line="240" w:lineRule="auto"/>
            </w:pPr>
            <w:r>
              <w:rPr>
                <w:rFonts w:ascii="Times" w:eastAsia="Times New Roman" w:hAnsi="Times"/>
                <w:b/>
                <w:bCs/>
                <w:i/>
                <w:lang w:eastAsia="en-GB"/>
              </w:rPr>
              <w:t>Table S4. Median values of correlation values between the different simulated lags in the three-year models</w:t>
            </w:r>
          </w:p>
        </w:tc>
      </w:tr>
      <w:tr w:rsidR="00BC6EFF">
        <w:trPr>
          <w:trHeight w:val="1188"/>
        </w:trPr>
        <w:tc>
          <w:tcPr>
            <w:tcW w:w="521" w:type="dxa"/>
            <w:tcBorders>
              <w:top w:val="single" w:sz="8" w:space="0" w:color="000000"/>
              <w:bottom w:val="single" w:sz="8" w:space="0" w:color="000000"/>
            </w:tcBorders>
            <w:shd w:val="clear" w:color="auto" w:fill="auto"/>
            <w:noWrap/>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Lag</w:t>
            </w:r>
          </w:p>
        </w:tc>
        <w:tc>
          <w:tcPr>
            <w:tcW w:w="1014" w:type="dxa"/>
            <w:tcBorders>
              <w:top w:val="single" w:sz="8" w:space="0" w:color="000000"/>
              <w:bottom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≥1 AS  case1 CS case</w:t>
            </w:r>
          </w:p>
        </w:tc>
        <w:tc>
          <w:tcPr>
            <w:tcW w:w="968" w:type="dxa"/>
            <w:tcBorders>
              <w:top w:val="single" w:sz="8" w:space="0" w:color="000000"/>
              <w:bottom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≥1 AS case 2 CS cases</w:t>
            </w:r>
          </w:p>
        </w:tc>
        <w:tc>
          <w:tcPr>
            <w:tcW w:w="894" w:type="dxa"/>
            <w:tcBorders>
              <w:top w:val="single" w:sz="8" w:space="0" w:color="000000"/>
              <w:bottom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≥1 AS case 3 CS cases</w:t>
            </w:r>
          </w:p>
        </w:tc>
        <w:tc>
          <w:tcPr>
            <w:tcW w:w="1198" w:type="dxa"/>
            <w:gridSpan w:val="2"/>
            <w:tcBorders>
              <w:top w:val="single" w:sz="8" w:space="0" w:color="000000"/>
              <w:bottom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proofErr w:type="spellStart"/>
            <w:r>
              <w:rPr>
                <w:rFonts w:ascii="Times New Roman" w:eastAsia="Times New Roman" w:hAnsi="Times New Roman"/>
                <w:b/>
                <w:bCs/>
                <w:sz w:val="18"/>
                <w:szCs w:val="18"/>
                <w:lang w:eastAsia="en-GB"/>
              </w:rPr>
              <w:t>Prob</w:t>
            </w:r>
            <w:proofErr w:type="spellEnd"/>
            <w:r>
              <w:rPr>
                <w:rFonts w:ascii="Times New Roman" w:eastAsia="Times New Roman" w:hAnsi="Times New Roman"/>
                <w:b/>
                <w:bCs/>
                <w:sz w:val="18"/>
                <w:szCs w:val="18"/>
                <w:lang w:eastAsia="en-GB"/>
              </w:rPr>
              <w:t xml:space="preserve"> of detecting  at least a holding with 2 AS cases </w:t>
            </w:r>
          </w:p>
        </w:tc>
        <w:tc>
          <w:tcPr>
            <w:tcW w:w="916" w:type="dxa"/>
            <w:gridSpan w:val="2"/>
            <w:tcBorders>
              <w:top w:val="single" w:sz="8" w:space="0" w:color="000000"/>
              <w:bottom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proofErr w:type="spellStart"/>
            <w:r>
              <w:rPr>
                <w:rFonts w:ascii="Times New Roman" w:eastAsia="Times New Roman" w:hAnsi="Times New Roman"/>
                <w:b/>
                <w:bCs/>
                <w:sz w:val="18"/>
                <w:szCs w:val="18"/>
                <w:lang w:eastAsia="en-GB"/>
              </w:rPr>
              <w:t>Prob</w:t>
            </w:r>
            <w:proofErr w:type="spellEnd"/>
            <w:r>
              <w:rPr>
                <w:rFonts w:ascii="Times New Roman" w:eastAsia="Times New Roman" w:hAnsi="Times New Roman"/>
                <w:b/>
                <w:bCs/>
                <w:sz w:val="18"/>
                <w:szCs w:val="18"/>
                <w:lang w:eastAsia="en-GB"/>
              </w:rPr>
              <w:t xml:space="preserve"> of detecting ≥1 AS  case 1 CS case</w:t>
            </w:r>
          </w:p>
        </w:tc>
        <w:tc>
          <w:tcPr>
            <w:tcW w:w="907" w:type="dxa"/>
            <w:tcBorders>
              <w:top w:val="single" w:sz="8" w:space="0" w:color="000000"/>
              <w:bottom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proofErr w:type="spellStart"/>
            <w:r>
              <w:rPr>
                <w:rFonts w:ascii="Times New Roman" w:eastAsia="Times New Roman" w:hAnsi="Times New Roman"/>
                <w:b/>
                <w:bCs/>
                <w:sz w:val="18"/>
                <w:szCs w:val="18"/>
                <w:lang w:eastAsia="en-GB"/>
              </w:rPr>
              <w:t>Prob</w:t>
            </w:r>
            <w:proofErr w:type="spellEnd"/>
            <w:r>
              <w:rPr>
                <w:rFonts w:ascii="Times New Roman" w:eastAsia="Times New Roman" w:hAnsi="Times New Roman"/>
                <w:b/>
                <w:bCs/>
                <w:sz w:val="18"/>
                <w:szCs w:val="18"/>
                <w:lang w:eastAsia="en-GB"/>
              </w:rPr>
              <w:t xml:space="preserve"> of detecting ≥1 AS  case 2 CS case</w:t>
            </w:r>
          </w:p>
        </w:tc>
        <w:tc>
          <w:tcPr>
            <w:tcW w:w="994" w:type="dxa"/>
            <w:gridSpan w:val="2"/>
            <w:tcBorders>
              <w:top w:val="single" w:sz="8" w:space="0" w:color="000000"/>
              <w:bottom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proofErr w:type="spellStart"/>
            <w:r>
              <w:rPr>
                <w:rFonts w:ascii="Times New Roman" w:eastAsia="Times New Roman" w:hAnsi="Times New Roman"/>
                <w:b/>
                <w:bCs/>
                <w:sz w:val="18"/>
                <w:szCs w:val="18"/>
                <w:lang w:eastAsia="en-GB"/>
              </w:rPr>
              <w:t>Prob</w:t>
            </w:r>
            <w:proofErr w:type="spellEnd"/>
            <w:r>
              <w:rPr>
                <w:rFonts w:ascii="Times New Roman" w:eastAsia="Times New Roman" w:hAnsi="Times New Roman"/>
                <w:b/>
                <w:bCs/>
                <w:sz w:val="18"/>
                <w:szCs w:val="18"/>
                <w:lang w:eastAsia="en-GB"/>
              </w:rPr>
              <w:t xml:space="preserve"> of detecting ≥1 AS  case 3 CS case</w:t>
            </w:r>
          </w:p>
        </w:tc>
        <w:tc>
          <w:tcPr>
            <w:tcW w:w="992" w:type="dxa"/>
            <w:tcBorders>
              <w:top w:val="single" w:sz="8" w:space="0" w:color="000000"/>
              <w:bottom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with 1 AS case</w:t>
            </w:r>
          </w:p>
        </w:tc>
        <w:tc>
          <w:tcPr>
            <w:tcW w:w="990" w:type="dxa"/>
            <w:gridSpan w:val="2"/>
            <w:tcBorders>
              <w:top w:val="single" w:sz="8" w:space="0" w:color="000000"/>
              <w:bottom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with 2 AS cases</w:t>
            </w:r>
          </w:p>
        </w:tc>
        <w:tc>
          <w:tcPr>
            <w:tcW w:w="990" w:type="dxa"/>
            <w:tcBorders>
              <w:top w:val="single" w:sz="8" w:space="0" w:color="000000"/>
            </w:tcBorders>
            <w:shd w:val="clear" w:color="auto" w:fill="auto"/>
            <w:tcMar>
              <w:top w:w="0" w:type="dxa"/>
              <w:left w:w="108" w:type="dxa"/>
              <w:bottom w:w="0" w:type="dxa"/>
              <w:right w:w="108" w:type="dxa"/>
            </w:tcMar>
          </w:tcPr>
          <w:p w:rsidR="00BC6EFF" w:rsidRDefault="00756E09">
            <w:pPr>
              <w:spacing w:before="40" w:after="0" w:line="240" w:lineRule="auto"/>
              <w:rPr>
                <w:rFonts w:ascii="Times New Roman" w:eastAsia="Times New Roman" w:hAnsi="Times New Roman"/>
                <w:b/>
                <w:bCs/>
                <w:sz w:val="18"/>
                <w:szCs w:val="18"/>
                <w:lang w:eastAsia="en-GB"/>
              </w:rPr>
            </w:pPr>
            <w:r>
              <w:rPr>
                <w:rFonts w:ascii="Times New Roman" w:eastAsia="Times New Roman" w:hAnsi="Times New Roman"/>
                <w:b/>
                <w:bCs/>
                <w:sz w:val="18"/>
                <w:szCs w:val="18"/>
                <w:lang w:eastAsia="en-GB"/>
              </w:rPr>
              <w:t># holdings with 3 AS cases</w:t>
            </w:r>
          </w:p>
        </w:tc>
      </w:tr>
      <w:tr w:rsidR="00BC6EFF">
        <w:trPr>
          <w:trHeight w:val="408"/>
        </w:trPr>
        <w:tc>
          <w:tcPr>
            <w:tcW w:w="10384" w:type="dxa"/>
            <w:gridSpan w:val="15"/>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before="40" w:after="0" w:line="240" w:lineRule="auto"/>
              <w:jc w:val="center"/>
            </w:pPr>
            <w:r>
              <w:rPr>
                <w:rFonts w:ascii="Times New Roman" w:eastAsia="Times New Roman" w:hAnsi="Times New Roman"/>
                <w:b/>
                <w:bCs/>
                <w:sz w:val="18"/>
                <w:szCs w:val="18"/>
                <w:lang w:eastAsia="en-GB"/>
              </w:rPr>
              <w:t>2006-2009</w:t>
            </w:r>
          </w:p>
        </w:tc>
      </w:tr>
      <w:tr w:rsidR="00BC6EFF">
        <w:trPr>
          <w:trHeight w:val="408"/>
        </w:trPr>
        <w:tc>
          <w:tcPr>
            <w:tcW w:w="521"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w:t>
            </w:r>
          </w:p>
        </w:tc>
        <w:tc>
          <w:tcPr>
            <w:tcW w:w="1014"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68"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94"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73"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29"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119"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33"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053"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73"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007"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-0.0013</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-0.0075</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0.0032</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-0.0075</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-0.0005</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-0.0060</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-0.0007</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-0.0010</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5</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-0.0034</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-0.0071</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-0.0037</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-0.0073</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-0.0005</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0.0007</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-0.0048</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-0.0010</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-0.0023</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-0.0075</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0.0010</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-0.0075</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-0.0049</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0.0027</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-0.0010</w:t>
            </w:r>
          </w:p>
        </w:tc>
      </w:tr>
      <w:tr w:rsidR="00BC6EFF">
        <w:trPr>
          <w:trHeight w:val="408"/>
        </w:trPr>
        <w:tc>
          <w:tcPr>
            <w:tcW w:w="521"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50</w:t>
            </w:r>
          </w:p>
        </w:tc>
        <w:tc>
          <w:tcPr>
            <w:tcW w:w="1014"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0.0001</w:t>
            </w:r>
          </w:p>
        </w:tc>
        <w:tc>
          <w:tcPr>
            <w:tcW w:w="968"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-0.0068</w:t>
            </w:r>
          </w:p>
        </w:tc>
        <w:tc>
          <w:tcPr>
            <w:tcW w:w="894"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w:t>
            </w:r>
          </w:p>
        </w:tc>
        <w:tc>
          <w:tcPr>
            <w:tcW w:w="973"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-0.0021</w:t>
            </w:r>
          </w:p>
        </w:tc>
        <w:tc>
          <w:tcPr>
            <w:tcW w:w="929" w:type="dxa"/>
            <w:gridSpan w:val="2"/>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0.0039</w:t>
            </w:r>
          </w:p>
        </w:tc>
        <w:tc>
          <w:tcPr>
            <w:tcW w:w="1119" w:type="dxa"/>
            <w:gridSpan w:val="2"/>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-0.0068</w:t>
            </w:r>
          </w:p>
        </w:tc>
        <w:tc>
          <w:tcPr>
            <w:tcW w:w="933"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1053" w:type="dxa"/>
            <w:gridSpan w:val="2"/>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-0.0008</w:t>
            </w:r>
          </w:p>
        </w:tc>
        <w:tc>
          <w:tcPr>
            <w:tcW w:w="973"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-0.0018</w:t>
            </w:r>
          </w:p>
        </w:tc>
        <w:tc>
          <w:tcPr>
            <w:tcW w:w="1007" w:type="dxa"/>
            <w:gridSpan w:val="2"/>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-0.0010</w:t>
            </w:r>
          </w:p>
        </w:tc>
      </w:tr>
      <w:tr w:rsidR="00BC6EFF">
        <w:trPr>
          <w:trHeight w:val="408"/>
        </w:trPr>
        <w:tc>
          <w:tcPr>
            <w:tcW w:w="10384" w:type="dxa"/>
            <w:gridSpan w:val="15"/>
            <w:tcBorders>
              <w:top w:val="single" w:sz="8" w:space="0" w:color="000000"/>
              <w:bottom w:val="single" w:sz="8" w:space="0" w:color="000000"/>
            </w:tcBorders>
            <w:shd w:val="clear" w:color="auto" w:fill="auto"/>
            <w:noWrap/>
            <w:tcMar>
              <w:top w:w="0" w:type="dxa"/>
              <w:left w:w="108" w:type="dxa"/>
              <w:bottom w:w="0" w:type="dxa"/>
              <w:right w:w="108" w:type="dxa"/>
            </w:tcMar>
            <w:vAlign w:val="center"/>
          </w:tcPr>
          <w:p w:rsidR="00BC6EFF" w:rsidRDefault="00756E09">
            <w:pPr>
              <w:spacing w:before="40" w:after="0" w:line="240" w:lineRule="auto"/>
              <w:jc w:val="center"/>
            </w:pPr>
            <w:r>
              <w:rPr>
                <w:rFonts w:ascii="Times New Roman" w:eastAsia="Times New Roman" w:hAnsi="Times New Roman"/>
                <w:b/>
                <w:bCs/>
                <w:sz w:val="18"/>
                <w:szCs w:val="18"/>
                <w:lang w:eastAsia="en-GB"/>
              </w:rPr>
              <w:t>2007-2010</w:t>
            </w:r>
          </w:p>
        </w:tc>
      </w:tr>
      <w:tr w:rsidR="00BC6EFF">
        <w:trPr>
          <w:trHeight w:val="408"/>
        </w:trPr>
        <w:tc>
          <w:tcPr>
            <w:tcW w:w="521"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w:t>
            </w:r>
          </w:p>
        </w:tc>
        <w:tc>
          <w:tcPr>
            <w:tcW w:w="1014"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68"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94"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73"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29"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119"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33"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053"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73"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007"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-0.00321</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-0.00382</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-0.00289</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0.004353</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-0.00382</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0.005677</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-0.0047</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-0.0005</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5</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-0.00157</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-0.00342</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0.000647</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-0.00333</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-0.00342</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0.000134</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-0.00043</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-0.0005</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0.003968</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-0.00383</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-0.00216</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0.007838</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-0.00383</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0.004421</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-0.00431</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-0.0005</w:t>
            </w:r>
          </w:p>
        </w:tc>
      </w:tr>
      <w:tr w:rsidR="00BC6EFF">
        <w:trPr>
          <w:trHeight w:val="408"/>
        </w:trPr>
        <w:tc>
          <w:tcPr>
            <w:tcW w:w="521"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50</w:t>
            </w:r>
          </w:p>
        </w:tc>
        <w:tc>
          <w:tcPr>
            <w:tcW w:w="1014"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0.00112</w:t>
            </w:r>
          </w:p>
        </w:tc>
        <w:tc>
          <w:tcPr>
            <w:tcW w:w="968"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-0.00349</w:t>
            </w:r>
          </w:p>
        </w:tc>
        <w:tc>
          <w:tcPr>
            <w:tcW w:w="894"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973"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-0.00295</w:t>
            </w:r>
          </w:p>
        </w:tc>
        <w:tc>
          <w:tcPr>
            <w:tcW w:w="929" w:type="dxa"/>
            <w:gridSpan w:val="2"/>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0.001661</w:t>
            </w:r>
          </w:p>
        </w:tc>
        <w:tc>
          <w:tcPr>
            <w:tcW w:w="1119" w:type="dxa"/>
            <w:gridSpan w:val="2"/>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-0.00349</w:t>
            </w:r>
          </w:p>
        </w:tc>
        <w:tc>
          <w:tcPr>
            <w:tcW w:w="933"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-0.0002</w:t>
            </w:r>
          </w:p>
        </w:tc>
        <w:tc>
          <w:tcPr>
            <w:tcW w:w="1053" w:type="dxa"/>
            <w:gridSpan w:val="2"/>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-0.00367</w:t>
            </w:r>
          </w:p>
        </w:tc>
        <w:tc>
          <w:tcPr>
            <w:tcW w:w="973" w:type="dxa"/>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-0.00011</w:t>
            </w:r>
          </w:p>
        </w:tc>
        <w:tc>
          <w:tcPr>
            <w:tcW w:w="1007" w:type="dxa"/>
            <w:gridSpan w:val="2"/>
            <w:tcBorders>
              <w:bottom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-0.00041</w:t>
            </w:r>
          </w:p>
        </w:tc>
      </w:tr>
      <w:tr w:rsidR="00BC6EFF">
        <w:trPr>
          <w:trHeight w:val="408"/>
        </w:trPr>
        <w:tc>
          <w:tcPr>
            <w:tcW w:w="10384" w:type="dxa"/>
            <w:gridSpan w:val="15"/>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before="40" w:after="0" w:line="240" w:lineRule="auto"/>
              <w:jc w:val="center"/>
            </w:pPr>
            <w:r>
              <w:rPr>
                <w:rFonts w:ascii="Times New Roman" w:eastAsia="Times New Roman" w:hAnsi="Times New Roman"/>
                <w:b/>
                <w:bCs/>
                <w:sz w:val="18"/>
                <w:szCs w:val="18"/>
                <w:lang w:eastAsia="en-GB"/>
              </w:rPr>
              <w:t>2008-2011</w:t>
            </w:r>
          </w:p>
        </w:tc>
      </w:tr>
      <w:tr w:rsidR="00BC6EFF">
        <w:trPr>
          <w:trHeight w:val="408"/>
        </w:trPr>
        <w:tc>
          <w:tcPr>
            <w:tcW w:w="521"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w:t>
            </w:r>
          </w:p>
        </w:tc>
        <w:tc>
          <w:tcPr>
            <w:tcW w:w="1014"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68"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894"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73"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29"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119"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33"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053"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973" w:type="dxa"/>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007" w:type="dxa"/>
            <w:gridSpan w:val="2"/>
            <w:tcBorders>
              <w:top w:val="single" w:sz="8" w:space="0" w:color="000000"/>
            </w:tcBorders>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-0.0042</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-0.0022</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0.0050</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-0.0042</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0.0011</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-0.0031</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-0.0008</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5</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0.0019</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-0.0046</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0.0030</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0.0020</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-0.0046</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-0.0055</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0.0012</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-0.0008</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10</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-0.0049</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-0.0046</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0.0028</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-0.0046</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-0.0003</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0.0006</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-0.0008</w:t>
            </w:r>
          </w:p>
        </w:tc>
      </w:tr>
      <w:tr w:rsidR="00BC6EFF">
        <w:trPr>
          <w:trHeight w:val="408"/>
        </w:trPr>
        <w:tc>
          <w:tcPr>
            <w:tcW w:w="521"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50</w:t>
            </w:r>
          </w:p>
        </w:tc>
        <w:tc>
          <w:tcPr>
            <w:tcW w:w="101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-0.0021</w:t>
            </w:r>
          </w:p>
        </w:tc>
        <w:tc>
          <w:tcPr>
            <w:tcW w:w="968"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-0.0043</w:t>
            </w:r>
          </w:p>
        </w:tc>
        <w:tc>
          <w:tcPr>
            <w:tcW w:w="894"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0.0081</w:t>
            </w:r>
          </w:p>
        </w:tc>
        <w:tc>
          <w:tcPr>
            <w:tcW w:w="92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1119"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-0.0043</w:t>
            </w:r>
          </w:p>
        </w:tc>
        <w:tc>
          <w:tcPr>
            <w:tcW w:w="93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-0.0004</w:t>
            </w:r>
          </w:p>
        </w:tc>
        <w:tc>
          <w:tcPr>
            <w:tcW w:w="1053"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-0.0007</w:t>
            </w:r>
          </w:p>
        </w:tc>
        <w:tc>
          <w:tcPr>
            <w:tcW w:w="973" w:type="dxa"/>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0.0017</w:t>
            </w:r>
          </w:p>
        </w:tc>
        <w:tc>
          <w:tcPr>
            <w:tcW w:w="1007" w:type="dxa"/>
            <w:gridSpan w:val="2"/>
            <w:shd w:val="clear" w:color="auto" w:fill="auto"/>
            <w:noWrap/>
            <w:tcMar>
              <w:top w:w="0" w:type="dxa"/>
              <w:left w:w="108" w:type="dxa"/>
              <w:bottom w:w="0" w:type="dxa"/>
              <w:right w:w="108" w:type="dxa"/>
            </w:tcMar>
            <w:vAlign w:val="center"/>
          </w:tcPr>
          <w:p w:rsidR="00BC6EFF" w:rsidRDefault="00756E09">
            <w:pPr>
              <w:spacing w:after="0" w:line="240" w:lineRule="auto"/>
              <w:jc w:val="center"/>
              <w:rPr>
                <w:rFonts w:ascii="Times New Roman" w:eastAsia="Times New Roman" w:hAnsi="Times New Roman"/>
                <w:color w:val="000000"/>
                <w:sz w:val="16"/>
                <w:szCs w:val="16"/>
                <w:lang w:eastAsia="ja-JP"/>
              </w:rPr>
            </w:pPr>
            <w:r>
              <w:rPr>
                <w:rFonts w:ascii="Times New Roman" w:eastAsia="Times New Roman" w:hAnsi="Times New Roman"/>
                <w:color w:val="000000"/>
                <w:sz w:val="16"/>
                <w:szCs w:val="16"/>
                <w:lang w:eastAsia="ja-JP"/>
              </w:rPr>
              <w:t>-0.0008</w:t>
            </w:r>
          </w:p>
        </w:tc>
      </w:tr>
    </w:tbl>
    <w:p w:rsidR="00BC6EFF" w:rsidRDefault="00BC6EFF">
      <w:pPr>
        <w:shd w:val="clear" w:color="auto" w:fill="FFFFFF"/>
        <w:spacing w:after="0" w:line="240" w:lineRule="auto"/>
        <w:rPr>
          <w:rFonts w:ascii="Segoe UI" w:eastAsia="Times New Roman" w:hAnsi="Segoe UI" w:cs="Segoe UI"/>
          <w:color w:val="000000"/>
          <w:sz w:val="20"/>
          <w:szCs w:val="20"/>
        </w:rPr>
      </w:pPr>
    </w:p>
    <w:p w:rsidR="00BC6EFF" w:rsidRDefault="00BC6EFF">
      <w:pPr>
        <w:rPr>
          <w:rFonts w:ascii="Times New Roman" w:eastAsia="Times New Roman" w:hAnsi="Times New Roman"/>
          <w:b/>
          <w:sz w:val="40"/>
          <w:szCs w:val="40"/>
        </w:rPr>
      </w:pPr>
    </w:p>
    <w:p w:rsidR="00BC6EFF" w:rsidRDefault="00BC6EFF"/>
    <w:p w:rsidR="00BB5A88" w:rsidRDefault="00BB5A88"/>
    <w:p w:rsidR="00BB5A88" w:rsidRDefault="00BB5A88"/>
    <w:p w:rsidR="00BB5A88" w:rsidRDefault="00BB5A88"/>
    <w:p w:rsidR="00BB5A88" w:rsidRDefault="00BB5A88"/>
    <w:p w:rsidR="00BB5A88" w:rsidRPr="00BB5A88" w:rsidRDefault="00BB5A88">
      <w:pPr>
        <w:rPr>
          <w:rFonts w:ascii="Times New Roman" w:hAnsi="Times New Roman"/>
          <w:b/>
          <w:sz w:val="24"/>
          <w:szCs w:val="24"/>
        </w:rPr>
      </w:pPr>
      <w:r w:rsidRPr="00BB5A88">
        <w:rPr>
          <w:rFonts w:ascii="Times New Roman" w:hAnsi="Times New Roman"/>
          <w:b/>
          <w:sz w:val="24"/>
          <w:szCs w:val="24"/>
        </w:rPr>
        <w:lastRenderedPageBreak/>
        <w:t>REFERENCES</w:t>
      </w:r>
    </w:p>
    <w:p w:rsidR="00BD17C3" w:rsidRDefault="00BD17C3" w:rsidP="00BD17C3">
      <w:pPr>
        <w:pStyle w:val="ListParagraph"/>
        <w:numPr>
          <w:ilvl w:val="0"/>
          <w:numId w:val="1"/>
        </w:numPr>
        <w:suppressAutoHyphens w:val="0"/>
        <w:autoSpaceDE w:val="0"/>
        <w:adjustRightInd w:val="0"/>
        <w:spacing w:after="0" w:line="360" w:lineRule="auto"/>
        <w:ind w:left="426" w:hanging="426"/>
        <w:jc w:val="both"/>
        <w:textAlignment w:val="auto"/>
        <w:rPr>
          <w:rFonts w:ascii="Times New Roman" w:hAnsi="Times New Roman"/>
          <w:sz w:val="24"/>
          <w:szCs w:val="24"/>
        </w:rPr>
      </w:pPr>
      <w:proofErr w:type="spellStart"/>
      <w:r w:rsidRPr="00517A08">
        <w:rPr>
          <w:rFonts w:ascii="Times New Roman" w:hAnsi="Times New Roman"/>
          <w:b/>
          <w:sz w:val="24"/>
          <w:szCs w:val="24"/>
        </w:rPr>
        <w:t>Gubbins</w:t>
      </w:r>
      <w:proofErr w:type="spellEnd"/>
      <w:r w:rsidRPr="00517A08">
        <w:rPr>
          <w:rFonts w:ascii="Times New Roman" w:hAnsi="Times New Roman"/>
          <w:b/>
          <w:sz w:val="24"/>
          <w:szCs w:val="24"/>
        </w:rPr>
        <w:t xml:space="preserve"> S.</w:t>
      </w:r>
      <w:r w:rsidRPr="00D365C0">
        <w:rPr>
          <w:rFonts w:ascii="Times New Roman" w:hAnsi="Times New Roman"/>
          <w:sz w:val="24"/>
          <w:szCs w:val="24"/>
        </w:rPr>
        <w:t xml:space="preserve"> Prevalence of sheep infected with classical scrapie in Great Britain: integrating multiple sources of surveillance data for 2002. </w:t>
      </w:r>
      <w:r w:rsidRPr="00D365C0">
        <w:rPr>
          <w:rFonts w:ascii="Times New Roman" w:hAnsi="Times New Roman"/>
          <w:i/>
          <w:sz w:val="24"/>
          <w:szCs w:val="24"/>
        </w:rPr>
        <w:t>Journal of the Royal Society Interface</w:t>
      </w:r>
      <w:r w:rsidRPr="00D365C0">
        <w:rPr>
          <w:rFonts w:ascii="Times New Roman" w:hAnsi="Times New Roman"/>
          <w:sz w:val="24"/>
          <w:szCs w:val="24"/>
        </w:rPr>
        <w:t xml:space="preserve"> </w:t>
      </w:r>
      <w:r>
        <w:rPr>
          <w:rFonts w:ascii="Times New Roman" w:hAnsi="Times New Roman"/>
          <w:sz w:val="24"/>
          <w:szCs w:val="24"/>
        </w:rPr>
        <w:t xml:space="preserve">2008; </w:t>
      </w:r>
      <w:r w:rsidRPr="00517A08">
        <w:rPr>
          <w:rFonts w:ascii="Times New Roman" w:hAnsi="Times New Roman"/>
          <w:b/>
          <w:sz w:val="24"/>
          <w:szCs w:val="24"/>
        </w:rPr>
        <w:t>5</w:t>
      </w:r>
      <w:r>
        <w:rPr>
          <w:rFonts w:ascii="Times New Roman" w:hAnsi="Times New Roman"/>
          <w:sz w:val="24"/>
          <w:szCs w:val="24"/>
        </w:rPr>
        <w:t>:</w:t>
      </w:r>
      <w:r w:rsidRPr="00D365C0">
        <w:rPr>
          <w:rFonts w:ascii="Times New Roman" w:hAnsi="Times New Roman"/>
          <w:sz w:val="24"/>
          <w:szCs w:val="24"/>
        </w:rPr>
        <w:t xml:space="preserve"> 1343-1351</w:t>
      </w:r>
      <w:r>
        <w:rPr>
          <w:rFonts w:ascii="Times New Roman" w:hAnsi="Times New Roman"/>
          <w:sz w:val="24"/>
          <w:szCs w:val="24"/>
        </w:rPr>
        <w:t>.</w:t>
      </w:r>
      <w:r w:rsidRPr="00D365C0">
        <w:rPr>
          <w:rFonts w:ascii="Times New Roman" w:hAnsi="Times New Roman"/>
          <w:sz w:val="24"/>
          <w:szCs w:val="24"/>
        </w:rPr>
        <w:t xml:space="preserve"> </w:t>
      </w:r>
    </w:p>
    <w:p w:rsidR="00BD17C3" w:rsidRPr="00D365C0" w:rsidRDefault="00BD17C3" w:rsidP="00BD17C3">
      <w:pPr>
        <w:pStyle w:val="ListParagraph"/>
        <w:numPr>
          <w:ilvl w:val="0"/>
          <w:numId w:val="1"/>
        </w:numPr>
        <w:suppressAutoHyphens w:val="0"/>
        <w:autoSpaceDN/>
        <w:spacing w:after="0" w:line="360" w:lineRule="auto"/>
        <w:ind w:left="426" w:hanging="426"/>
        <w:jc w:val="both"/>
        <w:textAlignment w:val="auto"/>
        <w:rPr>
          <w:rFonts w:ascii="Times New Roman" w:hAnsi="Times New Roman"/>
          <w:sz w:val="24"/>
          <w:szCs w:val="24"/>
        </w:rPr>
      </w:pPr>
      <w:proofErr w:type="spellStart"/>
      <w:r w:rsidRPr="00517A08">
        <w:rPr>
          <w:rFonts w:ascii="Times New Roman" w:hAnsi="Times New Roman"/>
          <w:b/>
          <w:sz w:val="24"/>
          <w:szCs w:val="24"/>
        </w:rPr>
        <w:t>Gubbins</w:t>
      </w:r>
      <w:proofErr w:type="spellEnd"/>
      <w:r w:rsidRPr="00517A08">
        <w:rPr>
          <w:rFonts w:ascii="Times New Roman" w:hAnsi="Times New Roman"/>
          <w:b/>
          <w:sz w:val="24"/>
          <w:szCs w:val="24"/>
        </w:rPr>
        <w:t xml:space="preserve"> S</w:t>
      </w:r>
      <w:r>
        <w:rPr>
          <w:rFonts w:ascii="Times New Roman" w:hAnsi="Times New Roman"/>
          <w:b/>
          <w:sz w:val="24"/>
          <w:szCs w:val="24"/>
        </w:rPr>
        <w:t>,</w:t>
      </w:r>
      <w:r w:rsidRPr="00517A08">
        <w:rPr>
          <w:rFonts w:ascii="Times New Roman" w:hAnsi="Times New Roman"/>
          <w:b/>
          <w:sz w:val="24"/>
          <w:szCs w:val="24"/>
        </w:rPr>
        <w:t xml:space="preserve"> </w:t>
      </w:r>
      <w:r w:rsidRPr="00517A08">
        <w:rPr>
          <w:rFonts w:ascii="Times New Roman" w:hAnsi="Times New Roman"/>
          <w:b/>
          <w:i/>
          <w:sz w:val="24"/>
          <w:szCs w:val="24"/>
        </w:rPr>
        <w:t>et al</w:t>
      </w:r>
      <w:r w:rsidRPr="00517A08">
        <w:rPr>
          <w:rFonts w:ascii="Times New Roman" w:hAnsi="Times New Roman"/>
          <w:b/>
          <w:sz w:val="24"/>
          <w:szCs w:val="24"/>
        </w:rPr>
        <w:t>.</w:t>
      </w:r>
      <w:r w:rsidRPr="00D365C0">
        <w:rPr>
          <w:rFonts w:ascii="Times New Roman" w:hAnsi="Times New Roman"/>
          <w:sz w:val="24"/>
          <w:szCs w:val="24"/>
        </w:rPr>
        <w:t xml:space="preserve"> Prevalence of scrapie infection in Great Britain: interpreting the results of the 1997-1998 abattoir survey. </w:t>
      </w:r>
      <w:r w:rsidRPr="00517A08">
        <w:rPr>
          <w:rFonts w:ascii="Times New Roman" w:hAnsi="Times New Roman"/>
          <w:i/>
          <w:sz w:val="24"/>
          <w:szCs w:val="24"/>
        </w:rPr>
        <w:t>Proceedings of the Royal Society</w:t>
      </w:r>
      <w:r>
        <w:rPr>
          <w:rFonts w:ascii="Times New Roman" w:hAnsi="Times New Roman"/>
          <w:i/>
          <w:sz w:val="24"/>
          <w:szCs w:val="24"/>
        </w:rPr>
        <w:t xml:space="preserve"> of London, Series B</w:t>
      </w:r>
      <w:r w:rsidRPr="00D365C0">
        <w:rPr>
          <w:rFonts w:ascii="Times New Roman" w:hAnsi="Times New Roman"/>
          <w:sz w:val="24"/>
          <w:szCs w:val="24"/>
        </w:rPr>
        <w:t xml:space="preserve"> 2003</w:t>
      </w:r>
      <w:r>
        <w:rPr>
          <w:rFonts w:ascii="Times New Roman" w:hAnsi="Times New Roman"/>
          <w:sz w:val="24"/>
          <w:szCs w:val="24"/>
        </w:rPr>
        <w:t>;</w:t>
      </w:r>
      <w:r w:rsidRPr="00D365C0" w:rsidDel="005E0990">
        <w:rPr>
          <w:rFonts w:ascii="Times New Roman" w:hAnsi="Times New Roman"/>
          <w:sz w:val="24"/>
          <w:szCs w:val="24"/>
        </w:rPr>
        <w:t xml:space="preserve"> </w:t>
      </w:r>
      <w:r w:rsidRPr="00517A08">
        <w:rPr>
          <w:rFonts w:ascii="Times New Roman" w:hAnsi="Times New Roman"/>
          <w:b/>
          <w:sz w:val="24"/>
          <w:szCs w:val="24"/>
        </w:rPr>
        <w:t>270</w:t>
      </w:r>
      <w:r>
        <w:rPr>
          <w:rFonts w:ascii="Times New Roman" w:hAnsi="Times New Roman"/>
          <w:sz w:val="24"/>
          <w:szCs w:val="24"/>
        </w:rPr>
        <w:t>:</w:t>
      </w:r>
      <w:r w:rsidRPr="00D365C0">
        <w:rPr>
          <w:rFonts w:ascii="Times New Roman" w:hAnsi="Times New Roman"/>
          <w:sz w:val="24"/>
          <w:szCs w:val="24"/>
        </w:rPr>
        <w:t xml:space="preserve"> 1919-1924</w:t>
      </w:r>
      <w:r>
        <w:rPr>
          <w:rFonts w:ascii="Times New Roman" w:hAnsi="Times New Roman"/>
          <w:sz w:val="24"/>
          <w:szCs w:val="24"/>
        </w:rPr>
        <w:t>.</w:t>
      </w:r>
    </w:p>
    <w:p w:rsidR="00BD17C3" w:rsidRPr="00D365C0" w:rsidRDefault="00BD17C3" w:rsidP="00BD17C3">
      <w:pPr>
        <w:pStyle w:val="ListParagraph"/>
        <w:numPr>
          <w:ilvl w:val="0"/>
          <w:numId w:val="1"/>
        </w:numPr>
        <w:suppressAutoHyphens w:val="0"/>
        <w:autoSpaceDN/>
        <w:spacing w:after="0" w:line="360" w:lineRule="auto"/>
        <w:ind w:left="426" w:hanging="426"/>
        <w:jc w:val="both"/>
        <w:textAlignment w:val="auto"/>
        <w:rPr>
          <w:rFonts w:ascii="Times New Roman" w:hAnsi="Times New Roman"/>
          <w:sz w:val="24"/>
          <w:szCs w:val="24"/>
        </w:rPr>
      </w:pPr>
      <w:r w:rsidRPr="00517A08">
        <w:rPr>
          <w:rFonts w:ascii="Times New Roman" w:hAnsi="Times New Roman"/>
          <w:b/>
          <w:sz w:val="24"/>
          <w:szCs w:val="24"/>
        </w:rPr>
        <w:t>Arnold M, Ortiz-Pelaez A.</w:t>
      </w:r>
      <w:r w:rsidRPr="00D365C0">
        <w:rPr>
          <w:rFonts w:ascii="Times New Roman" w:hAnsi="Times New Roman"/>
          <w:sz w:val="24"/>
          <w:szCs w:val="24"/>
        </w:rPr>
        <w:t xml:space="preserve"> The evolution of the prevalence of classical scrapie in sheep in Great Britain using surveillance data between 2005 and 2012. </w:t>
      </w:r>
      <w:r w:rsidRPr="00517A08">
        <w:rPr>
          <w:rFonts w:ascii="Times New Roman" w:hAnsi="Times New Roman"/>
          <w:i/>
          <w:sz w:val="24"/>
          <w:szCs w:val="24"/>
        </w:rPr>
        <w:t>Preventive Veterinary Medicine</w:t>
      </w:r>
      <w:r w:rsidRPr="00D365C0">
        <w:rPr>
          <w:rFonts w:ascii="Times New Roman" w:hAnsi="Times New Roman"/>
          <w:sz w:val="24"/>
          <w:szCs w:val="24"/>
        </w:rPr>
        <w:t xml:space="preserve"> 2014;</w:t>
      </w:r>
      <w:r>
        <w:rPr>
          <w:rFonts w:ascii="Times New Roman" w:hAnsi="Times New Roman"/>
          <w:sz w:val="24"/>
          <w:szCs w:val="24"/>
        </w:rPr>
        <w:t xml:space="preserve"> </w:t>
      </w:r>
      <w:r w:rsidRPr="00517A08">
        <w:rPr>
          <w:rFonts w:ascii="Times New Roman" w:hAnsi="Times New Roman"/>
          <w:b/>
          <w:sz w:val="24"/>
          <w:szCs w:val="24"/>
        </w:rPr>
        <w:t>117</w:t>
      </w:r>
      <w:r w:rsidRPr="00D365C0">
        <w:rPr>
          <w:rFonts w:ascii="Times New Roman" w:hAnsi="Times New Roman"/>
          <w:sz w:val="24"/>
          <w:szCs w:val="24"/>
        </w:rPr>
        <w:t>:</w:t>
      </w:r>
      <w:r>
        <w:rPr>
          <w:rFonts w:ascii="Times New Roman" w:hAnsi="Times New Roman"/>
          <w:sz w:val="24"/>
          <w:szCs w:val="24"/>
        </w:rPr>
        <w:t xml:space="preserve"> </w:t>
      </w:r>
      <w:r w:rsidRPr="00D365C0">
        <w:rPr>
          <w:rFonts w:ascii="Times New Roman" w:hAnsi="Times New Roman"/>
          <w:sz w:val="24"/>
          <w:szCs w:val="24"/>
        </w:rPr>
        <w:t>242-</w:t>
      </w:r>
      <w:r>
        <w:rPr>
          <w:rFonts w:ascii="Times New Roman" w:hAnsi="Times New Roman"/>
          <w:sz w:val="24"/>
          <w:szCs w:val="24"/>
        </w:rPr>
        <w:t>2</w:t>
      </w:r>
      <w:r w:rsidRPr="00D365C0">
        <w:rPr>
          <w:rFonts w:ascii="Times New Roman" w:hAnsi="Times New Roman"/>
          <w:sz w:val="24"/>
          <w:szCs w:val="24"/>
        </w:rPr>
        <w:t>50</w:t>
      </w:r>
      <w:r>
        <w:rPr>
          <w:rFonts w:ascii="Times New Roman" w:hAnsi="Times New Roman"/>
          <w:sz w:val="24"/>
          <w:szCs w:val="24"/>
        </w:rPr>
        <w:t>.</w:t>
      </w:r>
    </w:p>
    <w:p w:rsidR="00BD17C3" w:rsidRPr="00BD17C3" w:rsidRDefault="00BD17C3" w:rsidP="00BD17C3">
      <w:pPr>
        <w:rPr>
          <w:rFonts w:ascii="Times New Roman" w:hAnsi="Times New Roman"/>
          <w:sz w:val="24"/>
          <w:szCs w:val="24"/>
        </w:rPr>
      </w:pPr>
    </w:p>
    <w:sectPr w:rsidR="00BD17C3" w:rsidRPr="00BD17C3" w:rsidSect="00D43663">
      <w:footerReference w:type="default" r:id="rId21"/>
      <w:pgSz w:w="11906" w:h="16838"/>
      <w:pgMar w:top="1440" w:right="1440" w:bottom="1276"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4A" w:rsidRDefault="00490F4A">
      <w:pPr>
        <w:spacing w:after="0" w:line="240" w:lineRule="auto"/>
      </w:pPr>
      <w:r>
        <w:separator/>
      </w:r>
    </w:p>
  </w:endnote>
  <w:endnote w:type="continuationSeparator" w:id="0">
    <w:p w:rsidR="00490F4A" w:rsidRDefault="0049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6E" w:rsidRDefault="00756E09">
    <w:pPr>
      <w:pStyle w:val="Footer"/>
      <w:jc w:val="center"/>
    </w:pPr>
    <w:r>
      <w:t xml:space="preserve">Page </w:t>
    </w:r>
    <w:r>
      <w:rPr>
        <w:b/>
        <w:bCs/>
      </w:rPr>
      <w:fldChar w:fldCharType="begin"/>
    </w:r>
    <w:r>
      <w:rPr>
        <w:b/>
        <w:bCs/>
      </w:rPr>
      <w:instrText xml:space="preserve"> PAGE </w:instrText>
    </w:r>
    <w:r>
      <w:rPr>
        <w:b/>
        <w:bCs/>
      </w:rPr>
      <w:fldChar w:fldCharType="separate"/>
    </w:r>
    <w:r w:rsidR="00D26D16">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D26D16">
      <w:rPr>
        <w:b/>
        <w:bCs/>
        <w:noProof/>
      </w:rPr>
      <w:t>8</w:t>
    </w:r>
    <w:r>
      <w:rPr>
        <w:b/>
        <w:bCs/>
      </w:rPr>
      <w:fldChar w:fldCharType="end"/>
    </w:r>
  </w:p>
  <w:p w:rsidR="0018646E" w:rsidRDefault="00490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4A" w:rsidRDefault="00490F4A">
      <w:pPr>
        <w:spacing w:after="0" w:line="240" w:lineRule="auto"/>
      </w:pPr>
      <w:r>
        <w:rPr>
          <w:color w:val="000000"/>
        </w:rPr>
        <w:separator/>
      </w:r>
    </w:p>
  </w:footnote>
  <w:footnote w:type="continuationSeparator" w:id="0">
    <w:p w:rsidR="00490F4A" w:rsidRDefault="00490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96F30"/>
    <w:multiLevelType w:val="hybridMultilevel"/>
    <w:tmpl w:val="B794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51767"/>
    <w:multiLevelType w:val="hybridMultilevel"/>
    <w:tmpl w:val="B8F2C0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FF"/>
    <w:rsid w:val="0003201C"/>
    <w:rsid w:val="002C2CF8"/>
    <w:rsid w:val="00435236"/>
    <w:rsid w:val="00490F4A"/>
    <w:rsid w:val="00756E09"/>
    <w:rsid w:val="00B020DE"/>
    <w:rsid w:val="00B84CA5"/>
    <w:rsid w:val="00BB1C3B"/>
    <w:rsid w:val="00BB5A88"/>
    <w:rsid w:val="00BC6EFF"/>
    <w:rsid w:val="00BD17C3"/>
    <w:rsid w:val="00D26D16"/>
    <w:rsid w:val="00D4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BF0E1-0348-4528-B738-4B3496F6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rPr>
      <w:lang w:val="en-GB"/>
    </w:rPr>
  </w:style>
  <w:style w:type="character" w:customStyle="1" w:styleId="FooterChar">
    <w:name w:val="Footer Char"/>
    <w:basedOn w:val="DefaultParagraphFont"/>
    <w:rPr>
      <w:lang w:val="en-GB"/>
    </w:rPr>
  </w:style>
  <w:style w:type="character" w:styleId="LineNumber">
    <w:name w:val="line number"/>
    <w:basedOn w:val="DefaultParagraphFont"/>
  </w:style>
  <w:style w:type="paragraph" w:styleId="ListParagraph">
    <w:name w:val="List Paragraph"/>
    <w:basedOn w:val="Normal"/>
    <w:uiPriority w:val="34"/>
    <w:qFormat/>
    <w:rsid w:val="00BB5A88"/>
    <w:pPr>
      <w:ind w:left="720"/>
      <w:contextualSpacing/>
    </w:pPr>
  </w:style>
  <w:style w:type="character" w:styleId="CommentReference">
    <w:name w:val="annotation reference"/>
    <w:basedOn w:val="DefaultParagraphFont"/>
    <w:uiPriority w:val="99"/>
    <w:semiHidden/>
    <w:unhideWhenUsed/>
    <w:rsid w:val="00BD17C3"/>
    <w:rPr>
      <w:sz w:val="16"/>
      <w:szCs w:val="16"/>
    </w:rPr>
  </w:style>
  <w:style w:type="paragraph" w:styleId="CommentText">
    <w:name w:val="annotation text"/>
    <w:basedOn w:val="Normal"/>
    <w:link w:val="CommentTextChar"/>
    <w:uiPriority w:val="99"/>
    <w:semiHidden/>
    <w:unhideWhenUsed/>
    <w:rsid w:val="00BD17C3"/>
    <w:pPr>
      <w:suppressAutoHyphens w:val="0"/>
      <w:autoSpaceDN/>
      <w:spacing w:after="200" w:line="240" w:lineRule="auto"/>
      <w:textAlignment w:val="auto"/>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semiHidden/>
    <w:rsid w:val="00BD17C3"/>
    <w:rPr>
      <w:rFonts w:asciiTheme="minorHAnsi" w:eastAsiaTheme="minorEastAsia" w:hAnsiTheme="minorHAnsi" w:cstheme="minorBidi"/>
      <w:sz w:val="20"/>
      <w:szCs w:val="20"/>
      <w:lang w:val="en-GB"/>
    </w:rPr>
  </w:style>
  <w:style w:type="paragraph" w:styleId="BalloonText">
    <w:name w:val="Balloon Text"/>
    <w:basedOn w:val="Normal"/>
    <w:link w:val="BalloonTextChar"/>
    <w:uiPriority w:val="99"/>
    <w:semiHidden/>
    <w:unhideWhenUsed/>
    <w:rsid w:val="00BD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Ortiz Pelaez</dc:creator>
  <dc:description/>
  <cp:lastModifiedBy>User</cp:lastModifiedBy>
  <cp:revision>4</cp:revision>
  <dcterms:created xsi:type="dcterms:W3CDTF">2016-03-07T20:17:00Z</dcterms:created>
  <dcterms:modified xsi:type="dcterms:W3CDTF">2016-03-09T08:56:00Z</dcterms:modified>
</cp:coreProperties>
</file>