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8C" w:rsidRDefault="00A21A8C" w:rsidP="00C438B5">
      <w:pPr>
        <w:spacing w:line="480" w:lineRule="auto"/>
        <w:jc w:val="both"/>
        <w:rPr>
          <w:rFonts w:asciiTheme="majorHAnsi" w:hAnsiTheme="majorHAnsi" w:cstheme="minorHAnsi"/>
          <w:b/>
          <w:lang w:val="en-CA"/>
        </w:rPr>
      </w:pPr>
    </w:p>
    <w:p w:rsidR="00A21A8C" w:rsidRDefault="00A21A8C" w:rsidP="00C438B5">
      <w:pPr>
        <w:spacing w:line="480" w:lineRule="auto"/>
        <w:jc w:val="both"/>
        <w:rPr>
          <w:rFonts w:asciiTheme="majorHAnsi" w:hAnsiTheme="majorHAnsi" w:cstheme="minorHAnsi"/>
          <w:b/>
          <w:lang w:val="en-CA"/>
        </w:rPr>
      </w:pPr>
    </w:p>
    <w:p w:rsidR="00BD031B" w:rsidRPr="00A21A8C" w:rsidRDefault="00A21A8C" w:rsidP="00C438B5">
      <w:pPr>
        <w:spacing w:line="480" w:lineRule="auto"/>
        <w:jc w:val="both"/>
        <w:rPr>
          <w:rFonts w:asciiTheme="majorHAnsi" w:hAnsiTheme="majorHAnsi" w:cstheme="minorHAnsi"/>
          <w:b/>
          <w:lang w:val="en-CA"/>
        </w:rPr>
      </w:pPr>
      <w:bookmarkStart w:id="0" w:name="_GoBack"/>
      <w:bookmarkEnd w:id="0"/>
      <w:r w:rsidRPr="00A21A8C">
        <w:rPr>
          <w:rFonts w:asciiTheme="majorHAnsi" w:hAnsiTheme="majorHAnsi" w:cstheme="minorHAnsi"/>
          <w:b/>
          <w:lang w:val="en-CA"/>
        </w:rPr>
        <w:t>SUPPLEMENTARY MATERIAL</w:t>
      </w:r>
    </w:p>
    <w:p w:rsidR="00BD031B" w:rsidRDefault="00BD031B" w:rsidP="004A0977">
      <w:pPr>
        <w:spacing w:line="480" w:lineRule="auto"/>
        <w:rPr>
          <w:rFonts w:asciiTheme="majorHAnsi" w:hAnsiTheme="majorHAnsi" w:cstheme="minorHAnsi"/>
          <w:lang w:val="en-CA"/>
        </w:rPr>
      </w:pPr>
    </w:p>
    <w:p w:rsidR="006219CC" w:rsidRDefault="006219CC">
      <w:pPr>
        <w:spacing w:after="200" w:line="276" w:lineRule="auto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br w:type="page"/>
      </w:r>
    </w:p>
    <w:p w:rsidR="00ED2581" w:rsidRPr="00AE2C8B" w:rsidRDefault="00ED2581" w:rsidP="00C438B5">
      <w:pPr>
        <w:spacing w:line="480" w:lineRule="auto"/>
        <w:jc w:val="both"/>
        <w:rPr>
          <w:rFonts w:asciiTheme="majorHAnsi" w:hAnsiTheme="majorHAnsi" w:cstheme="minorHAnsi"/>
          <w:lang w:val="en-US"/>
        </w:rPr>
      </w:pPr>
      <w:r w:rsidRPr="00AE2C8B">
        <w:rPr>
          <w:rFonts w:asciiTheme="majorHAnsi" w:hAnsiTheme="majorHAnsi" w:cstheme="minorHAnsi"/>
          <w:lang w:val="en-CA"/>
        </w:rPr>
        <w:lastRenderedPageBreak/>
        <w:t>Supplement</w:t>
      </w:r>
      <w:r w:rsidR="005E73F6">
        <w:rPr>
          <w:rFonts w:asciiTheme="majorHAnsi" w:hAnsiTheme="majorHAnsi" w:cstheme="minorHAnsi"/>
          <w:lang w:val="en-CA"/>
        </w:rPr>
        <w:t>ary</w:t>
      </w:r>
      <w:r w:rsidRPr="00AE2C8B">
        <w:rPr>
          <w:rFonts w:asciiTheme="majorHAnsi" w:hAnsiTheme="majorHAnsi" w:cstheme="minorHAnsi"/>
          <w:lang w:val="en-CA"/>
        </w:rPr>
        <w:t xml:space="preserve"> Table </w:t>
      </w:r>
      <w:r w:rsidR="00BD031B">
        <w:rPr>
          <w:rFonts w:asciiTheme="majorHAnsi" w:hAnsiTheme="majorHAnsi" w:cstheme="minorHAnsi"/>
          <w:lang w:val="en-CA"/>
        </w:rPr>
        <w:t>S</w:t>
      </w:r>
      <w:r w:rsidRPr="00AE2C8B">
        <w:rPr>
          <w:rFonts w:asciiTheme="majorHAnsi" w:hAnsiTheme="majorHAnsi" w:cstheme="minorHAnsi"/>
          <w:lang w:val="en-CA"/>
        </w:rPr>
        <w:t xml:space="preserve">1: </w:t>
      </w:r>
      <w:r w:rsidRPr="00AE2C8B">
        <w:rPr>
          <w:rFonts w:asciiTheme="majorHAnsi" w:hAnsiTheme="majorHAnsi" w:cstheme="minorHAnsi"/>
          <w:lang w:val="en-US"/>
        </w:rPr>
        <w:t>Classification of lower tract respiratory infection codes according to the 10</w:t>
      </w:r>
      <w:r w:rsidRPr="00AE2C8B">
        <w:rPr>
          <w:rFonts w:asciiTheme="majorHAnsi" w:hAnsiTheme="majorHAnsi" w:cstheme="minorHAnsi"/>
          <w:vertAlign w:val="superscript"/>
          <w:lang w:val="en-US"/>
        </w:rPr>
        <w:t>th</w:t>
      </w:r>
      <w:r w:rsidRPr="00AE2C8B">
        <w:rPr>
          <w:rFonts w:asciiTheme="majorHAnsi" w:hAnsiTheme="majorHAnsi" w:cstheme="minorHAnsi"/>
          <w:lang w:val="en-US"/>
        </w:rPr>
        <w:t xml:space="preserve"> Revision of the International Classification of Diseases.</w:t>
      </w:r>
    </w:p>
    <w:tbl>
      <w:tblPr>
        <w:tblStyle w:val="Ombrageclair1"/>
        <w:tblpPr w:leftFromText="141" w:rightFromText="141" w:vertAnchor="text" w:horzAnchor="margin" w:tblpXSpec="center" w:tblpY="396"/>
        <w:tblW w:w="10490" w:type="dxa"/>
        <w:tblLayout w:type="fixed"/>
        <w:tblLook w:val="06A0" w:firstRow="1" w:lastRow="0" w:firstColumn="1" w:lastColumn="0" w:noHBand="1" w:noVBand="1"/>
      </w:tblPr>
      <w:tblGrid>
        <w:gridCol w:w="426"/>
        <w:gridCol w:w="4252"/>
        <w:gridCol w:w="1384"/>
        <w:gridCol w:w="4428"/>
      </w:tblGrid>
      <w:tr w:rsidR="00ED2581" w:rsidRPr="00AE2C8B" w:rsidTr="00DA2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gridSpan w:val="2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b w:val="0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lang w:val="en-CA"/>
              </w:rPr>
              <w:t>Category and subcategory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ICD-10 code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 w:val="0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Label</w:t>
            </w:r>
          </w:p>
        </w:tc>
      </w:tr>
      <w:tr w:rsidR="00ED2581" w:rsidRPr="00AE2C8B" w:rsidTr="00DA2101">
        <w:trPr>
          <w:trHeight w:val="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Category: Empyema</w:t>
            </w:r>
          </w:p>
        </w:tc>
      </w:tr>
      <w:tr w:rsidR="00ED2581" w:rsidRPr="00AE2C8B" w:rsidTr="00DA2101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Empyema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J86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Pyothorax</w:t>
            </w:r>
          </w:p>
        </w:tc>
      </w:tr>
      <w:tr w:rsidR="00ED2581" w:rsidRPr="00AE2C8B" w:rsidTr="00DA2101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Category: Pneumonia</w:t>
            </w:r>
          </w:p>
        </w:tc>
      </w:tr>
      <w:tr w:rsidR="00ED2581" w:rsidRPr="00AE2C8B" w:rsidTr="00DA210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0064" w:type="dxa"/>
            <w:gridSpan w:val="3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Subcategory: Lobar (pneumococcal) pneumonia</w:t>
            </w:r>
          </w:p>
        </w:tc>
      </w:tr>
      <w:tr w:rsidR="00ED2581" w:rsidRPr="00DA2101" w:rsidTr="00DA2101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 w:val="restart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Pneumococcal pneumonia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J13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Pneumonia due to Streptococcus </w:t>
            </w:r>
            <w:r w:rsidR="007A32F0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pneumonia</w:t>
            </w:r>
          </w:p>
        </w:tc>
      </w:tr>
      <w:tr w:rsidR="00ED2581" w:rsidRPr="00AE2C8B" w:rsidTr="00DA210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J18.1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Lobar pneumonia, unspecified</w:t>
            </w:r>
          </w:p>
        </w:tc>
      </w:tr>
      <w:tr w:rsidR="00ED2581" w:rsidRPr="00AE2C8B" w:rsidTr="00DA2101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0064" w:type="dxa"/>
            <w:gridSpan w:val="3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subcategory: Unspecified pneumonia</w:t>
            </w:r>
          </w:p>
        </w:tc>
      </w:tr>
      <w:tr w:rsidR="00ED2581" w:rsidRPr="00AE2C8B" w:rsidTr="00DA2101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Bacterial pneumonia unspecified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J15.9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Bacterial pneumonia, unspecified</w:t>
            </w:r>
          </w:p>
        </w:tc>
      </w:tr>
      <w:tr w:rsidR="00ED2581" w:rsidRPr="00AE2C8B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Bronchopneumonia, organism unspecified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J18.0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Bronchopneumonia, unspecified</w:t>
            </w:r>
          </w:p>
        </w:tc>
      </w:tr>
      <w:tr w:rsidR="00ED2581" w:rsidRPr="00AE2C8B" w:rsidTr="00DA210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 w:val="restart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Pneumonia, organism unspecified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J18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Pneumonia, organism unspecified</w:t>
            </w:r>
          </w:p>
        </w:tc>
      </w:tr>
      <w:tr w:rsidR="00ED2581" w:rsidRPr="00AE2C8B" w:rsidTr="00DA2101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J18.8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Other pneumonia, organism unspecified</w:t>
            </w:r>
          </w:p>
        </w:tc>
      </w:tr>
      <w:tr w:rsidR="00ED2581" w:rsidRPr="00AE2C8B" w:rsidTr="00DA2101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J18.9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Pneumonia, unspecified </w:t>
            </w:r>
          </w:p>
        </w:tc>
      </w:tr>
      <w:tr w:rsidR="00ED2581" w:rsidRPr="00AE2C8B" w:rsidTr="00DA210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0064" w:type="dxa"/>
            <w:gridSpan w:val="3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Subcategory: Other pneumonia</w:t>
            </w:r>
          </w:p>
        </w:tc>
      </w:tr>
      <w:tr w:rsidR="00ED2581" w:rsidRPr="00DA2101" w:rsidTr="00DA2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Viral pneumonia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J12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Viral pneumonia, not elsewhere classified</w:t>
            </w:r>
          </w:p>
        </w:tc>
      </w:tr>
      <w:tr w:rsidR="00ED2581" w:rsidRPr="00AE2C8B" w:rsidTr="00DA2101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Pneumonia due to adenovirus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J12.0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Adenoviral pneumonia</w:t>
            </w:r>
          </w:p>
        </w:tc>
      </w:tr>
      <w:tr w:rsidR="00ED2581" w:rsidRPr="00AE2C8B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Pneumonia due to respiratory syncytial virus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J12.1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Respiratory syncytial virus pneumonia</w:t>
            </w:r>
          </w:p>
        </w:tc>
      </w:tr>
      <w:tr w:rsidR="00ED2581" w:rsidRPr="00AE2C8B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Pneumonia due to parainfluenza virus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J12.2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Parainfluenza virus pneumonia</w:t>
            </w:r>
          </w:p>
        </w:tc>
      </w:tr>
      <w:tr w:rsidR="00ED2581" w:rsidRPr="00DA2101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Pneumonia due to SARS-associated coronavirus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</w:tr>
      <w:tr w:rsidR="00ED2581" w:rsidRPr="00AE2C8B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Pneumonia due to other virus not elsewhere classified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J12.8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Other viral pneumonia</w:t>
            </w:r>
          </w:p>
        </w:tc>
      </w:tr>
      <w:tr w:rsidR="00ED2581" w:rsidRPr="00AE2C8B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Viral pneumonia, unspecified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J12.9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Viral pneumonia, unspecified</w:t>
            </w:r>
          </w:p>
        </w:tc>
      </w:tr>
      <w:tr w:rsidR="00ED2581" w:rsidRPr="00DA2101" w:rsidTr="00DA2101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252" w:type="dxa"/>
            <w:vMerge w:val="restart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Influenza with pneumonia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J10.0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Influenza with pneumonia, other influenza virus identified</w:t>
            </w:r>
          </w:p>
        </w:tc>
      </w:tr>
      <w:tr w:rsidR="00ED2581" w:rsidRPr="00DA2101" w:rsidTr="00DA2101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J11.0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Influenza with pneumonia, virus not identified</w:t>
            </w:r>
          </w:p>
        </w:tc>
      </w:tr>
      <w:tr w:rsidR="00ED2581" w:rsidRPr="00DA2101" w:rsidTr="00DA210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Other bacterial pneumonia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Bacterial pneumonia, not elsewhere classified</w:t>
            </w:r>
          </w:p>
        </w:tc>
      </w:tr>
      <w:tr w:rsidR="00ED2581" w:rsidRPr="00DA2101" w:rsidTr="00DA2101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Pneumonia due to </w:t>
            </w:r>
            <w:r w:rsidRPr="00AE2C8B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Klebsiella</w:t>
            </w:r>
          </w:p>
          <w:p w:rsidR="00ED2581" w:rsidRPr="00AE2C8B" w:rsidRDefault="007A32F0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Pneumonia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J15.0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 xml:space="preserve">Pneumonia due to Klebsiella </w:t>
            </w:r>
            <w:r w:rsidR="007A32F0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pneumonia</w:t>
            </w:r>
          </w:p>
        </w:tc>
      </w:tr>
      <w:tr w:rsidR="00ED2581" w:rsidRPr="00AE2C8B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Pneumonia due to Pseudomonas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J15.1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Pneumonia due to Pseudomonas</w:t>
            </w:r>
          </w:p>
        </w:tc>
      </w:tr>
      <w:tr w:rsidR="00ED2581" w:rsidRPr="00DA2101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Pneumonia due to </w:t>
            </w:r>
            <w:r w:rsidRPr="00AE2C8B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Hemophilus</w:t>
            </w:r>
          </w:p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i/>
                <w:sz w:val="20"/>
                <w:szCs w:val="20"/>
                <w:lang w:val="en-US"/>
              </w:rPr>
              <w:t>influenzae</w:t>
            </w: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J14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 xml:space="preserve">Pneumonia due to Haemophilus </w:t>
            </w:r>
            <w:r w:rsidR="007A32F0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influenza</w:t>
            </w:r>
          </w:p>
        </w:tc>
      </w:tr>
      <w:tr w:rsidR="00ED2581" w:rsidRPr="00DA2101" w:rsidTr="00DA2101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 w:val="restart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Pneumonia due to Streptococcus**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J15.3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Pneumonia due to streptococcus, category B</w:t>
            </w:r>
          </w:p>
        </w:tc>
      </w:tr>
      <w:tr w:rsidR="00ED2581" w:rsidRPr="00DA2101" w:rsidTr="00DA2101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J15.4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Pneumonia due to other streptococci***</w:t>
            </w:r>
          </w:p>
        </w:tc>
      </w:tr>
      <w:tr w:rsidR="00ED2581" w:rsidRPr="00AE2C8B" w:rsidTr="00DA21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Pneumonia due to Staphylococcus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</w:rPr>
              <w:t>J15.2</w:t>
            </w:r>
          </w:p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Pneumonia due to staphylococcus</w:t>
            </w:r>
          </w:p>
        </w:tc>
      </w:tr>
      <w:tr w:rsidR="00ED2581" w:rsidRPr="00AE2C8B" w:rsidTr="00DA2101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 w:val="restart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Pneumonia due to other specified bacteria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J15.8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Other bacterial pneumonia</w:t>
            </w:r>
          </w:p>
        </w:tc>
      </w:tr>
      <w:tr w:rsidR="00ED2581" w:rsidRPr="00DA2101" w:rsidTr="00DA210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J15.5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Pneumonia due to Escherichia coli</w:t>
            </w:r>
          </w:p>
        </w:tc>
      </w:tr>
      <w:tr w:rsidR="00ED2581" w:rsidRPr="00DA2101" w:rsidTr="00DA2101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J15.6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Pneumonia due to other aerobic Gram-negative bacteria</w:t>
            </w:r>
          </w:p>
        </w:tc>
      </w:tr>
      <w:tr w:rsidR="00ED2581" w:rsidRPr="00DA2101" w:rsidTr="00DA2101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Pneumonia due to other specified organism 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J16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Pneumonia due to other infectious organisms, not elsewhere classified</w:t>
            </w:r>
          </w:p>
        </w:tc>
      </w:tr>
      <w:tr w:rsidR="00ED2581" w:rsidRPr="00DA2101" w:rsidTr="00DA2101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J15.7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bCs w:val="0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 xml:space="preserve">Pneumonia due to Mycoplasma </w:t>
            </w:r>
            <w:r w:rsidR="007A32F0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pneumonia</w:t>
            </w:r>
          </w:p>
        </w:tc>
      </w:tr>
      <w:tr w:rsidR="00ED2581" w:rsidRPr="00AE2C8B" w:rsidTr="00DA2101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J16.0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</w:rPr>
              <w:t>Chlamydial pneumonia</w:t>
            </w:r>
          </w:p>
        </w:tc>
      </w:tr>
      <w:tr w:rsidR="00ED2581" w:rsidRPr="00DA2101" w:rsidTr="00DA2101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Pneumonia in infectious </w:t>
            </w: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 xml:space="preserve"> diseases classified elsewhere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J17.X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Pneumonia in diseases classified elsewhere</w:t>
            </w:r>
          </w:p>
        </w:tc>
      </w:tr>
      <w:tr w:rsidR="00ED2581" w:rsidRPr="00AE2C8B" w:rsidTr="00DA2101">
        <w:trPr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 xml:space="preserve">Category:  Bronchiolitis - Bronchitis  </w:t>
            </w:r>
          </w:p>
        </w:tc>
      </w:tr>
      <w:tr w:rsidR="00ED2581" w:rsidRPr="00AE2C8B" w:rsidTr="00DA2101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0064" w:type="dxa"/>
            <w:gridSpan w:val="3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CA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Subcategory: Bronchiolitis</w:t>
            </w:r>
          </w:p>
        </w:tc>
      </w:tr>
      <w:tr w:rsidR="00ED2581" w:rsidRPr="00AE2C8B" w:rsidTr="00DA210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Acute bronchiolitis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J21.X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US"/>
              </w:rPr>
              <w:t xml:space="preserve">Acute bronchiolitis </w:t>
            </w:r>
          </w:p>
        </w:tc>
      </w:tr>
      <w:tr w:rsidR="00ED2581" w:rsidRPr="00AE2C8B" w:rsidTr="00DA210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CA"/>
              </w:rPr>
              <w:t>Subcategory: Bronchitis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US"/>
              </w:rPr>
            </w:pPr>
          </w:p>
        </w:tc>
      </w:tr>
      <w:tr w:rsidR="00ED2581" w:rsidRPr="00AE2C8B" w:rsidTr="00DA2101">
        <w:trPr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 w:val="restart"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Acute bronchitis</w:t>
            </w:r>
          </w:p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Bronchitis not specified as acute or chronic</w:t>
            </w: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J20.X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US"/>
              </w:rPr>
              <w:t xml:space="preserve">Acute bronchitis </w:t>
            </w:r>
          </w:p>
        </w:tc>
      </w:tr>
      <w:tr w:rsidR="00ED2581" w:rsidRPr="00DA2101" w:rsidTr="00DA2101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Merge/>
          </w:tcPr>
          <w:p w:rsidR="00ED2581" w:rsidRPr="00AE2C8B" w:rsidRDefault="00ED2581" w:rsidP="0022184A">
            <w:pPr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vMerge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384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J40</w:t>
            </w:r>
          </w:p>
        </w:tc>
        <w:tc>
          <w:tcPr>
            <w:tcW w:w="4428" w:type="dxa"/>
          </w:tcPr>
          <w:p w:rsidR="00ED2581" w:rsidRPr="00AE2C8B" w:rsidRDefault="00ED2581" w:rsidP="002218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US"/>
              </w:rPr>
            </w:pPr>
            <w:r w:rsidRPr="00AE2C8B">
              <w:rPr>
                <w:rStyle w:val="Strong"/>
                <w:rFonts w:asciiTheme="majorHAnsi" w:hAnsiTheme="majorHAnsi" w:cstheme="minorHAnsi"/>
                <w:b w:val="0"/>
                <w:bCs/>
                <w:sz w:val="20"/>
                <w:szCs w:val="20"/>
                <w:lang w:val="en-CA"/>
              </w:rPr>
              <w:t>Bronchitis, not specified as acute or chronic</w:t>
            </w:r>
          </w:p>
        </w:tc>
      </w:tr>
    </w:tbl>
    <w:p w:rsidR="00ED2581" w:rsidRPr="00AE2C8B" w:rsidRDefault="00ED2581" w:rsidP="00ED2581">
      <w:pPr>
        <w:rPr>
          <w:rFonts w:asciiTheme="majorHAnsi" w:hAnsiTheme="majorHAnsi" w:cstheme="minorHAnsi"/>
          <w:lang w:val="en-CA"/>
        </w:rPr>
      </w:pPr>
    </w:p>
    <w:p w:rsidR="00ED2581" w:rsidRPr="00AE2C8B" w:rsidRDefault="00ED2581" w:rsidP="00ED2581">
      <w:pPr>
        <w:rPr>
          <w:rFonts w:asciiTheme="majorHAnsi" w:hAnsiTheme="majorHAnsi" w:cstheme="minorHAnsi"/>
          <w:lang w:val="en-CA"/>
        </w:rPr>
      </w:pPr>
    </w:p>
    <w:p w:rsidR="00ED2581" w:rsidRPr="00AE2C8B" w:rsidRDefault="00ED2581" w:rsidP="00ED2581">
      <w:pPr>
        <w:rPr>
          <w:rFonts w:asciiTheme="majorHAnsi" w:hAnsiTheme="majorHAnsi" w:cstheme="minorHAnsi"/>
          <w:lang w:val="en-CA"/>
        </w:rPr>
      </w:pPr>
    </w:p>
    <w:p w:rsidR="00ED2581" w:rsidRPr="00AE2C8B" w:rsidRDefault="00ED2581" w:rsidP="00ED2581">
      <w:pPr>
        <w:rPr>
          <w:rFonts w:asciiTheme="majorHAnsi" w:hAnsiTheme="majorHAnsi" w:cstheme="minorHAnsi"/>
          <w:lang w:val="en-CA"/>
        </w:rPr>
      </w:pPr>
    </w:p>
    <w:p w:rsidR="00ED2581" w:rsidRPr="00AE2C8B" w:rsidRDefault="00ED2581" w:rsidP="00ED2581">
      <w:pPr>
        <w:rPr>
          <w:rFonts w:asciiTheme="majorHAnsi" w:hAnsiTheme="majorHAnsi" w:cstheme="minorHAnsi"/>
          <w:lang w:val="en-CA"/>
        </w:rPr>
      </w:pPr>
    </w:p>
    <w:p w:rsidR="00ED2581" w:rsidRPr="00AE2C8B" w:rsidRDefault="00ED2581" w:rsidP="00ED2581">
      <w:pPr>
        <w:rPr>
          <w:rFonts w:asciiTheme="majorHAnsi" w:hAnsiTheme="majorHAnsi" w:cstheme="minorHAnsi"/>
          <w:lang w:val="en-CA"/>
        </w:rPr>
      </w:pPr>
    </w:p>
    <w:p w:rsidR="00ED2581" w:rsidRPr="00AE2C8B" w:rsidRDefault="00ED2581" w:rsidP="00ED2581">
      <w:pPr>
        <w:spacing w:after="200" w:line="276" w:lineRule="auto"/>
        <w:rPr>
          <w:rFonts w:asciiTheme="majorHAnsi" w:hAnsiTheme="majorHAnsi" w:cstheme="minorHAnsi"/>
          <w:lang w:val="en-CA"/>
        </w:rPr>
      </w:pPr>
      <w:r w:rsidRPr="00AE2C8B">
        <w:rPr>
          <w:rFonts w:asciiTheme="majorHAnsi" w:hAnsiTheme="majorHAnsi" w:cstheme="minorHAnsi"/>
          <w:lang w:val="en-CA"/>
        </w:rPr>
        <w:br w:type="page"/>
      </w:r>
    </w:p>
    <w:p w:rsidR="00ED2581" w:rsidRPr="00AE2C8B" w:rsidRDefault="00ED2581" w:rsidP="00E22EB7">
      <w:pPr>
        <w:spacing w:line="480" w:lineRule="auto"/>
        <w:jc w:val="both"/>
        <w:rPr>
          <w:rFonts w:asciiTheme="majorHAnsi" w:eastAsia="Times New Roman" w:hAnsiTheme="majorHAnsi" w:cstheme="minorHAnsi"/>
          <w:bCs w:val="0"/>
          <w:color w:val="000000"/>
          <w:kern w:val="24"/>
          <w:lang w:val="en-US"/>
        </w:rPr>
      </w:pPr>
      <w:r w:rsidRPr="00AE2C8B">
        <w:rPr>
          <w:rFonts w:asciiTheme="majorHAnsi" w:hAnsiTheme="majorHAnsi" w:cstheme="minorHAnsi"/>
          <w:lang w:val="en-CA"/>
        </w:rPr>
        <w:lastRenderedPageBreak/>
        <w:t>Supplement</w:t>
      </w:r>
      <w:r w:rsidR="00A21A8C">
        <w:rPr>
          <w:rFonts w:asciiTheme="majorHAnsi" w:hAnsiTheme="majorHAnsi" w:cstheme="minorHAnsi"/>
          <w:lang w:val="en-CA"/>
        </w:rPr>
        <w:t>ary</w:t>
      </w:r>
      <w:r w:rsidRPr="00AE2C8B">
        <w:rPr>
          <w:rFonts w:asciiTheme="majorHAnsi" w:hAnsiTheme="majorHAnsi" w:cstheme="minorHAnsi"/>
          <w:lang w:val="en-CA"/>
        </w:rPr>
        <w:t xml:space="preserve"> Table </w:t>
      </w:r>
      <w:r w:rsidR="00E22EB7">
        <w:rPr>
          <w:rFonts w:asciiTheme="majorHAnsi" w:hAnsiTheme="majorHAnsi" w:cstheme="minorHAnsi"/>
          <w:lang w:val="en-CA"/>
        </w:rPr>
        <w:t>S</w:t>
      </w:r>
      <w:r w:rsidRPr="00AE2C8B">
        <w:rPr>
          <w:rFonts w:asciiTheme="majorHAnsi" w:hAnsiTheme="majorHAnsi" w:cstheme="minorHAnsi"/>
          <w:lang w:val="en-CA"/>
        </w:rPr>
        <w:t xml:space="preserve">2: </w:t>
      </w:r>
      <w:r w:rsidRPr="00AE2C8B">
        <w:rPr>
          <w:rFonts w:asciiTheme="majorHAnsi" w:eastAsia="Times New Roman" w:hAnsiTheme="majorHAnsi" w:cstheme="minorHAnsi"/>
          <w:color w:val="000000"/>
          <w:kern w:val="24"/>
          <w:lang w:val="en-US"/>
        </w:rPr>
        <w:t xml:space="preserve">Classification of birth cohorts according to the main vaccines used (≥ 90% of doses) for the primary immunization series and booster doses, as measured in the Quebec City Immunization Registry covering approximately 10% of births in the province of Quebec. </w:t>
      </w:r>
    </w:p>
    <w:p w:rsidR="00ED2581" w:rsidRPr="00AE2C8B" w:rsidRDefault="00ED2581" w:rsidP="00ED2581">
      <w:pPr>
        <w:jc w:val="both"/>
        <w:rPr>
          <w:rFonts w:asciiTheme="majorHAnsi" w:hAnsiTheme="majorHAnsi" w:cstheme="minorHAnsi"/>
          <w:lang w:val="en-US"/>
        </w:rPr>
      </w:pPr>
    </w:p>
    <w:tbl>
      <w:tblPr>
        <w:tblW w:w="5665" w:type="pct"/>
        <w:jc w:val="center"/>
        <w:tblCellMar>
          <w:left w:w="0" w:type="dxa"/>
          <w:right w:w="0" w:type="dxa"/>
        </w:tblCellMar>
        <w:tblLook w:val="0680" w:firstRow="0" w:lastRow="0" w:firstColumn="1" w:lastColumn="0" w:noHBand="1" w:noVBand="1"/>
      </w:tblPr>
      <w:tblGrid>
        <w:gridCol w:w="1189"/>
        <w:gridCol w:w="3440"/>
        <w:gridCol w:w="679"/>
        <w:gridCol w:w="831"/>
        <w:gridCol w:w="896"/>
        <w:gridCol w:w="1355"/>
        <w:gridCol w:w="1355"/>
        <w:gridCol w:w="1798"/>
      </w:tblGrid>
      <w:tr w:rsidR="002B05F5" w:rsidRPr="00AE2C8B" w:rsidTr="008E3033">
        <w:trPr>
          <w:trHeight w:val="387"/>
          <w:jc w:val="center"/>
        </w:trPr>
        <w:tc>
          <w:tcPr>
            <w:tcW w:w="51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2B05F5" w:rsidRPr="00AE2C8B" w:rsidRDefault="005B4D5F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b/>
                <w:kern w:val="24"/>
                <w:sz w:val="20"/>
                <w:szCs w:val="20"/>
                <w:lang w:val="en-US"/>
              </w:rPr>
              <w:t>Date</w:t>
            </w:r>
            <w:r w:rsidR="0070604B" w:rsidRPr="003C5981">
              <w:rPr>
                <w:rFonts w:asciiTheme="majorHAnsi" w:eastAsia="Times New Roman" w:hAnsiTheme="majorHAnsi" w:cstheme="minorHAnsi"/>
                <w:b/>
                <w:kern w:val="24"/>
                <w:sz w:val="20"/>
                <w:szCs w:val="20"/>
                <w:lang w:val="en-US"/>
              </w:rPr>
              <w:t xml:space="preserve"> </w:t>
            </w:r>
            <w:r w:rsidR="003C5981" w:rsidRPr="003C5981">
              <w:rPr>
                <w:rFonts w:asciiTheme="majorHAnsi" w:eastAsia="Times New Roman" w:hAnsiTheme="majorHAnsi" w:cstheme="minorHAnsi"/>
                <w:b/>
                <w:kern w:val="24"/>
                <w:sz w:val="20"/>
                <w:szCs w:val="20"/>
                <w:lang w:val="en-US"/>
              </w:rPr>
              <w:t>of b</w:t>
            </w:r>
            <w:r w:rsidR="0070604B" w:rsidRPr="003C5981">
              <w:rPr>
                <w:rFonts w:asciiTheme="majorHAnsi" w:eastAsia="Times New Roman" w:hAnsiTheme="majorHAnsi" w:cstheme="minorHAnsi"/>
                <w:b/>
                <w:kern w:val="24"/>
                <w:sz w:val="20"/>
                <w:szCs w:val="20"/>
                <w:lang w:val="en-US"/>
              </w:rPr>
              <w:t>irth</w:t>
            </w:r>
          </w:p>
        </w:tc>
        <w:tc>
          <w:tcPr>
            <w:tcW w:w="149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Main vaccines</w:t>
            </w:r>
            <w:r w:rsidRPr="00AE2C8B"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  <w:t xml:space="preserve"> used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Follow-up (months)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5F5" w:rsidRPr="00A1737E" w:rsidRDefault="002B05F5" w:rsidP="002B05F5">
            <w:pPr>
              <w:jc w:val="center"/>
              <w:rPr>
                <w:rFonts w:asciiTheme="majorHAnsi" w:eastAsia="Times New Roman" w:hAnsiTheme="majorHAnsi" w:cstheme="minorHAnsi"/>
                <w:b/>
                <w:kern w:val="24"/>
                <w:sz w:val="20"/>
                <w:szCs w:val="20"/>
                <w:lang w:val="en-US"/>
              </w:rPr>
            </w:pPr>
            <w:r w:rsidRPr="00A1737E">
              <w:rPr>
                <w:rFonts w:asciiTheme="majorHAnsi" w:eastAsia="Times New Roman" w:hAnsiTheme="majorHAnsi" w:cstheme="minorHAnsi"/>
                <w:b/>
                <w:kern w:val="24"/>
                <w:sz w:val="20"/>
                <w:szCs w:val="20"/>
                <w:lang w:val="en-US"/>
              </w:rPr>
              <w:t>Person (N)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5F5" w:rsidRPr="00AE2C8B" w:rsidRDefault="002B05F5" w:rsidP="002B05F5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Person-months</w:t>
            </w:r>
          </w:p>
          <w:p w:rsidR="002B05F5" w:rsidRPr="00AE2C8B" w:rsidRDefault="002B05F5" w:rsidP="002B05F5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observation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B05F5" w:rsidRPr="00AE2C8B" w:rsidRDefault="002B05F5" w:rsidP="002B05F5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Hospital admission</w:t>
            </w:r>
            <w:r w:rsidRPr="00AE2C8B"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  <w:t>s</w:t>
            </w:r>
          </w:p>
          <w:p w:rsidR="002B05F5" w:rsidRPr="00AE2C8B" w:rsidRDefault="002B05F5" w:rsidP="002B05F5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(No)</w:t>
            </w:r>
          </w:p>
        </w:tc>
      </w:tr>
      <w:tr w:rsidR="002B05F5" w:rsidRPr="00AE2C8B" w:rsidTr="008E3033">
        <w:trPr>
          <w:trHeight w:val="387"/>
          <w:jc w:val="center"/>
        </w:trPr>
        <w:tc>
          <w:tcPr>
            <w:tcW w:w="515" w:type="pct"/>
            <w:vMerge/>
            <w:tcBorders>
              <w:bottom w:val="single" w:sz="4" w:space="0" w:color="auto"/>
            </w:tcBorders>
            <w:shd w:val="clear" w:color="auto" w:fill="AEC9F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490" w:type="pct"/>
            <w:vMerge/>
            <w:tcBorders>
              <w:bottom w:val="single" w:sz="4" w:space="0" w:color="auto"/>
            </w:tcBorders>
            <w:shd w:val="clear" w:color="auto" w:fill="AEC9F0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Min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b/>
                <w:color w:val="000000"/>
                <w:kern w:val="24"/>
                <w:sz w:val="20"/>
                <w:szCs w:val="20"/>
                <w:lang w:val="en-US"/>
              </w:rPr>
              <w:t>Max</w:t>
            </w: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AEC9F0"/>
          </w:tcPr>
          <w:p w:rsidR="002B05F5" w:rsidRPr="00A1737E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AEC9F0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EC9F0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2B05F5" w:rsidRPr="00AE2C8B" w:rsidTr="002B05F5">
        <w:trPr>
          <w:trHeight w:val="387"/>
          <w:jc w:val="center"/>
        </w:trPr>
        <w:tc>
          <w:tcPr>
            <w:tcW w:w="515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2007.01.01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tcBorders>
              <w:top w:val="single" w:sz="4" w:space="0" w:color="auto"/>
            </w:tcBorders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top w:val="single" w:sz="4" w:space="0" w:color="auto"/>
            </w:tcBorders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2B05F5" w:rsidRPr="00A1737E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tcBorders>
              <w:top w:val="single" w:sz="4" w:space="0" w:color="auto"/>
            </w:tcBorders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top w:val="single" w:sz="4" w:space="0" w:color="auto"/>
            </w:tcBorders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PCV-7 + PCV-7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112249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2694563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3873</w:t>
            </w: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2008.05.01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2B05F5" w:rsidRPr="00A1737E" w:rsidRDefault="002B05F5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PCV-7 + PCV-7/PCV-10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22764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547078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688</w:t>
            </w: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2008.08.01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2B05F5" w:rsidRPr="00A1737E" w:rsidRDefault="002B05F5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PCV-7 + PCV-10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44447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1068178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1793</w:t>
            </w: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2009.02.01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2B05F5" w:rsidRPr="00A1737E" w:rsidRDefault="002B05F5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PCV-7/PCV-10 + PCV-10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28760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691198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827</w:t>
            </w: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2009.06.01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2B05F5" w:rsidRPr="00A1737E" w:rsidRDefault="002B05F5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PCV-10 + PCV-10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38929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935568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1349</w:t>
            </w: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2009.11.01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CA2E35">
            <w:pPr>
              <w:ind w:left="-158" w:right="-145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-13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2B05F5" w:rsidRPr="00A1737E" w:rsidRDefault="002B05F5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PCV-10 + PCV-10/PCV</w:t>
            </w: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-13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27481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660347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1036</w:t>
            </w: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2010.03.01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2B05F5" w:rsidRPr="00A1737E" w:rsidRDefault="002B05F5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PCV-10 + PCV-13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18.9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21.5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23.9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37370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803013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863</w:t>
            </w: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2010.08.01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2B05F5" w:rsidRPr="00A1737E" w:rsidRDefault="002B05F5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PCV-10/PCV-13 + PCV-13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15.9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17.5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18.9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23470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411306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588</w:t>
            </w: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2010.11.01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vAlign w:val="center"/>
          </w:tcPr>
          <w:p w:rsidR="002B05F5" w:rsidRPr="00A1737E" w:rsidRDefault="002B05F5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2B05F5" w:rsidRPr="00AE2C8B" w:rsidTr="002A0ED7">
        <w:trPr>
          <w:trHeight w:val="387"/>
          <w:jc w:val="center"/>
        </w:trPr>
        <w:tc>
          <w:tcPr>
            <w:tcW w:w="515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6B77F7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to</w:t>
            </w:r>
          </w:p>
        </w:tc>
        <w:tc>
          <w:tcPr>
            <w:tcW w:w="1490" w:type="pct"/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  <w:hideMark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PCV-13 + PCV-13</w:t>
            </w:r>
          </w:p>
        </w:tc>
        <w:tc>
          <w:tcPr>
            <w:tcW w:w="294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13.9</w:t>
            </w:r>
          </w:p>
        </w:tc>
        <w:tc>
          <w:tcPr>
            <w:tcW w:w="360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14.9</w:t>
            </w:r>
          </w:p>
        </w:tc>
        <w:tc>
          <w:tcPr>
            <w:tcW w:w="388" w:type="pct"/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15.9</w:t>
            </w:r>
          </w:p>
        </w:tc>
        <w:tc>
          <w:tcPr>
            <w:tcW w:w="587" w:type="pct"/>
            <w:vAlign w:val="center"/>
          </w:tcPr>
          <w:p w:rsidR="002B05F5" w:rsidRPr="00A1737E" w:rsidRDefault="002A0ED7" w:rsidP="002A0ED7">
            <w:pPr>
              <w:jc w:val="center"/>
              <w:rPr>
                <w:rFonts w:asciiTheme="majorHAnsi" w:hAnsiTheme="majorHAnsi" w:cstheme="minorHAnsi"/>
                <w:kern w:val="24"/>
                <w:sz w:val="20"/>
                <w:szCs w:val="20"/>
              </w:rPr>
            </w:pPr>
            <w:r w:rsidRPr="00A1737E">
              <w:rPr>
                <w:rFonts w:asciiTheme="majorHAnsi" w:hAnsiTheme="majorHAnsi" w:cstheme="minorHAnsi"/>
                <w:kern w:val="24"/>
                <w:sz w:val="20"/>
                <w:szCs w:val="20"/>
              </w:rPr>
              <w:t>14175</w:t>
            </w:r>
          </w:p>
        </w:tc>
        <w:tc>
          <w:tcPr>
            <w:tcW w:w="587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212870</w:t>
            </w:r>
          </w:p>
        </w:tc>
        <w:tc>
          <w:tcPr>
            <w:tcW w:w="779" w:type="pct"/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</w:pPr>
            <w:r w:rsidRPr="00AE2C8B">
              <w:rPr>
                <w:rFonts w:asciiTheme="majorHAnsi" w:hAnsiTheme="majorHAnsi" w:cstheme="minorHAnsi"/>
                <w:color w:val="000000" w:themeColor="text1"/>
                <w:kern w:val="24"/>
                <w:sz w:val="20"/>
                <w:szCs w:val="20"/>
              </w:rPr>
              <w:t>344</w:t>
            </w:r>
          </w:p>
        </w:tc>
      </w:tr>
      <w:tr w:rsidR="002B05F5" w:rsidRPr="00AE2C8B" w:rsidTr="002B05F5">
        <w:trPr>
          <w:trHeight w:val="387"/>
          <w:jc w:val="center"/>
        </w:trPr>
        <w:tc>
          <w:tcPr>
            <w:tcW w:w="515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  <w:r w:rsidRPr="00AE2C8B">
              <w:rPr>
                <w:rFonts w:asciiTheme="majorHAnsi" w:eastAsia="Times New Roman" w:hAnsiTheme="majorHAnsi" w:cstheme="minorHAnsi"/>
                <w:color w:val="000000"/>
                <w:kern w:val="24"/>
                <w:sz w:val="20"/>
                <w:szCs w:val="20"/>
                <w:lang w:val="en-US"/>
              </w:rPr>
              <w:t>2010.12.31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2B05F5" w:rsidRPr="00AE2C8B" w:rsidRDefault="002B05F5" w:rsidP="0022184A">
            <w:pPr>
              <w:ind w:left="-158" w:right="-145"/>
              <w:jc w:val="center"/>
              <w:rPr>
                <w:rFonts w:asciiTheme="majorHAnsi" w:eastAsia="Times New Roman" w:hAnsiTheme="majorHAnsi" w:cstheme="minorHAnsi"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vAlign w:val="center"/>
          </w:tcPr>
          <w:p w:rsidR="002B05F5" w:rsidRPr="00AE2C8B" w:rsidRDefault="002B05F5" w:rsidP="0022184A">
            <w:pPr>
              <w:jc w:val="center"/>
              <w:rPr>
                <w:rFonts w:asciiTheme="majorHAnsi" w:eastAsia="Times New Roman" w:hAnsiTheme="majorHAnsi" w:cstheme="minorHAnsi"/>
                <w:b/>
                <w:bCs w:val="0"/>
                <w:color w:val="000000"/>
                <w:kern w:val="24"/>
                <w:sz w:val="20"/>
                <w:szCs w:val="20"/>
                <w:lang w:val="en-US"/>
              </w:rPr>
            </w:pPr>
          </w:p>
        </w:tc>
      </w:tr>
    </w:tbl>
    <w:p w:rsidR="00ED2581" w:rsidRPr="00AE2C8B" w:rsidRDefault="00ED2581" w:rsidP="00ED2581">
      <w:pPr>
        <w:rPr>
          <w:rFonts w:asciiTheme="majorHAnsi" w:hAnsiTheme="majorHAnsi" w:cstheme="minorHAnsi"/>
          <w:sz w:val="20"/>
          <w:szCs w:val="20"/>
        </w:rPr>
      </w:pPr>
    </w:p>
    <w:p w:rsidR="00ED2581" w:rsidRDefault="00ED2581" w:rsidP="00ED2581">
      <w:pPr>
        <w:spacing w:line="276" w:lineRule="auto"/>
        <w:rPr>
          <w:rFonts w:asciiTheme="majorHAnsi" w:hAnsiTheme="majorHAnsi" w:cstheme="minorHAnsi"/>
        </w:rPr>
      </w:pPr>
    </w:p>
    <w:p w:rsidR="00ED2581" w:rsidRDefault="00ED2581" w:rsidP="00ED2581">
      <w:pPr>
        <w:spacing w:after="200" w:line="276" w:lineRule="auto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page"/>
      </w:r>
    </w:p>
    <w:p w:rsidR="00E1753B" w:rsidRDefault="000D7AB6" w:rsidP="005D660C">
      <w:pPr>
        <w:spacing w:line="480" w:lineRule="auto"/>
        <w:jc w:val="both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lastRenderedPageBreak/>
        <w:t>Supplement</w:t>
      </w:r>
      <w:r w:rsidR="00A21A8C">
        <w:rPr>
          <w:rFonts w:asciiTheme="majorHAnsi" w:hAnsiTheme="majorHAnsi" w:cstheme="minorHAnsi"/>
          <w:lang w:val="en-CA"/>
        </w:rPr>
        <w:t>ary</w:t>
      </w:r>
      <w:r>
        <w:rPr>
          <w:rFonts w:asciiTheme="majorHAnsi" w:hAnsiTheme="majorHAnsi" w:cstheme="minorHAnsi"/>
          <w:lang w:val="en-CA"/>
        </w:rPr>
        <w:t xml:space="preserve"> </w:t>
      </w:r>
      <w:r w:rsidR="00ED2581" w:rsidRPr="006064DA">
        <w:rPr>
          <w:rFonts w:asciiTheme="majorHAnsi" w:hAnsiTheme="majorHAnsi" w:cstheme="minorHAnsi"/>
          <w:lang w:val="en-CA"/>
        </w:rPr>
        <w:t xml:space="preserve">Table </w:t>
      </w:r>
      <w:r w:rsidR="00E22EB7">
        <w:rPr>
          <w:rFonts w:asciiTheme="majorHAnsi" w:hAnsiTheme="majorHAnsi" w:cstheme="minorHAnsi"/>
          <w:lang w:val="en-CA"/>
        </w:rPr>
        <w:t>S</w:t>
      </w:r>
      <w:r w:rsidR="00ED2581" w:rsidRPr="006064DA">
        <w:rPr>
          <w:rFonts w:asciiTheme="majorHAnsi" w:hAnsiTheme="majorHAnsi" w:cstheme="minorHAnsi"/>
          <w:lang w:val="en-CA"/>
        </w:rPr>
        <w:t xml:space="preserve">3: </w:t>
      </w:r>
      <w:r w:rsidR="00E1753B" w:rsidRPr="00EA5405">
        <w:rPr>
          <w:rFonts w:asciiTheme="majorHAnsi" w:hAnsiTheme="majorHAnsi" w:cstheme="minorHAnsi"/>
          <w:lang w:val="en-CA"/>
        </w:rPr>
        <w:t xml:space="preserve">Additive and multiplicative models for first and all hospitalizations </w:t>
      </w:r>
      <w:r w:rsidR="00FB0D2A" w:rsidRPr="00FB0D2A">
        <w:rPr>
          <w:rFonts w:asciiTheme="majorHAnsi" w:hAnsiTheme="majorHAnsi" w:cstheme="minorHAnsi"/>
          <w:lang w:val="en-CA"/>
        </w:rPr>
        <w:t>for</w:t>
      </w:r>
      <w:r w:rsidR="00E1753B" w:rsidRPr="00FB0D2A">
        <w:rPr>
          <w:rFonts w:asciiTheme="majorHAnsi" w:hAnsiTheme="majorHAnsi" w:cstheme="minorHAnsi"/>
          <w:lang w:val="en-CA"/>
        </w:rPr>
        <w:t xml:space="preserve"> pneumonia among</w:t>
      </w:r>
      <w:r w:rsidR="00E1753B" w:rsidRPr="00EA5405">
        <w:rPr>
          <w:rFonts w:asciiTheme="majorHAnsi" w:hAnsiTheme="majorHAnsi" w:cstheme="minorHAnsi"/>
          <w:lang w:val="en-CA"/>
        </w:rPr>
        <w:t xml:space="preserve"> children born January 200</w:t>
      </w:r>
      <w:r w:rsidR="00BA5CF6">
        <w:rPr>
          <w:rFonts w:asciiTheme="majorHAnsi" w:hAnsiTheme="majorHAnsi" w:cstheme="minorHAnsi"/>
          <w:lang w:val="en-CA"/>
        </w:rPr>
        <w:t xml:space="preserve">7 to December 2010 </w:t>
      </w:r>
      <w:r w:rsidR="00E1753B" w:rsidRPr="00EA5405">
        <w:rPr>
          <w:rFonts w:asciiTheme="majorHAnsi" w:hAnsiTheme="majorHAnsi" w:cstheme="minorHAnsi"/>
          <w:lang w:val="en-CA"/>
        </w:rPr>
        <w:t>older than 90 days and</w:t>
      </w:r>
      <w:r w:rsidR="00E1753B" w:rsidRPr="00EA2968">
        <w:rPr>
          <w:rFonts w:asciiTheme="majorHAnsi" w:hAnsiTheme="majorHAnsi" w:cstheme="minorHAnsi"/>
          <w:lang w:val="en-CA"/>
        </w:rPr>
        <w:t xml:space="preserve"> </w:t>
      </w:r>
      <w:r w:rsidR="00E1753B" w:rsidRPr="00AE2C8B">
        <w:rPr>
          <w:rFonts w:asciiTheme="majorHAnsi" w:hAnsiTheme="majorHAnsi" w:cstheme="minorHAnsi"/>
          <w:lang w:val="en-CA"/>
        </w:rPr>
        <w:t>less than 2 years of age</w:t>
      </w:r>
      <w:r w:rsidR="00E1753B" w:rsidRPr="00EA5405">
        <w:rPr>
          <w:rFonts w:asciiTheme="majorHAnsi" w:hAnsiTheme="majorHAnsi" w:cstheme="minorHAnsi"/>
          <w:lang w:val="en-CA"/>
        </w:rPr>
        <w:t>, in the province of Quebec, Canada</w:t>
      </w:r>
      <w:r w:rsidR="00BF1B44">
        <w:rPr>
          <w:rFonts w:asciiTheme="majorHAnsi" w:hAnsiTheme="majorHAnsi" w:cstheme="minorHAnsi"/>
          <w:lang w:val="en-CA"/>
        </w:rPr>
        <w:t>.</w:t>
      </w:r>
    </w:p>
    <w:p w:rsidR="00BA5CF6" w:rsidRDefault="00BA5CF6" w:rsidP="00B12134">
      <w:pPr>
        <w:spacing w:line="276" w:lineRule="auto"/>
        <w:jc w:val="both"/>
        <w:rPr>
          <w:rFonts w:asciiTheme="majorHAnsi" w:hAnsiTheme="majorHAnsi" w:cstheme="minorHAnsi"/>
          <w:lang w:val="en-CA"/>
        </w:rPr>
      </w:pPr>
    </w:p>
    <w:tbl>
      <w:tblPr>
        <w:tblStyle w:val="Ombrageclair1"/>
        <w:tblW w:w="10936" w:type="dxa"/>
        <w:jc w:val="center"/>
        <w:tblLook w:val="06A0" w:firstRow="1" w:lastRow="0" w:firstColumn="1" w:lastColumn="0" w:noHBand="1" w:noVBand="1"/>
      </w:tblPr>
      <w:tblGrid>
        <w:gridCol w:w="1816"/>
        <w:gridCol w:w="2437"/>
        <w:gridCol w:w="1263"/>
        <w:gridCol w:w="1100"/>
        <w:gridCol w:w="1180"/>
        <w:gridCol w:w="980"/>
        <w:gridCol w:w="1147"/>
        <w:gridCol w:w="1013"/>
      </w:tblGrid>
      <w:tr w:rsidR="007A32F0" w:rsidRPr="00474F2E" w:rsidTr="00DF3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Merge w:val="restart"/>
            <w:vAlign w:val="center"/>
            <w:hideMark/>
          </w:tcPr>
          <w:p w:rsidR="007A32F0" w:rsidRPr="00474F2E" w:rsidRDefault="007A32F0" w:rsidP="00792C44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Predictors</w:t>
            </w:r>
          </w:p>
        </w:tc>
        <w:tc>
          <w:tcPr>
            <w:tcW w:w="2363" w:type="dxa"/>
            <w:gridSpan w:val="2"/>
            <w:tcBorders>
              <w:bottom w:val="nil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Additive Poisson model </w:t>
            </w: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320" w:type="dxa"/>
            <w:gridSpan w:val="4"/>
            <w:tcBorders>
              <w:bottom w:val="nil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Multiplicative Poisson model </w:t>
            </w: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7A32F0" w:rsidRPr="00474F2E" w:rsidTr="00DF3212">
        <w:trPr>
          <w:trHeight w:val="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Merge/>
            <w:vAlign w:val="center"/>
            <w:hideMark/>
          </w:tcPr>
          <w:p w:rsidR="007A32F0" w:rsidRPr="00474F2E" w:rsidRDefault="007A32F0" w:rsidP="00792C44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CA"/>
              </w:rPr>
            </w:pPr>
          </w:p>
        </w:tc>
      </w:tr>
      <w:tr w:rsidR="007A32F0" w:rsidRPr="00474F2E" w:rsidTr="005A09F1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Merge/>
            <w:vAlign w:val="center"/>
            <w:hideMark/>
          </w:tcPr>
          <w:p w:rsidR="007A32F0" w:rsidRPr="00474F2E" w:rsidRDefault="007A32F0" w:rsidP="00792C44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First hospitalization</w:t>
            </w:r>
            <w:r w:rsidR="000D7828" w:rsidRPr="00474F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First hospitalization</w:t>
            </w:r>
            <w:r w:rsidR="000D7828" w:rsidRPr="00474F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All hospitalizations</w:t>
            </w:r>
          </w:p>
        </w:tc>
      </w:tr>
      <w:tr w:rsidR="007A32F0" w:rsidRPr="00474F2E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Coefficient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32F0" w:rsidRPr="00474F2E" w:rsidRDefault="00DD07DB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DD07DB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Rate Ratio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32F0" w:rsidRPr="00474F2E" w:rsidRDefault="00DD07DB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DD07DB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32F0" w:rsidRPr="00474F2E" w:rsidRDefault="007A32F0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Rate Ratio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7A32F0" w:rsidRPr="00474F2E" w:rsidRDefault="00DD07DB" w:rsidP="00792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DD07DB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 w:val="restart"/>
            <w:tcBorders>
              <w:top w:val="single" w:sz="4" w:space="0" w:color="auto"/>
            </w:tcBorders>
            <w:hideMark/>
          </w:tcPr>
          <w:p w:rsidR="007A32F0" w:rsidRPr="00474F2E" w:rsidRDefault="007A32F0" w:rsidP="00BF1B44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Viral Circulation </w:t>
            </w:r>
            <w:r w:rsidR="00BF1B44"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RSV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0.002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hMPV</w:t>
            </w:r>
          </w:p>
        </w:tc>
        <w:tc>
          <w:tcPr>
            <w:tcW w:w="1263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0.002</w:t>
            </w:r>
          </w:p>
        </w:tc>
        <w:tc>
          <w:tcPr>
            <w:tcW w:w="1100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80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1.05</w:t>
            </w:r>
          </w:p>
        </w:tc>
        <w:tc>
          <w:tcPr>
            <w:tcW w:w="980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47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1.05</w:t>
            </w:r>
          </w:p>
        </w:tc>
        <w:tc>
          <w:tcPr>
            <w:tcW w:w="1013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</w:tr>
      <w:tr w:rsidR="007A32F0" w:rsidRPr="00474F2E" w:rsidTr="005F3841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1263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0.0004</w:t>
            </w:r>
          </w:p>
        </w:tc>
        <w:tc>
          <w:tcPr>
            <w:tcW w:w="1100" w:type="dxa"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0.03</w:t>
            </w:r>
          </w:p>
        </w:tc>
        <w:tc>
          <w:tcPr>
            <w:tcW w:w="1180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1.01</w:t>
            </w:r>
          </w:p>
        </w:tc>
        <w:tc>
          <w:tcPr>
            <w:tcW w:w="980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0.00019</w:t>
            </w:r>
          </w:p>
        </w:tc>
        <w:tc>
          <w:tcPr>
            <w:tcW w:w="1147" w:type="dxa"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1.01</w:t>
            </w:r>
          </w:p>
        </w:tc>
        <w:tc>
          <w:tcPr>
            <w:tcW w:w="1013" w:type="dxa"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</w:t>
            </w: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 w:rsidR="007A32F0" w:rsidRPr="00474F2E" w:rsidTr="005F384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hideMark/>
          </w:tcPr>
          <w:p w:rsidR="007A32F0" w:rsidRPr="00474F2E" w:rsidRDefault="000F229C" w:rsidP="00BF1B44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T</w:t>
            </w:r>
            <w:r w:rsidR="007A32F0"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emperature</w:t>
            </w:r>
            <w:r w:rsidR="007A32F0"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</w:t>
            </w:r>
            <w:r w:rsidR="00BF1B44"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0.001</w:t>
            </w:r>
          </w:p>
        </w:tc>
        <w:tc>
          <w:tcPr>
            <w:tcW w:w="110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1.03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1.03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 w:val="restart"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Age in months</w:t>
            </w: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3 – 5 months</w:t>
            </w:r>
          </w:p>
        </w:tc>
        <w:tc>
          <w:tcPr>
            <w:tcW w:w="1263" w:type="dxa"/>
            <w:hideMark/>
          </w:tcPr>
          <w:p w:rsidR="007A32F0" w:rsidRPr="00474F2E" w:rsidRDefault="00474F2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</w:t>
            </w:r>
            <w:r w:rsidR="007A32F0"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ef</w:t>
            </w:r>
          </w:p>
        </w:tc>
        <w:tc>
          <w:tcPr>
            <w:tcW w:w="1100" w:type="dxa"/>
            <w:hideMark/>
          </w:tcPr>
          <w:p w:rsidR="007A32F0" w:rsidRPr="00474F2E" w:rsidRDefault="006B77F7" w:rsidP="0047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80" w:type="dxa"/>
            <w:hideMark/>
          </w:tcPr>
          <w:p w:rsidR="007A32F0" w:rsidRPr="00474F2E" w:rsidRDefault="00474F2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980" w:type="dxa"/>
            <w:hideMark/>
          </w:tcPr>
          <w:p w:rsidR="007A32F0" w:rsidRPr="00474F2E" w:rsidRDefault="006B77F7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1013" w:type="dxa"/>
            <w:hideMark/>
          </w:tcPr>
          <w:p w:rsidR="007A32F0" w:rsidRPr="00474F2E" w:rsidRDefault="006B77F7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6 – 8 months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0.002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0.52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98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</w:t>
            </w: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1.28</w:t>
            </w:r>
          </w:p>
        </w:tc>
        <w:tc>
          <w:tcPr>
            <w:tcW w:w="101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</w:t>
            </w: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9 – 11 months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0.010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</w:t>
            </w: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1.67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1.73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12 – 17 months</w:t>
            </w:r>
          </w:p>
        </w:tc>
        <w:tc>
          <w:tcPr>
            <w:tcW w:w="126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0.0206</w:t>
            </w:r>
          </w:p>
        </w:tc>
        <w:tc>
          <w:tcPr>
            <w:tcW w:w="110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2.02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2.15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18- 23 months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0.012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0.006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1.78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1.92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&lt;.0001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 w:val="restart"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Month of birth</w:t>
            </w: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Jan – Sep</w:t>
            </w:r>
          </w:p>
        </w:tc>
        <w:tc>
          <w:tcPr>
            <w:tcW w:w="1263" w:type="dxa"/>
            <w:hideMark/>
          </w:tcPr>
          <w:p w:rsidR="007A32F0" w:rsidRPr="00474F2E" w:rsidRDefault="00474F2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1100" w:type="dxa"/>
            <w:hideMark/>
          </w:tcPr>
          <w:p w:rsidR="007A32F0" w:rsidRPr="00474F2E" w:rsidRDefault="006B77F7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80" w:type="dxa"/>
            <w:hideMark/>
          </w:tcPr>
          <w:p w:rsidR="007A32F0" w:rsidRPr="00474F2E" w:rsidRDefault="00474F2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980" w:type="dxa"/>
            <w:hideMark/>
          </w:tcPr>
          <w:p w:rsidR="007A32F0" w:rsidRPr="00474F2E" w:rsidRDefault="006B77F7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1013" w:type="dxa"/>
            <w:hideMark/>
          </w:tcPr>
          <w:p w:rsidR="007A32F0" w:rsidRPr="00474F2E" w:rsidRDefault="006B77F7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Oct – Dec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0.004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0.07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1.15</w:t>
            </w:r>
          </w:p>
        </w:tc>
        <w:tc>
          <w:tcPr>
            <w:tcW w:w="98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</w:t>
            </w: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1.23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0.02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Hospitalization year</w:t>
            </w: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2007 to 2012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0.001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0.75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0.93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0.95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0.44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 w:val="restart"/>
            <w:hideMark/>
          </w:tcPr>
          <w:p w:rsidR="007A32F0" w:rsidRPr="00474F2E" w:rsidRDefault="007A32F0" w:rsidP="007A32F0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Main vaccines </w:t>
            </w:r>
            <w:r w:rsidR="00BF1B44"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PCV-7 + PCV-7</w:t>
            </w:r>
          </w:p>
        </w:tc>
        <w:tc>
          <w:tcPr>
            <w:tcW w:w="1263" w:type="dxa"/>
            <w:hideMark/>
          </w:tcPr>
          <w:p w:rsidR="007A32F0" w:rsidRPr="00474F2E" w:rsidRDefault="00474F2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1100" w:type="dxa"/>
            <w:hideMark/>
          </w:tcPr>
          <w:p w:rsidR="007A32F0" w:rsidRPr="00474F2E" w:rsidRDefault="006B77F7" w:rsidP="00474F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80" w:type="dxa"/>
            <w:hideMark/>
          </w:tcPr>
          <w:p w:rsidR="007A32F0" w:rsidRPr="00474F2E" w:rsidRDefault="00474F2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980" w:type="dxa"/>
            <w:hideMark/>
          </w:tcPr>
          <w:p w:rsidR="007A32F0" w:rsidRPr="00474F2E" w:rsidRDefault="006B77F7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1013" w:type="dxa"/>
            <w:hideMark/>
          </w:tcPr>
          <w:p w:rsidR="007A32F0" w:rsidRPr="00474F2E" w:rsidRDefault="006B77F7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PCV-7 + PCV-7/PCV-10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-0.007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0.07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0.96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0.58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0.90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0.48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PCV-7 + PCV-10</w:t>
            </w:r>
          </w:p>
        </w:tc>
        <w:tc>
          <w:tcPr>
            <w:tcW w:w="126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-0.003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0.48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1.09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0.27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1.05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0.69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PCV-7/PCV-10 + PCV-10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-0.001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0.89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0.23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1.07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0.68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PCV-10 + PCV-10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0.003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0.69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1.13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0.27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1.02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0.92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PCV-10 + PCV-10/PCV-13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-0.001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0.90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1.14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0.30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1.12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0.58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PCV-10 + PCV-13</w:t>
            </w:r>
          </w:p>
        </w:tc>
        <w:tc>
          <w:tcPr>
            <w:tcW w:w="126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-0.0002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0.98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1.22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0.16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1.11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0.64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PCV-10/PCV-13 + PCV-13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-0.010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0.25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1.08</w:t>
            </w:r>
          </w:p>
        </w:tc>
        <w:tc>
          <w:tcPr>
            <w:tcW w:w="9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0.66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0.95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0.82</w:t>
            </w:r>
          </w:p>
        </w:tc>
      </w:tr>
      <w:tr w:rsidR="007A32F0" w:rsidRPr="00474F2E" w:rsidTr="005F384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7A32F0" w:rsidRPr="00474F2E" w:rsidRDefault="007A32F0" w:rsidP="007A32F0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PCV-13 + PCV-13</w:t>
            </w:r>
          </w:p>
        </w:tc>
        <w:tc>
          <w:tcPr>
            <w:tcW w:w="1263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-0.015</w:t>
            </w:r>
          </w:p>
        </w:tc>
        <w:tc>
          <w:tcPr>
            <w:tcW w:w="110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</w:t>
            </w: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80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0.64</w:t>
            </w:r>
          </w:p>
        </w:tc>
        <w:tc>
          <w:tcPr>
            <w:tcW w:w="980" w:type="dxa"/>
            <w:hideMark/>
          </w:tcPr>
          <w:p w:rsidR="007A32F0" w:rsidRPr="00474F2E" w:rsidRDefault="00A2511E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</w:t>
            </w: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47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0.57</w:t>
            </w:r>
          </w:p>
        </w:tc>
        <w:tc>
          <w:tcPr>
            <w:tcW w:w="1013" w:type="dxa"/>
            <w:hideMark/>
          </w:tcPr>
          <w:p w:rsidR="007A32F0" w:rsidRPr="00474F2E" w:rsidRDefault="007A32F0" w:rsidP="007A32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0.04</w:t>
            </w:r>
          </w:p>
        </w:tc>
      </w:tr>
    </w:tbl>
    <w:p w:rsidR="00E1753B" w:rsidRPr="00AE2C8B" w:rsidRDefault="00E1753B" w:rsidP="00ED2581">
      <w:pPr>
        <w:spacing w:line="276" w:lineRule="auto"/>
        <w:rPr>
          <w:rFonts w:asciiTheme="majorHAnsi" w:hAnsiTheme="majorHAnsi" w:cstheme="minorHAnsi"/>
          <w:lang w:val="en-CA"/>
        </w:rPr>
      </w:pPr>
    </w:p>
    <w:p w:rsidR="007A32F0" w:rsidRDefault="00510CD2" w:rsidP="00F7130E">
      <w:pPr>
        <w:spacing w:line="480" w:lineRule="auto"/>
        <w:jc w:val="both"/>
        <w:rPr>
          <w:rFonts w:asciiTheme="majorHAnsi" w:hAnsiTheme="majorHAnsi" w:cstheme="minorHAnsi"/>
          <w:lang w:val="en-CA"/>
        </w:rPr>
      </w:pP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1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614DE8">
        <w:rPr>
          <w:rFonts w:asciiTheme="majorHAnsi" w:hAnsiTheme="majorHAnsi" w:cstheme="minorHAnsi"/>
          <w:sz w:val="20"/>
          <w:szCs w:val="20"/>
          <w:lang w:val="en-CA"/>
        </w:rPr>
        <w:t>Additive Poisson model assum</w:t>
      </w:r>
      <w:r>
        <w:rPr>
          <w:rFonts w:asciiTheme="majorHAnsi" w:hAnsiTheme="majorHAnsi" w:cstheme="minorHAnsi"/>
          <w:sz w:val="20"/>
          <w:szCs w:val="20"/>
          <w:lang w:val="en-CA"/>
        </w:rPr>
        <w:t>es</w:t>
      </w:r>
      <w:r w:rsidRPr="00614DE8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a linear relationship between intensity of exposure and response;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2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>Multiplicative Poisson model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implies an exponential relation</w:t>
      </w:r>
      <w:r>
        <w:rPr>
          <w:rFonts w:asciiTheme="majorHAnsi" w:hAnsiTheme="majorHAnsi" w:cstheme="minorHAnsi"/>
          <w:sz w:val="20"/>
          <w:szCs w:val="20"/>
          <w:lang w:val="en-CA"/>
        </w:rPr>
        <w:t>ship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between </w:t>
      </w:r>
      <w:r>
        <w:rPr>
          <w:rFonts w:asciiTheme="majorHAnsi" w:hAnsiTheme="majorHAnsi" w:cstheme="minorHAnsi"/>
          <w:sz w:val="20"/>
          <w:szCs w:val="20"/>
          <w:lang w:val="en-CA"/>
        </w:rPr>
        <w:t>intensity of exposure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and response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3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>W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e</w:t>
      </w:r>
      <w:r>
        <w:rPr>
          <w:rFonts w:asciiTheme="majorHAnsi" w:hAnsiTheme="majorHAnsi" w:cstheme="minorHAnsi"/>
          <w:sz w:val="20"/>
          <w:szCs w:val="20"/>
          <w:lang w:val="en-CA"/>
        </w:rPr>
        <w:t>e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kly percentage of positive tests;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4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7-day moving average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ambient air temperature (inversed) recorded in 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>Trois-Rivières</w:t>
      </w:r>
      <w:r w:rsidRPr="002C4DE8">
        <w:rPr>
          <w:rFonts w:asciiTheme="majorHAnsi" w:hAnsiTheme="majorHAnsi" w:cstheme="minorHAnsi"/>
          <w:sz w:val="20"/>
          <w:szCs w:val="20"/>
          <w:lang w:val="en-CA"/>
        </w:rPr>
        <w:t xml:space="preserve">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5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2C4DE8">
        <w:rPr>
          <w:rFonts w:asciiTheme="majorHAnsi" w:hAnsiTheme="majorHAnsi" w:cstheme="minorHAnsi" w:hint="eastAsia"/>
          <w:sz w:val="20"/>
          <w:szCs w:val="20"/>
          <w:lang w:val="en-CA"/>
        </w:rPr>
        <w:t>≥</w:t>
      </w:r>
      <w:r w:rsidRPr="002C4DE8">
        <w:rPr>
          <w:rFonts w:asciiTheme="majorHAnsi" w:hAnsiTheme="majorHAnsi" w:cstheme="minorHAnsi" w:hint="eastAsia"/>
          <w:sz w:val="20"/>
          <w:szCs w:val="20"/>
          <w:lang w:val="en-CA"/>
        </w:rPr>
        <w:t xml:space="preserve">90% of doses </w:t>
      </w:r>
      <w:r w:rsidRPr="002C4DE8">
        <w:rPr>
          <w:rFonts w:asciiTheme="majorHAnsi" w:hAnsiTheme="majorHAnsi" w:cstheme="minorHAnsi"/>
          <w:sz w:val="20"/>
          <w:szCs w:val="20"/>
          <w:lang w:val="en-CA"/>
        </w:rPr>
        <w:t>administered in each monthly birth cohorts for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 the primary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infant 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series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 + toddler 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booster.</w:t>
      </w:r>
    </w:p>
    <w:p w:rsidR="00ED2581" w:rsidRPr="00484E0A" w:rsidRDefault="00ED2581" w:rsidP="00ED2581">
      <w:pPr>
        <w:spacing w:after="200" w:line="276" w:lineRule="auto"/>
        <w:rPr>
          <w:rFonts w:asciiTheme="majorHAnsi" w:hAnsiTheme="majorHAnsi" w:cstheme="minorHAnsi"/>
          <w:lang w:val="en-CA"/>
        </w:rPr>
      </w:pPr>
    </w:p>
    <w:p w:rsidR="00510CD2" w:rsidRDefault="00510CD2">
      <w:pPr>
        <w:spacing w:after="200" w:line="276" w:lineRule="auto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br w:type="page"/>
      </w:r>
    </w:p>
    <w:p w:rsidR="00C7618A" w:rsidRDefault="00ED2581" w:rsidP="00F7130E">
      <w:pPr>
        <w:spacing w:line="480" w:lineRule="auto"/>
        <w:jc w:val="both"/>
        <w:rPr>
          <w:rFonts w:asciiTheme="majorHAnsi" w:hAnsiTheme="majorHAnsi" w:cstheme="minorHAnsi"/>
          <w:lang w:val="en-CA"/>
        </w:rPr>
      </w:pPr>
      <w:r w:rsidRPr="00474F2E">
        <w:rPr>
          <w:rFonts w:asciiTheme="majorHAnsi" w:hAnsiTheme="majorHAnsi" w:cstheme="minorHAnsi"/>
          <w:lang w:val="en-CA"/>
        </w:rPr>
        <w:lastRenderedPageBreak/>
        <w:t>Supplement</w:t>
      </w:r>
      <w:r w:rsidR="00A21A8C">
        <w:rPr>
          <w:rFonts w:asciiTheme="majorHAnsi" w:hAnsiTheme="majorHAnsi" w:cstheme="minorHAnsi"/>
          <w:lang w:val="en-CA"/>
        </w:rPr>
        <w:t>ary</w:t>
      </w:r>
      <w:r w:rsidRPr="00474F2E">
        <w:rPr>
          <w:rFonts w:asciiTheme="majorHAnsi" w:hAnsiTheme="majorHAnsi" w:cstheme="minorHAnsi"/>
          <w:lang w:val="en-CA"/>
        </w:rPr>
        <w:t xml:space="preserve"> Table </w:t>
      </w:r>
      <w:r w:rsidR="00F7130E">
        <w:rPr>
          <w:rFonts w:asciiTheme="majorHAnsi" w:hAnsiTheme="majorHAnsi" w:cstheme="minorHAnsi"/>
          <w:lang w:val="en-CA"/>
        </w:rPr>
        <w:t>S</w:t>
      </w:r>
      <w:r w:rsidRPr="00474F2E">
        <w:rPr>
          <w:rFonts w:asciiTheme="majorHAnsi" w:hAnsiTheme="majorHAnsi" w:cstheme="minorHAnsi"/>
          <w:lang w:val="en-CA"/>
        </w:rPr>
        <w:t>4:</w:t>
      </w:r>
      <w:r w:rsidR="00C7618A" w:rsidRPr="00474F2E">
        <w:rPr>
          <w:rFonts w:asciiTheme="majorHAnsi" w:hAnsiTheme="majorHAnsi" w:cstheme="minorHAnsi"/>
          <w:lang w:val="en-CA"/>
        </w:rPr>
        <w:t xml:space="preserve"> Additive and multiplicative models for the first and all hospitalizations of bronchiolitis among children born January 2007 to December 2010 (48 cohorts) older than 90 days</w:t>
      </w:r>
      <w:r w:rsidR="00C7618A" w:rsidRPr="00EA5405">
        <w:rPr>
          <w:rFonts w:asciiTheme="majorHAnsi" w:hAnsiTheme="majorHAnsi" w:cstheme="minorHAnsi"/>
          <w:lang w:val="en-CA"/>
        </w:rPr>
        <w:t xml:space="preserve"> of age</w:t>
      </w:r>
      <w:r w:rsidR="00C7618A" w:rsidRPr="00EA2968">
        <w:rPr>
          <w:rFonts w:asciiTheme="majorHAnsi" w:hAnsiTheme="majorHAnsi" w:cstheme="minorHAnsi"/>
          <w:lang w:val="en-CA"/>
        </w:rPr>
        <w:t xml:space="preserve"> </w:t>
      </w:r>
      <w:r w:rsidR="00C7618A" w:rsidRPr="00EA5405">
        <w:rPr>
          <w:rFonts w:asciiTheme="majorHAnsi" w:hAnsiTheme="majorHAnsi" w:cstheme="minorHAnsi"/>
          <w:lang w:val="en-CA"/>
        </w:rPr>
        <w:t>and</w:t>
      </w:r>
      <w:r w:rsidR="00C7618A" w:rsidRPr="00EA2968">
        <w:rPr>
          <w:rFonts w:asciiTheme="majorHAnsi" w:hAnsiTheme="majorHAnsi" w:cstheme="minorHAnsi"/>
          <w:lang w:val="en-CA"/>
        </w:rPr>
        <w:t xml:space="preserve"> </w:t>
      </w:r>
      <w:r w:rsidR="00C7618A" w:rsidRPr="00AE2C8B">
        <w:rPr>
          <w:rFonts w:asciiTheme="majorHAnsi" w:hAnsiTheme="majorHAnsi" w:cstheme="minorHAnsi"/>
          <w:lang w:val="en-CA"/>
        </w:rPr>
        <w:t>less than 2 years of age</w:t>
      </w:r>
      <w:r w:rsidR="00C7618A" w:rsidRPr="00EA5405">
        <w:rPr>
          <w:rFonts w:asciiTheme="majorHAnsi" w:hAnsiTheme="majorHAnsi" w:cstheme="minorHAnsi"/>
          <w:lang w:val="en-CA"/>
        </w:rPr>
        <w:t>, in the province of Quebec, Canada</w:t>
      </w:r>
      <w:r w:rsidR="000D7828">
        <w:rPr>
          <w:rFonts w:asciiTheme="majorHAnsi" w:hAnsiTheme="majorHAnsi" w:cstheme="minorHAnsi"/>
          <w:lang w:val="en-CA"/>
        </w:rPr>
        <w:t>.</w:t>
      </w:r>
    </w:p>
    <w:p w:rsidR="000D7828" w:rsidRDefault="000D7828" w:rsidP="00C7618A">
      <w:pPr>
        <w:spacing w:line="276" w:lineRule="auto"/>
        <w:jc w:val="both"/>
        <w:rPr>
          <w:rFonts w:asciiTheme="majorHAnsi" w:hAnsiTheme="majorHAnsi" w:cstheme="minorHAnsi"/>
          <w:lang w:val="en-CA"/>
        </w:rPr>
      </w:pPr>
    </w:p>
    <w:tbl>
      <w:tblPr>
        <w:tblStyle w:val="Ombrageclair1"/>
        <w:tblW w:w="10936" w:type="dxa"/>
        <w:jc w:val="center"/>
        <w:tblLook w:val="06A0" w:firstRow="1" w:lastRow="0" w:firstColumn="1" w:lastColumn="0" w:noHBand="1" w:noVBand="1"/>
      </w:tblPr>
      <w:tblGrid>
        <w:gridCol w:w="1816"/>
        <w:gridCol w:w="2437"/>
        <w:gridCol w:w="1263"/>
        <w:gridCol w:w="1100"/>
        <w:gridCol w:w="1180"/>
        <w:gridCol w:w="980"/>
        <w:gridCol w:w="1147"/>
        <w:gridCol w:w="1013"/>
      </w:tblGrid>
      <w:tr w:rsidR="000D7828" w:rsidRPr="00143F9F" w:rsidTr="00BD5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Merge w:val="restart"/>
            <w:vAlign w:val="center"/>
            <w:hideMark/>
          </w:tcPr>
          <w:p w:rsidR="000D7828" w:rsidRPr="0022184A" w:rsidRDefault="000D7828" w:rsidP="005A09F1">
            <w:pPr>
              <w:ind w:left="355" w:hanging="355"/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  <w:p w:rsidR="000D7828" w:rsidRPr="0022184A" w:rsidRDefault="000D7828" w:rsidP="005A09F1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Predictors</w:t>
            </w:r>
          </w:p>
        </w:tc>
        <w:tc>
          <w:tcPr>
            <w:tcW w:w="2363" w:type="dxa"/>
            <w:gridSpan w:val="2"/>
            <w:tcBorders>
              <w:bottom w:val="nil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Additive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Poisson 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model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320" w:type="dxa"/>
            <w:gridSpan w:val="4"/>
            <w:tcBorders>
              <w:bottom w:val="nil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Multiplicative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Poisson 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model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0D7828" w:rsidRPr="0079121C" w:rsidTr="00BD53DB">
        <w:trPr>
          <w:trHeight w:val="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Merge/>
            <w:vAlign w:val="center"/>
            <w:hideMark/>
          </w:tcPr>
          <w:p w:rsidR="000D7828" w:rsidRPr="0022184A" w:rsidRDefault="000D7828" w:rsidP="005A09F1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4320" w:type="dxa"/>
            <w:gridSpan w:val="4"/>
            <w:tcBorders>
              <w:top w:val="nil"/>
              <w:bottom w:val="nil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  <w:lang w:val="en-CA"/>
              </w:rPr>
            </w:pPr>
          </w:p>
        </w:tc>
      </w:tr>
      <w:tr w:rsidR="000D7828" w:rsidRPr="00143F9F" w:rsidTr="008A0A15">
        <w:trPr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Merge/>
            <w:vAlign w:val="center"/>
            <w:hideMark/>
          </w:tcPr>
          <w:p w:rsidR="000D7828" w:rsidRPr="0022184A" w:rsidRDefault="000D7828" w:rsidP="005A09F1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First hospitalization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First hospitalization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s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All hospitalizations</w:t>
            </w:r>
          </w:p>
        </w:tc>
      </w:tr>
      <w:tr w:rsidR="000D7828" w:rsidRPr="00143F9F" w:rsidTr="00BD53D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Coefficient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7828" w:rsidRPr="00DD07DB" w:rsidRDefault="00DD07DB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i/>
                <w:color w:val="000000"/>
                <w:sz w:val="20"/>
                <w:szCs w:val="20"/>
              </w:rPr>
            </w:pPr>
            <w:r w:rsidRPr="00DD07DB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Rate Ratio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7828" w:rsidRPr="0022184A" w:rsidRDefault="00DD07DB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DD07DB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7828" w:rsidRPr="0022184A" w:rsidRDefault="000D7828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Rate Ratio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D7828" w:rsidRPr="0022184A" w:rsidRDefault="00DD07DB" w:rsidP="005A09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bCs w:val="0"/>
                <w:color w:val="000000"/>
                <w:sz w:val="20"/>
                <w:szCs w:val="20"/>
              </w:rPr>
            </w:pPr>
            <w:r w:rsidRPr="00DD07DB">
              <w:rPr>
                <w:rFonts w:asciiTheme="minorHAnsi" w:eastAsia="Times New Roman" w:hAnsiTheme="minorHAnsi"/>
                <w:b/>
                <w:i/>
                <w:color w:val="000000"/>
                <w:sz w:val="20"/>
                <w:szCs w:val="20"/>
                <w:lang w:val="en-US"/>
              </w:rPr>
              <w:t>P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 w:val="restart"/>
            <w:tcBorders>
              <w:top w:val="single" w:sz="4" w:space="0" w:color="auto"/>
            </w:tcBorders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Viral Circulation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RSV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0.006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1.04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1.04</w:t>
            </w:r>
          </w:p>
        </w:tc>
        <w:tc>
          <w:tcPr>
            <w:tcW w:w="1013" w:type="dxa"/>
            <w:tcBorders>
              <w:top w:val="single" w:sz="4" w:space="0" w:color="auto"/>
            </w:tcBorders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hMPV</w:t>
            </w:r>
          </w:p>
        </w:tc>
        <w:tc>
          <w:tcPr>
            <w:tcW w:w="1263" w:type="dxa"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0.003</w:t>
            </w:r>
          </w:p>
        </w:tc>
        <w:tc>
          <w:tcPr>
            <w:tcW w:w="1100" w:type="dxa"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&lt;.0</w:t>
            </w: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80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1.04</w:t>
            </w:r>
          </w:p>
        </w:tc>
        <w:tc>
          <w:tcPr>
            <w:tcW w:w="980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47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1.05</w:t>
            </w:r>
          </w:p>
        </w:tc>
        <w:tc>
          <w:tcPr>
            <w:tcW w:w="1013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</w:tr>
      <w:tr w:rsidR="000D7828" w:rsidRPr="00143F9F" w:rsidTr="005A09F1">
        <w:trPr>
          <w:trHeight w:val="2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1263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0.0003</w:t>
            </w:r>
          </w:p>
        </w:tc>
        <w:tc>
          <w:tcPr>
            <w:tcW w:w="1100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0.50</w:t>
            </w:r>
          </w:p>
        </w:tc>
        <w:tc>
          <w:tcPr>
            <w:tcW w:w="1180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1.01</w:t>
            </w:r>
          </w:p>
        </w:tc>
        <w:tc>
          <w:tcPr>
            <w:tcW w:w="980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0.00026</w:t>
            </w:r>
          </w:p>
        </w:tc>
        <w:tc>
          <w:tcPr>
            <w:tcW w:w="1147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1.01</w:t>
            </w:r>
          </w:p>
        </w:tc>
        <w:tc>
          <w:tcPr>
            <w:tcW w:w="1013" w:type="dxa"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0.00223</w:t>
            </w:r>
          </w:p>
        </w:tc>
      </w:tr>
      <w:tr w:rsidR="000D7828" w:rsidRPr="00143F9F" w:rsidTr="005A09F1">
        <w:trPr>
          <w:trHeight w:val="5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hideMark/>
          </w:tcPr>
          <w:p w:rsidR="000D7828" w:rsidRPr="0022184A" w:rsidRDefault="000F229C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T</w:t>
            </w:r>
            <w:r w:rsidR="000D7828"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emperature</w:t>
            </w:r>
            <w:r w:rsidR="000D7828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 xml:space="preserve"> 4</w:t>
            </w:r>
          </w:p>
        </w:tc>
        <w:tc>
          <w:tcPr>
            <w:tcW w:w="2437" w:type="dxa"/>
            <w:hideMark/>
          </w:tcPr>
          <w:p w:rsidR="000D7828" w:rsidRPr="00282401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82401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o</w:t>
            </w:r>
            <w:r w:rsidRPr="0028240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1263" w:type="dxa"/>
            <w:hideMark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0.004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1.03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1.03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 w:val="restart"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Age in months</w:t>
            </w: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3 – 5 months</w:t>
            </w:r>
          </w:p>
        </w:tc>
        <w:tc>
          <w:tcPr>
            <w:tcW w:w="1263" w:type="dxa"/>
            <w:hideMark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0.200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6.68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6.11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6 – 8 months</w:t>
            </w:r>
          </w:p>
        </w:tc>
        <w:tc>
          <w:tcPr>
            <w:tcW w:w="1263" w:type="dxa"/>
            <w:hideMark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0.138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4.56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4.44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9 – 11 months</w:t>
            </w:r>
          </w:p>
        </w:tc>
        <w:tc>
          <w:tcPr>
            <w:tcW w:w="1263" w:type="dxa"/>
            <w:hideMark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0.11</w:t>
            </w:r>
            <w:r w:rsidR="000D7828"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3.60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3.69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12 – 17 months</w:t>
            </w:r>
          </w:p>
        </w:tc>
        <w:tc>
          <w:tcPr>
            <w:tcW w:w="126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0.071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2.14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2.17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CA"/>
              </w:rPr>
              <w:t>18- 23 months</w:t>
            </w:r>
          </w:p>
        </w:tc>
        <w:tc>
          <w:tcPr>
            <w:tcW w:w="126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1100" w:type="dxa"/>
            <w:hideMark/>
          </w:tcPr>
          <w:p w:rsidR="000D7828" w:rsidRPr="00474F2E" w:rsidRDefault="006B77F7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80" w:type="dxa"/>
            <w:hideMark/>
          </w:tcPr>
          <w:p w:rsidR="000D7828" w:rsidRPr="00474F2E" w:rsidRDefault="00474F2E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980" w:type="dxa"/>
            <w:hideMark/>
          </w:tcPr>
          <w:p w:rsidR="000D7828" w:rsidRPr="00474F2E" w:rsidRDefault="006B77F7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1013" w:type="dxa"/>
            <w:hideMark/>
          </w:tcPr>
          <w:p w:rsidR="000D7828" w:rsidRPr="00474F2E" w:rsidRDefault="006B77F7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 w:val="restart"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Month of birth</w:t>
            </w: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Jan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–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Sep</w:t>
            </w:r>
          </w:p>
        </w:tc>
        <w:tc>
          <w:tcPr>
            <w:tcW w:w="126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1100" w:type="dxa"/>
            <w:hideMark/>
          </w:tcPr>
          <w:p w:rsidR="000D7828" w:rsidRPr="00474F2E" w:rsidRDefault="006B77F7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180" w:type="dxa"/>
            <w:hideMark/>
          </w:tcPr>
          <w:p w:rsidR="000D7828" w:rsidRPr="00474F2E" w:rsidRDefault="00474F2E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980" w:type="dxa"/>
            <w:hideMark/>
          </w:tcPr>
          <w:p w:rsidR="000D7828" w:rsidRPr="00474F2E" w:rsidRDefault="006B77F7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1013" w:type="dxa"/>
            <w:hideMark/>
          </w:tcPr>
          <w:p w:rsidR="000D7828" w:rsidRPr="00474F2E" w:rsidRDefault="006B77F7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Oct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–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Dec</w:t>
            </w:r>
          </w:p>
        </w:tc>
        <w:tc>
          <w:tcPr>
            <w:tcW w:w="1263" w:type="dxa"/>
            <w:hideMark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0.015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1.23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&lt;.0001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1.31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0.00151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H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ospitalization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year</w:t>
            </w: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color w:val="000000"/>
                <w:sz w:val="20"/>
                <w:szCs w:val="20"/>
              </w:rPr>
              <w:t>2007 to 2012</w:t>
            </w:r>
          </w:p>
        </w:tc>
        <w:tc>
          <w:tcPr>
            <w:tcW w:w="1263" w:type="dxa"/>
            <w:hideMark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-0.015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0.22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0.96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0.55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 w:val="restart"/>
            <w:hideMark/>
          </w:tcPr>
          <w:p w:rsidR="000D7828" w:rsidRPr="0022184A" w:rsidRDefault="000D7828" w:rsidP="00BA5CF6">
            <w:pPr>
              <w:jc w:val="center"/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Main vaccines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PCV-7 + PCV-7</w:t>
            </w:r>
          </w:p>
        </w:tc>
        <w:tc>
          <w:tcPr>
            <w:tcW w:w="126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1180" w:type="dxa"/>
            <w:hideMark/>
          </w:tcPr>
          <w:p w:rsidR="000D7828" w:rsidRPr="00474F2E" w:rsidRDefault="00474F2E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980" w:type="dxa"/>
            <w:hideMark/>
          </w:tcPr>
          <w:p w:rsidR="000D7828" w:rsidRPr="00474F2E" w:rsidRDefault="00474F2E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zh-CN"/>
              </w:rPr>
              <w:t>Ref</w:t>
            </w:r>
          </w:p>
        </w:tc>
        <w:tc>
          <w:tcPr>
            <w:tcW w:w="1013" w:type="dxa"/>
            <w:hideMark/>
          </w:tcPr>
          <w:p w:rsidR="000D7828" w:rsidRPr="00474F2E" w:rsidRDefault="00474F2E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color w:val="000000"/>
                <w:kern w:val="0"/>
                <w:sz w:val="20"/>
                <w:szCs w:val="20"/>
                <w:lang w:val="en-US" w:eastAsia="zh-CN"/>
              </w:rPr>
              <w:t>Ref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PCV-7 + PCV-7/PCV-10</w:t>
            </w:r>
          </w:p>
        </w:tc>
        <w:tc>
          <w:tcPr>
            <w:tcW w:w="1263" w:type="dxa"/>
            <w:hideMark/>
          </w:tcPr>
          <w:p w:rsidR="000D7828" w:rsidRPr="00474F2E" w:rsidRDefault="000D7828" w:rsidP="00B44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-0.00</w:t>
            </w:r>
            <w:r w:rsidR="00B4400B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0.58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0.47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0.46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PCV-7 + PCV-10</w:t>
            </w:r>
          </w:p>
        </w:tc>
        <w:tc>
          <w:tcPr>
            <w:tcW w:w="1263" w:type="dxa"/>
            <w:hideMark/>
          </w:tcPr>
          <w:p w:rsidR="000D7828" w:rsidRPr="00474F2E" w:rsidRDefault="000D7828" w:rsidP="00B44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0.01</w:t>
            </w:r>
            <w:r w:rsidR="00B4400B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0.18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0.98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0.93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0.59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PCV-7/PCV-10 + PCV-10</w:t>
            </w:r>
          </w:p>
        </w:tc>
        <w:tc>
          <w:tcPr>
            <w:tcW w:w="1263" w:type="dxa"/>
            <w:hideMark/>
          </w:tcPr>
          <w:p w:rsidR="000D7828" w:rsidRPr="00474F2E" w:rsidRDefault="000D7828" w:rsidP="00B44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0.01</w:t>
            </w:r>
            <w:r w:rsidR="00B4400B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0.20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0.96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0.68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0.39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PCV-10 + PCV-10</w:t>
            </w:r>
          </w:p>
        </w:tc>
        <w:tc>
          <w:tcPr>
            <w:tcW w:w="1263" w:type="dxa"/>
            <w:hideMark/>
          </w:tcPr>
          <w:p w:rsidR="000D7828" w:rsidRPr="00474F2E" w:rsidRDefault="000D7828" w:rsidP="00B44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0.037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0.03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0.99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0.91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0.52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PCV-10 + PCV-10/PCV-13</w:t>
            </w:r>
          </w:p>
        </w:tc>
        <w:tc>
          <w:tcPr>
            <w:tcW w:w="1263" w:type="dxa"/>
            <w:hideMark/>
          </w:tcPr>
          <w:p w:rsidR="000D7828" w:rsidRPr="00474F2E" w:rsidRDefault="000D7828" w:rsidP="00B44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0.031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0.12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1.17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0.15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1.12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0.54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PCV-10 + PCV-13</w:t>
            </w:r>
          </w:p>
        </w:tc>
        <w:tc>
          <w:tcPr>
            <w:tcW w:w="1263" w:type="dxa"/>
            <w:hideMark/>
          </w:tcPr>
          <w:p w:rsidR="000D7828" w:rsidRPr="00474F2E" w:rsidRDefault="000D7828" w:rsidP="00B44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0.02</w:t>
            </w:r>
            <w:r w:rsidR="00B4400B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0.32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1.00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1.00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0.88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0.54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PCV-10/PCV-13 + PCV-13</w:t>
            </w:r>
          </w:p>
        </w:tc>
        <w:tc>
          <w:tcPr>
            <w:tcW w:w="1263" w:type="dxa"/>
            <w:hideMark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0.036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0.16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1.00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0.97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0.90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0.63</w:t>
            </w:r>
          </w:p>
        </w:tc>
      </w:tr>
      <w:tr w:rsidR="000D7828" w:rsidRPr="00143F9F" w:rsidTr="005A09F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Merge/>
            <w:hideMark/>
          </w:tcPr>
          <w:p w:rsidR="000D7828" w:rsidRPr="0022184A" w:rsidRDefault="000D7828" w:rsidP="00BA5CF6">
            <w:pPr>
              <w:rPr>
                <w:rFonts w:asciiTheme="minorHAnsi" w:eastAsia="Times New Roman" w:hAnsiTheme="minorHAnsi"/>
                <w:b w:val="0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0D7828" w:rsidRPr="0022184A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PCV-13 + PCV-13</w:t>
            </w:r>
          </w:p>
        </w:tc>
        <w:tc>
          <w:tcPr>
            <w:tcW w:w="1263" w:type="dxa"/>
            <w:hideMark/>
          </w:tcPr>
          <w:p w:rsidR="000D7828" w:rsidRPr="00474F2E" w:rsidRDefault="00B4400B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-0.036</w:t>
            </w:r>
          </w:p>
        </w:tc>
        <w:tc>
          <w:tcPr>
            <w:tcW w:w="110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0.09</w:t>
            </w:r>
          </w:p>
        </w:tc>
        <w:tc>
          <w:tcPr>
            <w:tcW w:w="11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0.84</w:t>
            </w:r>
          </w:p>
        </w:tc>
        <w:tc>
          <w:tcPr>
            <w:tcW w:w="980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0.13</w:t>
            </w:r>
          </w:p>
        </w:tc>
        <w:tc>
          <w:tcPr>
            <w:tcW w:w="1147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 w:cs="Calibri"/>
                <w:bCs w:val="0"/>
                <w:color w:val="000000"/>
                <w:kern w:val="0"/>
                <w:sz w:val="20"/>
                <w:szCs w:val="20"/>
                <w:lang w:eastAsia="zh-CN"/>
              </w:rPr>
              <w:t>0.82</w:t>
            </w:r>
          </w:p>
        </w:tc>
        <w:tc>
          <w:tcPr>
            <w:tcW w:w="1013" w:type="dxa"/>
            <w:hideMark/>
          </w:tcPr>
          <w:p w:rsidR="000D7828" w:rsidRPr="00474F2E" w:rsidRDefault="000D7828" w:rsidP="00BA5C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474F2E">
              <w:rPr>
                <w:rFonts w:asciiTheme="minorHAnsi" w:eastAsia="Times New Roman" w:hAnsiTheme="minorHAnsi"/>
                <w:bCs w:val="0"/>
                <w:color w:val="000000"/>
                <w:kern w:val="0"/>
                <w:sz w:val="20"/>
                <w:szCs w:val="20"/>
                <w:lang w:eastAsia="zh-CN"/>
              </w:rPr>
              <w:t>0.35</w:t>
            </w:r>
          </w:p>
        </w:tc>
      </w:tr>
    </w:tbl>
    <w:p w:rsidR="000D7828" w:rsidRPr="000D7828" w:rsidRDefault="000D7828" w:rsidP="00C7618A">
      <w:pPr>
        <w:spacing w:line="276" w:lineRule="auto"/>
        <w:jc w:val="both"/>
        <w:rPr>
          <w:rFonts w:asciiTheme="majorHAnsi" w:hAnsiTheme="majorHAnsi" w:cstheme="minorHAnsi"/>
          <w:b/>
          <w:lang w:val="en-CA"/>
        </w:rPr>
      </w:pPr>
    </w:p>
    <w:p w:rsidR="00C20F92" w:rsidRDefault="00C20F92" w:rsidP="00C7618A">
      <w:pPr>
        <w:spacing w:line="276" w:lineRule="auto"/>
        <w:jc w:val="both"/>
        <w:rPr>
          <w:rFonts w:asciiTheme="majorHAnsi" w:hAnsiTheme="majorHAnsi" w:cstheme="minorHAnsi"/>
          <w:lang w:val="en-CA"/>
        </w:rPr>
      </w:pPr>
    </w:p>
    <w:p w:rsidR="00484E0A" w:rsidRPr="00510CD2" w:rsidRDefault="00510CD2" w:rsidP="00F7130E">
      <w:pPr>
        <w:spacing w:line="480" w:lineRule="auto"/>
        <w:jc w:val="both"/>
        <w:rPr>
          <w:rFonts w:asciiTheme="majorHAnsi" w:hAnsiTheme="majorHAnsi" w:cstheme="minorHAnsi"/>
          <w:sz w:val="20"/>
          <w:szCs w:val="20"/>
          <w:lang w:val="en-CA"/>
        </w:rPr>
      </w:pP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1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614DE8">
        <w:rPr>
          <w:rFonts w:asciiTheme="majorHAnsi" w:hAnsiTheme="majorHAnsi" w:cstheme="minorHAnsi"/>
          <w:sz w:val="20"/>
          <w:szCs w:val="20"/>
          <w:lang w:val="en-CA"/>
        </w:rPr>
        <w:t>Additive Poisson model assum</w:t>
      </w:r>
      <w:r>
        <w:rPr>
          <w:rFonts w:asciiTheme="majorHAnsi" w:hAnsiTheme="majorHAnsi" w:cstheme="minorHAnsi"/>
          <w:sz w:val="20"/>
          <w:szCs w:val="20"/>
          <w:lang w:val="en-CA"/>
        </w:rPr>
        <w:t>es</w:t>
      </w:r>
      <w:r w:rsidRPr="00614DE8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a linear relationship between intensity of exposure and response;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2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>Multiplicative Poisson model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implies an exponential relation</w:t>
      </w:r>
      <w:r>
        <w:rPr>
          <w:rFonts w:asciiTheme="majorHAnsi" w:hAnsiTheme="majorHAnsi" w:cstheme="minorHAnsi"/>
          <w:sz w:val="20"/>
          <w:szCs w:val="20"/>
          <w:lang w:val="en-CA"/>
        </w:rPr>
        <w:t>ship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between </w:t>
      </w:r>
      <w:r>
        <w:rPr>
          <w:rFonts w:asciiTheme="majorHAnsi" w:hAnsiTheme="majorHAnsi" w:cstheme="minorHAnsi"/>
          <w:sz w:val="20"/>
          <w:szCs w:val="20"/>
          <w:lang w:val="en-CA"/>
        </w:rPr>
        <w:t>intensity of exposure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and response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3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>W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e</w:t>
      </w:r>
      <w:r>
        <w:rPr>
          <w:rFonts w:asciiTheme="majorHAnsi" w:hAnsiTheme="majorHAnsi" w:cstheme="minorHAnsi"/>
          <w:sz w:val="20"/>
          <w:szCs w:val="20"/>
          <w:lang w:val="en-CA"/>
        </w:rPr>
        <w:t>e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kly percentage of positive tests;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4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7-day moving average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ambient air temperature (inversed) recorded in 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>Trois-Rivières</w:t>
      </w:r>
      <w:r w:rsidRPr="002C4DE8">
        <w:rPr>
          <w:rFonts w:asciiTheme="majorHAnsi" w:hAnsiTheme="majorHAnsi" w:cstheme="minorHAnsi"/>
          <w:sz w:val="20"/>
          <w:szCs w:val="20"/>
          <w:lang w:val="en-CA"/>
        </w:rPr>
        <w:t xml:space="preserve">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5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2C4DE8">
        <w:rPr>
          <w:rFonts w:asciiTheme="majorHAnsi" w:hAnsiTheme="majorHAnsi" w:cstheme="minorHAnsi" w:hint="eastAsia"/>
          <w:sz w:val="20"/>
          <w:szCs w:val="20"/>
          <w:lang w:val="en-CA"/>
        </w:rPr>
        <w:t>≥</w:t>
      </w:r>
      <w:r w:rsidRPr="002C4DE8">
        <w:rPr>
          <w:rFonts w:asciiTheme="majorHAnsi" w:hAnsiTheme="majorHAnsi" w:cstheme="minorHAnsi" w:hint="eastAsia"/>
          <w:sz w:val="20"/>
          <w:szCs w:val="20"/>
          <w:lang w:val="en-CA"/>
        </w:rPr>
        <w:t xml:space="preserve">90% of doses </w:t>
      </w:r>
      <w:r w:rsidRPr="002C4DE8">
        <w:rPr>
          <w:rFonts w:asciiTheme="majorHAnsi" w:hAnsiTheme="majorHAnsi" w:cstheme="minorHAnsi"/>
          <w:sz w:val="20"/>
          <w:szCs w:val="20"/>
          <w:lang w:val="en-CA"/>
        </w:rPr>
        <w:t>administered in each monthly birth cohorts for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 the primary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infant 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series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 + toddler 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booster.</w:t>
      </w:r>
    </w:p>
    <w:p w:rsidR="00484E0A" w:rsidRDefault="00484E0A" w:rsidP="0079121C">
      <w:pPr>
        <w:spacing w:line="276" w:lineRule="auto"/>
        <w:jc w:val="both"/>
        <w:rPr>
          <w:rFonts w:asciiTheme="majorHAnsi" w:hAnsiTheme="majorHAnsi" w:cstheme="minorHAnsi"/>
          <w:lang w:val="en-CA"/>
        </w:rPr>
      </w:pPr>
    </w:p>
    <w:p w:rsidR="00510CD2" w:rsidRDefault="00510CD2">
      <w:pPr>
        <w:spacing w:after="200" w:line="276" w:lineRule="auto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br w:type="page"/>
      </w:r>
    </w:p>
    <w:p w:rsidR="0079121C" w:rsidRPr="00474F2E" w:rsidRDefault="000D7AB6" w:rsidP="00F7130E">
      <w:pPr>
        <w:spacing w:line="480" w:lineRule="auto"/>
        <w:jc w:val="both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lastRenderedPageBreak/>
        <w:t>Supplement</w:t>
      </w:r>
      <w:r w:rsidR="00A21A8C">
        <w:rPr>
          <w:rFonts w:asciiTheme="majorHAnsi" w:hAnsiTheme="majorHAnsi" w:cstheme="minorHAnsi"/>
          <w:lang w:val="en-CA"/>
        </w:rPr>
        <w:t>ary</w:t>
      </w:r>
      <w:r>
        <w:rPr>
          <w:rFonts w:asciiTheme="majorHAnsi" w:hAnsiTheme="majorHAnsi" w:cstheme="minorHAnsi"/>
          <w:lang w:val="en-CA"/>
        </w:rPr>
        <w:t xml:space="preserve"> </w:t>
      </w:r>
      <w:r w:rsidR="0079121C" w:rsidRPr="00474F2E">
        <w:rPr>
          <w:rFonts w:asciiTheme="majorHAnsi" w:hAnsiTheme="majorHAnsi" w:cstheme="minorHAnsi"/>
          <w:lang w:val="en-CA"/>
        </w:rPr>
        <w:t xml:space="preserve">Table </w:t>
      </w:r>
      <w:r w:rsidR="00F7130E">
        <w:rPr>
          <w:rFonts w:asciiTheme="majorHAnsi" w:hAnsiTheme="majorHAnsi" w:cstheme="minorHAnsi"/>
          <w:lang w:val="en-CA"/>
        </w:rPr>
        <w:t>S</w:t>
      </w:r>
      <w:r w:rsidR="0079121C" w:rsidRPr="00474F2E">
        <w:rPr>
          <w:rFonts w:asciiTheme="majorHAnsi" w:hAnsiTheme="majorHAnsi" w:cstheme="minorHAnsi"/>
          <w:lang w:val="en-CA"/>
        </w:rPr>
        <w:t xml:space="preserve">5: Fraction of </w:t>
      </w:r>
      <w:r w:rsidR="00EB540C">
        <w:rPr>
          <w:rFonts w:asciiTheme="majorHAnsi" w:hAnsiTheme="majorHAnsi" w:cstheme="minorHAnsi"/>
          <w:lang w:val="en-CA"/>
        </w:rPr>
        <w:t>p</w:t>
      </w:r>
      <w:r w:rsidR="0079121C" w:rsidRPr="00474F2E">
        <w:rPr>
          <w:rFonts w:asciiTheme="majorHAnsi" w:hAnsiTheme="majorHAnsi" w:cstheme="minorHAnsi"/>
          <w:lang w:val="en-CA"/>
        </w:rPr>
        <w:t xml:space="preserve">neumonia hospitalization cases attributable to virus and temperature </w:t>
      </w:r>
      <w:r w:rsidR="005B4D5F">
        <w:rPr>
          <w:rFonts w:asciiTheme="majorHAnsi" w:hAnsiTheme="majorHAnsi" w:cstheme="minorHAnsi"/>
          <w:lang w:val="en-CA"/>
        </w:rPr>
        <w:t>in</w:t>
      </w:r>
      <w:r w:rsidR="0079121C" w:rsidRPr="00474F2E">
        <w:rPr>
          <w:rFonts w:asciiTheme="majorHAnsi" w:hAnsiTheme="majorHAnsi" w:cstheme="minorHAnsi"/>
          <w:lang w:val="en-CA"/>
        </w:rPr>
        <w:t xml:space="preserve"> the additive model and multiplicative models</w:t>
      </w:r>
    </w:p>
    <w:p w:rsidR="00474F2E" w:rsidRPr="00654401" w:rsidRDefault="00474F2E" w:rsidP="0079121C">
      <w:pPr>
        <w:spacing w:line="276" w:lineRule="auto"/>
        <w:jc w:val="both"/>
        <w:rPr>
          <w:rFonts w:asciiTheme="majorHAnsi" w:hAnsiTheme="majorHAnsi" w:cstheme="minorHAnsi"/>
          <w:lang w:val="en-CA"/>
        </w:rPr>
      </w:pPr>
    </w:p>
    <w:tbl>
      <w:tblPr>
        <w:tblStyle w:val="LightShading"/>
        <w:tblW w:w="10432" w:type="dxa"/>
        <w:jc w:val="center"/>
        <w:tblLook w:val="06A0" w:firstRow="1" w:lastRow="0" w:firstColumn="1" w:lastColumn="0" w:noHBand="1" w:noVBand="1"/>
      </w:tblPr>
      <w:tblGrid>
        <w:gridCol w:w="1605"/>
        <w:gridCol w:w="1354"/>
        <w:gridCol w:w="960"/>
        <w:gridCol w:w="1552"/>
        <w:gridCol w:w="1312"/>
        <w:gridCol w:w="1384"/>
        <w:gridCol w:w="706"/>
        <w:gridCol w:w="1559"/>
      </w:tblGrid>
      <w:tr w:rsidR="0015219B" w:rsidRPr="00125381" w:rsidTr="00DB6E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gridSpan w:val="2"/>
            <w:vMerge w:val="restart"/>
            <w:shd w:val="clear" w:color="auto" w:fill="auto"/>
            <w:vAlign w:val="center"/>
          </w:tcPr>
          <w:p w:rsidR="0015219B" w:rsidRPr="00125381" w:rsidRDefault="0015219B" w:rsidP="0022184A">
            <w:pPr>
              <w:jc w:val="center"/>
              <w:rPr>
                <w:b w:val="0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kern w:val="24"/>
                <w:sz w:val="20"/>
                <w:szCs w:val="20"/>
                <w:lang w:val="en-US"/>
              </w:rPr>
              <w:t>Predictors</w:t>
            </w:r>
          </w:p>
        </w:tc>
        <w:tc>
          <w:tcPr>
            <w:tcW w:w="2512" w:type="dxa"/>
            <w:gridSpan w:val="2"/>
            <w:tcBorders>
              <w:bottom w:val="nil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Additive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Poisson 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model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961" w:type="dxa"/>
            <w:gridSpan w:val="4"/>
            <w:tcBorders>
              <w:bottom w:val="nil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en-US"/>
              </w:rPr>
            </w:pP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Multiplicative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Poisson </w:t>
            </w:r>
            <w:r w:rsidRPr="0022184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>model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15219B" w:rsidRPr="00125381" w:rsidTr="00DB6EF7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gridSpan w:val="2"/>
            <w:vMerge/>
            <w:shd w:val="clear" w:color="auto" w:fill="auto"/>
            <w:vAlign w:val="center"/>
          </w:tcPr>
          <w:p w:rsidR="0015219B" w:rsidRPr="00125381" w:rsidRDefault="0015219B" w:rsidP="0022184A">
            <w:pPr>
              <w:jc w:val="center"/>
              <w:rPr>
                <w:b w:val="0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51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219B" w:rsidRPr="00125381" w:rsidRDefault="0015219B" w:rsidP="00474F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  <w:r w:rsidRPr="00125381">
              <w:rPr>
                <w:b/>
                <w:sz w:val="20"/>
                <w:szCs w:val="20"/>
                <w:lang w:val="en-US"/>
              </w:rPr>
              <w:t>irst hospitalization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69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</w:t>
            </w:r>
            <w:r w:rsidRPr="00125381">
              <w:rPr>
                <w:b/>
                <w:sz w:val="20"/>
                <w:szCs w:val="20"/>
                <w:lang w:val="en-US"/>
              </w:rPr>
              <w:t>irst hospitalization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2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5219B" w:rsidRPr="00125381" w:rsidRDefault="0015219B" w:rsidP="00510C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All hospitalizations</w:t>
            </w:r>
          </w:p>
        </w:tc>
      </w:tr>
      <w:tr w:rsidR="0015219B" w:rsidRPr="00125381" w:rsidTr="00DB6EF7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219B" w:rsidRPr="00125381" w:rsidRDefault="0015219B" w:rsidP="0022184A">
            <w:pPr>
              <w:jc w:val="center"/>
              <w:rPr>
                <w:rFonts w:eastAsia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219B" w:rsidRPr="00125381" w:rsidRDefault="0015219B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95% CI</w:t>
            </w:r>
          </w:p>
        </w:tc>
      </w:tr>
      <w:tr w:rsidR="000C59D6" w:rsidRPr="00125381" w:rsidTr="0015219B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59D6" w:rsidRPr="00125381" w:rsidRDefault="000C59D6" w:rsidP="00E537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 xml:space="preserve">Viral Circulation </w:t>
            </w:r>
            <w:r w:rsidR="00474F2E">
              <w:rPr>
                <w:rFonts w:asciiTheme="minorHAnsi" w:eastAsia="Times New Roman" w:hAnsiTheme="minorHAnsi"/>
                <w:b w:val="0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>RSV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24.0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16.0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30.4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20.9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13.1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27.4</w:t>
            </w: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9.8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24.1</w:t>
            </w:r>
          </w:p>
        </w:tc>
      </w:tr>
      <w:tr w:rsidR="000C59D6" w:rsidRPr="00125381" w:rsidTr="00A11608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Merge/>
            <w:shd w:val="clear" w:color="auto" w:fill="auto"/>
            <w:vAlign w:val="center"/>
            <w:hideMark/>
          </w:tcPr>
          <w:p w:rsidR="000C59D6" w:rsidRPr="00125381" w:rsidRDefault="000C59D6" w:rsidP="0022184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>hMPV</w:t>
            </w:r>
          </w:p>
        </w:tc>
        <w:tc>
          <w:tcPr>
            <w:tcW w:w="960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7.8</w:t>
            </w:r>
          </w:p>
        </w:tc>
        <w:tc>
          <w:tcPr>
            <w:tcW w:w="1552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4.7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11.3</w:t>
            </w:r>
          </w:p>
        </w:tc>
        <w:tc>
          <w:tcPr>
            <w:tcW w:w="1312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13.0</w:t>
            </w:r>
          </w:p>
        </w:tc>
        <w:tc>
          <w:tcPr>
            <w:tcW w:w="1384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10.1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15.8</w:t>
            </w:r>
          </w:p>
        </w:tc>
        <w:tc>
          <w:tcPr>
            <w:tcW w:w="706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12.2</w:t>
            </w:r>
          </w:p>
        </w:tc>
        <w:tc>
          <w:tcPr>
            <w:tcW w:w="1559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9.5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14.8</w:t>
            </w:r>
          </w:p>
        </w:tc>
      </w:tr>
      <w:tr w:rsidR="000C59D6" w:rsidRPr="00125381" w:rsidTr="00A11608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vMerge/>
            <w:shd w:val="clear" w:color="auto" w:fill="auto"/>
            <w:vAlign w:val="center"/>
            <w:hideMark/>
          </w:tcPr>
          <w:p w:rsidR="000C59D6" w:rsidRPr="00125381" w:rsidRDefault="000C59D6" w:rsidP="0022184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54" w:type="dxa"/>
            <w:shd w:val="clear" w:color="auto" w:fill="auto"/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</w:rPr>
              <w:t>Influenza</w:t>
            </w:r>
          </w:p>
        </w:tc>
        <w:tc>
          <w:tcPr>
            <w:tcW w:w="960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3.4</w:t>
            </w:r>
          </w:p>
        </w:tc>
        <w:tc>
          <w:tcPr>
            <w:tcW w:w="1552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0.9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6.8</w:t>
            </w:r>
          </w:p>
        </w:tc>
        <w:tc>
          <w:tcPr>
            <w:tcW w:w="1312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6.9</w:t>
            </w:r>
          </w:p>
        </w:tc>
        <w:tc>
          <w:tcPr>
            <w:tcW w:w="1384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3.5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10.2</w:t>
            </w:r>
          </w:p>
        </w:tc>
        <w:tc>
          <w:tcPr>
            <w:tcW w:w="706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5.9</w:t>
            </w:r>
          </w:p>
        </w:tc>
        <w:tc>
          <w:tcPr>
            <w:tcW w:w="1559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2.3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9.2</w:t>
            </w:r>
          </w:p>
        </w:tc>
      </w:tr>
      <w:tr w:rsidR="000C59D6" w:rsidRPr="00125381" w:rsidTr="00A11608">
        <w:trPr>
          <w:trHeight w:val="6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dxa"/>
            <w:shd w:val="clear" w:color="auto" w:fill="auto"/>
            <w:vAlign w:val="center"/>
            <w:hideMark/>
          </w:tcPr>
          <w:p w:rsidR="000C59D6" w:rsidRPr="00125381" w:rsidRDefault="000C59D6" w:rsidP="00E5373C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 xml:space="preserve">Temperature </w:t>
            </w:r>
            <w:r w:rsidR="00474F2E">
              <w:rPr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474F2E">
              <w:rPr>
                <w:rFonts w:asciiTheme="minorHAnsi" w:eastAsia="Times New Roman" w:hAnsiTheme="minorHAnsi"/>
                <w:b w:val="0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0C59D6" w:rsidRPr="00125381" w:rsidRDefault="00E5373C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>(</w:t>
            </w:r>
            <w:r w:rsidRPr="00125381">
              <w:rPr>
                <w:color w:val="000000" w:themeColor="text1"/>
                <w:kern w:val="24"/>
                <w:sz w:val="20"/>
                <w:szCs w:val="20"/>
                <w:vertAlign w:val="superscript"/>
                <w:lang w:val="en-US"/>
              </w:rPr>
              <w:t>o</w:t>
            </w: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>C)</w:t>
            </w:r>
          </w:p>
        </w:tc>
        <w:tc>
          <w:tcPr>
            <w:tcW w:w="960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41.4</w:t>
            </w:r>
          </w:p>
        </w:tc>
        <w:tc>
          <w:tcPr>
            <w:tcW w:w="1552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28.7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51.0</w:t>
            </w:r>
          </w:p>
        </w:tc>
        <w:tc>
          <w:tcPr>
            <w:tcW w:w="1312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49.2</w:t>
            </w:r>
          </w:p>
        </w:tc>
        <w:tc>
          <w:tcPr>
            <w:tcW w:w="1384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40.5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56.3</w:t>
            </w:r>
          </w:p>
        </w:tc>
        <w:tc>
          <w:tcPr>
            <w:tcW w:w="706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49.2</w:t>
            </w:r>
          </w:p>
        </w:tc>
        <w:tc>
          <w:tcPr>
            <w:tcW w:w="1559" w:type="dxa"/>
            <w:vAlign w:val="center"/>
          </w:tcPr>
          <w:p w:rsidR="000C59D6" w:rsidRPr="000C59D6" w:rsidRDefault="000C59D6" w:rsidP="000C59D6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41.0</w:t>
            </w:r>
            <w:r w:rsidR="005A6393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55.9</w:t>
            </w:r>
          </w:p>
        </w:tc>
      </w:tr>
    </w:tbl>
    <w:p w:rsidR="007A32F0" w:rsidRPr="00AE2C8B" w:rsidRDefault="007A32F0" w:rsidP="00F7130E">
      <w:pPr>
        <w:spacing w:line="480" w:lineRule="auto"/>
        <w:rPr>
          <w:rFonts w:asciiTheme="majorHAnsi" w:hAnsiTheme="majorHAnsi" w:cstheme="minorHAnsi"/>
          <w:sz w:val="20"/>
          <w:szCs w:val="20"/>
          <w:lang w:val="en-CA"/>
        </w:rPr>
      </w:pPr>
    </w:p>
    <w:p w:rsidR="00510CD2" w:rsidRPr="007A78DC" w:rsidRDefault="00510CD2" w:rsidP="00F7130E">
      <w:pPr>
        <w:spacing w:line="480" w:lineRule="auto"/>
        <w:jc w:val="both"/>
        <w:rPr>
          <w:rFonts w:asciiTheme="majorHAnsi" w:hAnsiTheme="majorHAnsi" w:cstheme="minorHAnsi"/>
          <w:sz w:val="20"/>
          <w:szCs w:val="20"/>
          <w:lang w:val="en-CA"/>
        </w:rPr>
      </w:pP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1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614DE8">
        <w:rPr>
          <w:rFonts w:asciiTheme="majorHAnsi" w:hAnsiTheme="majorHAnsi" w:cstheme="minorHAnsi"/>
          <w:sz w:val="20"/>
          <w:szCs w:val="20"/>
          <w:lang w:val="en-CA"/>
        </w:rPr>
        <w:t>Additive Poisson model assum</w:t>
      </w:r>
      <w:r>
        <w:rPr>
          <w:rFonts w:asciiTheme="majorHAnsi" w:hAnsiTheme="majorHAnsi" w:cstheme="minorHAnsi"/>
          <w:sz w:val="20"/>
          <w:szCs w:val="20"/>
          <w:lang w:val="en-CA"/>
        </w:rPr>
        <w:t>es</w:t>
      </w:r>
      <w:r w:rsidRPr="00614DE8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a linear relationship between intensity of exposure and response;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2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>Multiplicative Poisson model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implies an exponential relation</w:t>
      </w:r>
      <w:r>
        <w:rPr>
          <w:rFonts w:asciiTheme="majorHAnsi" w:hAnsiTheme="majorHAnsi" w:cstheme="minorHAnsi"/>
          <w:sz w:val="20"/>
          <w:szCs w:val="20"/>
          <w:lang w:val="en-CA"/>
        </w:rPr>
        <w:t>ship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between </w:t>
      </w:r>
      <w:r>
        <w:rPr>
          <w:rFonts w:asciiTheme="majorHAnsi" w:hAnsiTheme="majorHAnsi" w:cstheme="minorHAnsi"/>
          <w:sz w:val="20"/>
          <w:szCs w:val="20"/>
          <w:lang w:val="en-CA"/>
        </w:rPr>
        <w:t>intensity of exposure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and response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3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>W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e</w:t>
      </w:r>
      <w:r>
        <w:rPr>
          <w:rFonts w:asciiTheme="majorHAnsi" w:hAnsiTheme="majorHAnsi" w:cstheme="minorHAnsi"/>
          <w:sz w:val="20"/>
          <w:szCs w:val="20"/>
          <w:lang w:val="en-CA"/>
        </w:rPr>
        <w:t>e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kly percentage of positive tests;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4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7-day moving average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ambient air temperature (inversed) recorded in 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>Trois-Rivières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.</w:t>
      </w:r>
    </w:p>
    <w:p w:rsidR="007A32F0" w:rsidRDefault="007A32F0" w:rsidP="00F7130E">
      <w:pPr>
        <w:spacing w:after="200" w:line="480" w:lineRule="auto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br w:type="page"/>
      </w:r>
    </w:p>
    <w:p w:rsidR="0079121C" w:rsidRPr="00474F2E" w:rsidRDefault="00EB540C" w:rsidP="00F7130E">
      <w:pPr>
        <w:spacing w:line="480" w:lineRule="auto"/>
        <w:jc w:val="both"/>
        <w:rPr>
          <w:rFonts w:asciiTheme="majorHAnsi" w:hAnsiTheme="majorHAnsi" w:cstheme="minorHAnsi"/>
          <w:lang w:val="en-CA"/>
        </w:rPr>
      </w:pPr>
      <w:r>
        <w:rPr>
          <w:rFonts w:asciiTheme="majorHAnsi" w:hAnsiTheme="majorHAnsi" w:cstheme="minorHAnsi"/>
          <w:lang w:val="en-CA"/>
        </w:rPr>
        <w:lastRenderedPageBreak/>
        <w:t>Supplement</w:t>
      </w:r>
      <w:r w:rsidR="00A21A8C">
        <w:rPr>
          <w:rFonts w:asciiTheme="majorHAnsi" w:hAnsiTheme="majorHAnsi" w:cstheme="minorHAnsi"/>
          <w:lang w:val="en-CA"/>
        </w:rPr>
        <w:t>ary</w:t>
      </w:r>
      <w:r>
        <w:rPr>
          <w:rFonts w:asciiTheme="majorHAnsi" w:hAnsiTheme="majorHAnsi" w:cstheme="minorHAnsi"/>
          <w:lang w:val="en-CA"/>
        </w:rPr>
        <w:t xml:space="preserve"> </w:t>
      </w:r>
      <w:r w:rsidR="0079121C" w:rsidRPr="00474F2E">
        <w:rPr>
          <w:rFonts w:asciiTheme="majorHAnsi" w:hAnsiTheme="majorHAnsi" w:cstheme="minorHAnsi"/>
          <w:lang w:val="en-CA"/>
        </w:rPr>
        <w:t xml:space="preserve">Table </w:t>
      </w:r>
      <w:r w:rsidR="00F7130E">
        <w:rPr>
          <w:rFonts w:asciiTheme="majorHAnsi" w:hAnsiTheme="majorHAnsi" w:cstheme="minorHAnsi"/>
          <w:lang w:val="en-CA"/>
        </w:rPr>
        <w:t>S</w:t>
      </w:r>
      <w:r w:rsidR="0079121C" w:rsidRPr="00474F2E">
        <w:rPr>
          <w:rFonts w:asciiTheme="majorHAnsi" w:hAnsiTheme="majorHAnsi" w:cstheme="minorHAnsi"/>
          <w:lang w:val="en-CA"/>
        </w:rPr>
        <w:t xml:space="preserve">6: Fraction of </w:t>
      </w:r>
      <w:r w:rsidR="005B4D5F">
        <w:rPr>
          <w:rFonts w:asciiTheme="majorHAnsi" w:hAnsiTheme="majorHAnsi" w:cstheme="minorHAnsi"/>
          <w:lang w:val="en-CA"/>
        </w:rPr>
        <w:t>b</w:t>
      </w:r>
      <w:r w:rsidR="0079121C" w:rsidRPr="00474F2E">
        <w:rPr>
          <w:rFonts w:asciiTheme="majorHAnsi" w:hAnsiTheme="majorHAnsi" w:cstheme="minorHAnsi"/>
          <w:lang w:val="en-CA"/>
        </w:rPr>
        <w:t xml:space="preserve">ronchiolitis </w:t>
      </w:r>
      <w:r w:rsidR="00116BB1" w:rsidRPr="00474F2E">
        <w:rPr>
          <w:rFonts w:asciiTheme="majorHAnsi" w:hAnsiTheme="majorHAnsi" w:cstheme="minorHAnsi"/>
          <w:lang w:val="en-CA"/>
        </w:rPr>
        <w:t xml:space="preserve">(without bronchitis) </w:t>
      </w:r>
      <w:r w:rsidR="0079121C" w:rsidRPr="00474F2E">
        <w:rPr>
          <w:rFonts w:asciiTheme="majorHAnsi" w:hAnsiTheme="majorHAnsi" w:cstheme="minorHAnsi"/>
          <w:lang w:val="en-CA"/>
        </w:rPr>
        <w:t xml:space="preserve">hospitalization cases attributable to virus and temperature </w:t>
      </w:r>
      <w:r w:rsidR="005B4D5F">
        <w:rPr>
          <w:rFonts w:asciiTheme="majorHAnsi" w:hAnsiTheme="majorHAnsi" w:cstheme="minorHAnsi"/>
          <w:lang w:val="en-CA"/>
        </w:rPr>
        <w:t>in</w:t>
      </w:r>
      <w:r w:rsidR="0079121C" w:rsidRPr="00474F2E">
        <w:rPr>
          <w:rFonts w:asciiTheme="majorHAnsi" w:hAnsiTheme="majorHAnsi" w:cstheme="minorHAnsi"/>
          <w:lang w:val="en-CA"/>
        </w:rPr>
        <w:t xml:space="preserve"> the additive model and multiplicative models</w:t>
      </w:r>
    </w:p>
    <w:p w:rsidR="00474F2E" w:rsidRPr="00654401" w:rsidRDefault="00474F2E" w:rsidP="0079121C">
      <w:pPr>
        <w:spacing w:line="276" w:lineRule="auto"/>
        <w:jc w:val="both"/>
        <w:rPr>
          <w:rFonts w:asciiTheme="majorHAnsi" w:hAnsiTheme="majorHAnsi" w:cstheme="minorHAnsi"/>
          <w:lang w:val="en-CA"/>
        </w:rPr>
      </w:pPr>
    </w:p>
    <w:tbl>
      <w:tblPr>
        <w:tblStyle w:val="LightShading"/>
        <w:tblW w:w="10465" w:type="dxa"/>
        <w:jc w:val="center"/>
        <w:tblLook w:val="0680" w:firstRow="0" w:lastRow="0" w:firstColumn="1" w:lastColumn="0" w:noHBand="1" w:noVBand="1"/>
      </w:tblPr>
      <w:tblGrid>
        <w:gridCol w:w="1622"/>
        <w:gridCol w:w="1439"/>
        <w:gridCol w:w="1034"/>
        <w:gridCol w:w="1518"/>
        <w:gridCol w:w="850"/>
        <w:gridCol w:w="1701"/>
        <w:gridCol w:w="721"/>
        <w:gridCol w:w="1580"/>
      </w:tblGrid>
      <w:tr w:rsidR="00207668" w:rsidRPr="00125381" w:rsidTr="00310265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gridSpan w:val="2"/>
            <w:tcBorders>
              <w:top w:val="single" w:sz="8" w:space="0" w:color="000000" w:themeColor="text1"/>
              <w:bottom w:val="nil"/>
            </w:tcBorders>
            <w:shd w:val="clear" w:color="auto" w:fill="auto"/>
            <w:vAlign w:val="center"/>
          </w:tcPr>
          <w:p w:rsidR="00207668" w:rsidRPr="00125381" w:rsidRDefault="00207668" w:rsidP="0022184A">
            <w:pPr>
              <w:jc w:val="center"/>
              <w:rPr>
                <w:b w:val="0"/>
                <w:color w:val="000000" w:themeColor="text1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 w:themeColor="text1"/>
              <w:bottom w:val="nil"/>
            </w:tcBorders>
            <w:vAlign w:val="center"/>
          </w:tcPr>
          <w:p w:rsidR="00207668" w:rsidRPr="00125381" w:rsidRDefault="00207668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Additive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Poisson </w:t>
            </w: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model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4852" w:type="dxa"/>
            <w:gridSpan w:val="4"/>
            <w:tcBorders>
              <w:top w:val="single" w:sz="8" w:space="0" w:color="000000" w:themeColor="text1"/>
              <w:bottom w:val="nil"/>
            </w:tcBorders>
            <w:vAlign w:val="center"/>
          </w:tcPr>
          <w:p w:rsidR="00207668" w:rsidRPr="00125381" w:rsidRDefault="00207668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Multiplicative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Poisson </w:t>
            </w:r>
            <w:r w:rsidRPr="0022184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>model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0C59D6" w:rsidRPr="00125381" w:rsidTr="00310265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gridSpan w:val="2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59D6" w:rsidRPr="00125381" w:rsidRDefault="00E5373C" w:rsidP="0022184A">
            <w:pPr>
              <w:jc w:val="center"/>
              <w:rPr>
                <w:b w:val="0"/>
                <w:color w:val="000000" w:themeColor="text1"/>
                <w:kern w:val="24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kern w:val="24"/>
                <w:sz w:val="20"/>
                <w:szCs w:val="20"/>
                <w:lang w:val="en-US"/>
              </w:rPr>
              <w:t>Predictors</w:t>
            </w:r>
          </w:p>
        </w:tc>
        <w:tc>
          <w:tcPr>
            <w:tcW w:w="255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59D6" w:rsidRPr="00125381" w:rsidRDefault="00474F2E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</w:t>
            </w:r>
            <w:r w:rsidR="000C59D6" w:rsidRPr="00125381">
              <w:rPr>
                <w:b/>
                <w:sz w:val="20"/>
                <w:szCs w:val="20"/>
                <w:lang w:val="en-US"/>
              </w:rPr>
              <w:t>rst hospitalization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59D6" w:rsidRPr="00125381" w:rsidRDefault="00474F2E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Fi</w:t>
            </w:r>
            <w:r w:rsidR="000C59D6" w:rsidRPr="00125381">
              <w:rPr>
                <w:b/>
                <w:sz w:val="20"/>
                <w:szCs w:val="20"/>
                <w:lang w:val="en-US"/>
              </w:rPr>
              <w:t>rst hospitalization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3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All hospitalizations</w:t>
            </w:r>
          </w:p>
        </w:tc>
      </w:tr>
      <w:tr w:rsidR="000C59D6" w:rsidRPr="00125381" w:rsidTr="00310265">
        <w:trPr>
          <w:trHeight w:val="4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59D6" w:rsidRPr="00125381" w:rsidRDefault="000C59D6" w:rsidP="0022184A">
            <w:pPr>
              <w:jc w:val="center"/>
              <w:rPr>
                <w:rFonts w:eastAsia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125381">
              <w:rPr>
                <w:b/>
                <w:sz w:val="20"/>
                <w:szCs w:val="20"/>
                <w:lang w:val="en-US"/>
              </w:rPr>
              <w:t>95% CI</w:t>
            </w:r>
          </w:p>
        </w:tc>
      </w:tr>
      <w:tr w:rsidR="000C59D6" w:rsidRPr="00125381" w:rsidTr="00310265">
        <w:trPr>
          <w:trHeight w:val="3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59D6" w:rsidRPr="00125381" w:rsidRDefault="000C59D6" w:rsidP="006F5353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 xml:space="preserve">Viral Circulation </w:t>
            </w:r>
            <w:r w:rsidR="00474F2E">
              <w:rPr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 w:rsidR="00474F2E">
              <w:rPr>
                <w:rFonts w:asciiTheme="minorHAnsi" w:eastAsia="Times New Roman" w:hAnsiTheme="minorHAnsi"/>
                <w:b w:val="0"/>
                <w:color w:val="000000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>RSV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21.8</w:t>
            </w:r>
          </w:p>
        </w:tc>
        <w:tc>
          <w:tcPr>
            <w:tcW w:w="1518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17.6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26.4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47.5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43.3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51.1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42.6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38.3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46.5</w:t>
            </w:r>
          </w:p>
        </w:tc>
      </w:tr>
      <w:tr w:rsidR="000C59D6" w:rsidRPr="00125381" w:rsidTr="006F5353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/>
            <w:shd w:val="clear" w:color="auto" w:fill="auto"/>
            <w:vAlign w:val="center"/>
            <w:hideMark/>
          </w:tcPr>
          <w:p w:rsidR="000C59D6" w:rsidRPr="00125381" w:rsidRDefault="000C59D6" w:rsidP="0022184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>hMPV</w:t>
            </w:r>
          </w:p>
        </w:tc>
        <w:tc>
          <w:tcPr>
            <w:tcW w:w="1034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2.9</w:t>
            </w:r>
          </w:p>
        </w:tc>
        <w:tc>
          <w:tcPr>
            <w:tcW w:w="1518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1.0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4.9</w:t>
            </w:r>
          </w:p>
        </w:tc>
        <w:tc>
          <w:tcPr>
            <w:tcW w:w="850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12.3</w:t>
            </w:r>
          </w:p>
        </w:tc>
        <w:tc>
          <w:tcPr>
            <w:tcW w:w="1701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9.6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14.9</w:t>
            </w:r>
          </w:p>
        </w:tc>
        <w:tc>
          <w:tcPr>
            <w:tcW w:w="721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12.9</w:t>
            </w:r>
          </w:p>
        </w:tc>
        <w:tc>
          <w:tcPr>
            <w:tcW w:w="1580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10.3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15.3</w:t>
            </w:r>
          </w:p>
        </w:tc>
      </w:tr>
      <w:tr w:rsidR="000C59D6" w:rsidRPr="00125381" w:rsidTr="006F5353">
        <w:trPr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vMerge/>
            <w:shd w:val="clear" w:color="auto" w:fill="auto"/>
            <w:vAlign w:val="center"/>
            <w:hideMark/>
          </w:tcPr>
          <w:p w:rsidR="000C59D6" w:rsidRPr="00125381" w:rsidRDefault="000C59D6" w:rsidP="0022184A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0C59D6" w:rsidRPr="00125381" w:rsidRDefault="000C59D6" w:rsidP="002218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</w:rPr>
              <w:t>Influenza</w:t>
            </w:r>
          </w:p>
        </w:tc>
        <w:tc>
          <w:tcPr>
            <w:tcW w:w="1034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0.6</w:t>
            </w:r>
          </w:p>
        </w:tc>
        <w:tc>
          <w:tcPr>
            <w:tcW w:w="1518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-1.2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2.7</w:t>
            </w:r>
          </w:p>
        </w:tc>
        <w:tc>
          <w:tcPr>
            <w:tcW w:w="850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6.1</w:t>
            </w:r>
          </w:p>
        </w:tc>
        <w:tc>
          <w:tcPr>
            <w:tcW w:w="1701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2.9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9.0</w:t>
            </w:r>
          </w:p>
        </w:tc>
        <w:tc>
          <w:tcPr>
            <w:tcW w:w="721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5.1</w:t>
            </w:r>
          </w:p>
        </w:tc>
        <w:tc>
          <w:tcPr>
            <w:tcW w:w="1580" w:type="dxa"/>
            <w:vAlign w:val="center"/>
          </w:tcPr>
          <w:p w:rsidR="000C59D6" w:rsidRPr="000C59D6" w:rsidRDefault="000C59D6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1.9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8.1</w:t>
            </w:r>
          </w:p>
        </w:tc>
      </w:tr>
      <w:tr w:rsidR="006F5353" w:rsidRPr="00125381" w:rsidTr="006462E0">
        <w:trPr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2" w:type="dxa"/>
            <w:shd w:val="clear" w:color="auto" w:fill="auto"/>
            <w:vAlign w:val="center"/>
            <w:hideMark/>
          </w:tcPr>
          <w:p w:rsidR="006F5353" w:rsidRPr="00125381" w:rsidRDefault="006F5353" w:rsidP="00442110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 xml:space="preserve">Temperature </w:t>
            </w:r>
            <w:r>
              <w:rPr>
                <w:color w:val="000000" w:themeColor="text1"/>
                <w:kern w:val="24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b w:val="0"/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F5353" w:rsidRPr="00125381" w:rsidRDefault="006F5353" w:rsidP="004421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US"/>
              </w:rPr>
            </w:pP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>(</w:t>
            </w:r>
            <w:r w:rsidRPr="00125381">
              <w:rPr>
                <w:color w:val="000000" w:themeColor="text1"/>
                <w:kern w:val="24"/>
                <w:sz w:val="20"/>
                <w:szCs w:val="20"/>
                <w:vertAlign w:val="superscript"/>
                <w:lang w:val="en-US"/>
              </w:rPr>
              <w:t>o</w:t>
            </w:r>
            <w:r w:rsidRPr="00125381">
              <w:rPr>
                <w:color w:val="000000" w:themeColor="text1"/>
                <w:kern w:val="24"/>
                <w:sz w:val="20"/>
                <w:szCs w:val="20"/>
                <w:lang w:val="en-US"/>
              </w:rPr>
              <w:t>C)</w:t>
            </w:r>
          </w:p>
        </w:tc>
        <w:tc>
          <w:tcPr>
            <w:tcW w:w="1034" w:type="dxa"/>
            <w:vAlign w:val="center"/>
          </w:tcPr>
          <w:p w:rsidR="006F5353" w:rsidRPr="000C59D6" w:rsidRDefault="006F5353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26.7</w:t>
            </w:r>
          </w:p>
        </w:tc>
        <w:tc>
          <w:tcPr>
            <w:tcW w:w="1518" w:type="dxa"/>
            <w:vAlign w:val="center"/>
          </w:tcPr>
          <w:p w:rsidR="006F5353" w:rsidRPr="000C59D6" w:rsidRDefault="006F5353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18.3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34.3</w:t>
            </w:r>
          </w:p>
        </w:tc>
        <w:tc>
          <w:tcPr>
            <w:tcW w:w="850" w:type="dxa"/>
            <w:vAlign w:val="center"/>
          </w:tcPr>
          <w:p w:rsidR="006F5353" w:rsidRPr="000C59D6" w:rsidRDefault="006F5353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54.2</w:t>
            </w:r>
          </w:p>
        </w:tc>
        <w:tc>
          <w:tcPr>
            <w:tcW w:w="1701" w:type="dxa"/>
            <w:vAlign w:val="center"/>
          </w:tcPr>
          <w:p w:rsidR="006F5353" w:rsidRPr="000C59D6" w:rsidRDefault="006F5353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46.9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60.2</w:t>
            </w:r>
          </w:p>
        </w:tc>
        <w:tc>
          <w:tcPr>
            <w:tcW w:w="721" w:type="dxa"/>
            <w:vAlign w:val="center"/>
          </w:tcPr>
          <w:p w:rsidR="006F5353" w:rsidRPr="000C59D6" w:rsidRDefault="006F5353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52.8</w:t>
            </w:r>
          </w:p>
        </w:tc>
        <w:tc>
          <w:tcPr>
            <w:tcW w:w="1580" w:type="dxa"/>
            <w:vAlign w:val="center"/>
          </w:tcPr>
          <w:p w:rsidR="006F5353" w:rsidRPr="000C59D6" w:rsidRDefault="006F5353" w:rsidP="0022184A">
            <w:pPr>
              <w:pStyle w:val="ListParagraph"/>
              <w:spacing w:after="0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46.1</w:t>
            </w:r>
            <w:r w:rsidR="00EC2EEB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>,</w:t>
            </w:r>
            <w:r w:rsidRPr="000C59D6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  <w:lang w:val="en-US"/>
              </w:rPr>
              <w:t xml:space="preserve"> 58.4</w:t>
            </w:r>
          </w:p>
        </w:tc>
      </w:tr>
    </w:tbl>
    <w:p w:rsidR="00E5373C" w:rsidRPr="00AE2C8B" w:rsidRDefault="00E5373C" w:rsidP="00E5373C">
      <w:pPr>
        <w:spacing w:line="276" w:lineRule="auto"/>
        <w:rPr>
          <w:rFonts w:asciiTheme="majorHAnsi" w:hAnsiTheme="majorHAnsi" w:cstheme="minorHAnsi"/>
          <w:sz w:val="20"/>
          <w:szCs w:val="20"/>
          <w:lang w:val="en-CA"/>
        </w:rPr>
      </w:pPr>
    </w:p>
    <w:p w:rsidR="00510CD2" w:rsidRPr="007A78DC" w:rsidRDefault="00510CD2" w:rsidP="00F7130E">
      <w:pPr>
        <w:spacing w:line="480" w:lineRule="auto"/>
        <w:jc w:val="both"/>
        <w:rPr>
          <w:rFonts w:asciiTheme="majorHAnsi" w:hAnsiTheme="majorHAnsi" w:cstheme="minorHAnsi"/>
          <w:sz w:val="20"/>
          <w:szCs w:val="20"/>
          <w:lang w:val="en-CA"/>
        </w:rPr>
      </w:pP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1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614DE8">
        <w:rPr>
          <w:rFonts w:asciiTheme="majorHAnsi" w:hAnsiTheme="majorHAnsi" w:cstheme="minorHAnsi"/>
          <w:sz w:val="20"/>
          <w:szCs w:val="20"/>
          <w:lang w:val="en-CA"/>
        </w:rPr>
        <w:t>Additive Poisson model assum</w:t>
      </w:r>
      <w:r>
        <w:rPr>
          <w:rFonts w:asciiTheme="majorHAnsi" w:hAnsiTheme="majorHAnsi" w:cstheme="minorHAnsi"/>
          <w:sz w:val="20"/>
          <w:szCs w:val="20"/>
          <w:lang w:val="en-CA"/>
        </w:rPr>
        <w:t>es</w:t>
      </w:r>
      <w:r w:rsidRPr="00614DE8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a linear relationship between intensity of exposure and response;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2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>Multiplicative Poisson model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implies an exponential relation</w:t>
      </w:r>
      <w:r>
        <w:rPr>
          <w:rFonts w:asciiTheme="majorHAnsi" w:hAnsiTheme="majorHAnsi" w:cstheme="minorHAnsi"/>
          <w:sz w:val="20"/>
          <w:szCs w:val="20"/>
          <w:lang w:val="en-CA"/>
        </w:rPr>
        <w:t>ship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between </w:t>
      </w:r>
      <w:r>
        <w:rPr>
          <w:rFonts w:asciiTheme="majorHAnsi" w:hAnsiTheme="majorHAnsi" w:cstheme="minorHAnsi"/>
          <w:sz w:val="20"/>
          <w:szCs w:val="20"/>
          <w:lang w:val="en-CA"/>
        </w:rPr>
        <w:t>intensity of exposure</w:t>
      </w:r>
      <w:r w:rsidRPr="00B7423C">
        <w:rPr>
          <w:rFonts w:asciiTheme="majorHAnsi" w:hAnsiTheme="majorHAnsi" w:cstheme="minorHAnsi"/>
          <w:sz w:val="20"/>
          <w:szCs w:val="20"/>
          <w:lang w:val="en-CA"/>
        </w:rPr>
        <w:t xml:space="preserve"> and response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3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>
        <w:rPr>
          <w:rFonts w:asciiTheme="majorHAnsi" w:hAnsiTheme="majorHAnsi" w:cstheme="minorHAnsi"/>
          <w:sz w:val="20"/>
          <w:szCs w:val="20"/>
          <w:lang w:val="en-CA"/>
        </w:rPr>
        <w:t>W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e</w:t>
      </w:r>
      <w:r>
        <w:rPr>
          <w:rFonts w:asciiTheme="majorHAnsi" w:hAnsiTheme="majorHAnsi" w:cstheme="minorHAnsi"/>
          <w:sz w:val="20"/>
          <w:szCs w:val="20"/>
          <w:lang w:val="en-CA"/>
        </w:rPr>
        <w:t>e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kly percentage of positive tests; </w:t>
      </w:r>
      <w:r w:rsidRPr="007A78DC">
        <w:rPr>
          <w:rFonts w:asciiTheme="majorHAnsi" w:hAnsiTheme="majorHAnsi" w:cstheme="minorHAnsi"/>
          <w:sz w:val="20"/>
          <w:szCs w:val="20"/>
          <w:vertAlign w:val="superscript"/>
          <w:lang w:val="en-CA"/>
        </w:rPr>
        <w:t>4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 xml:space="preserve"> 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 xml:space="preserve">7-day moving average </w:t>
      </w:r>
      <w:r>
        <w:rPr>
          <w:rFonts w:asciiTheme="majorHAnsi" w:hAnsiTheme="majorHAnsi" w:cstheme="minorHAnsi"/>
          <w:sz w:val="20"/>
          <w:szCs w:val="20"/>
          <w:lang w:val="en-CA"/>
        </w:rPr>
        <w:t xml:space="preserve">ambient air temperature (inversed) recorded in </w:t>
      </w:r>
      <w:r w:rsidRPr="007A78DC">
        <w:rPr>
          <w:rFonts w:asciiTheme="majorHAnsi" w:hAnsiTheme="majorHAnsi" w:cstheme="minorHAnsi"/>
          <w:sz w:val="20"/>
          <w:szCs w:val="20"/>
          <w:lang w:val="en-CA"/>
        </w:rPr>
        <w:t>Trois-Rivières</w:t>
      </w:r>
      <w:r w:rsidRPr="00AE2C8B">
        <w:rPr>
          <w:rFonts w:asciiTheme="majorHAnsi" w:hAnsiTheme="majorHAnsi" w:cstheme="minorHAnsi"/>
          <w:sz w:val="20"/>
          <w:szCs w:val="20"/>
          <w:lang w:val="en-CA"/>
        </w:rPr>
        <w:t>.</w:t>
      </w:r>
    </w:p>
    <w:p w:rsidR="00207668" w:rsidRPr="00E5373C" w:rsidRDefault="00207668" w:rsidP="00ED2581">
      <w:pPr>
        <w:rPr>
          <w:rFonts w:asciiTheme="majorHAnsi" w:hAnsiTheme="majorHAnsi" w:cstheme="minorHAnsi"/>
          <w:lang w:val="en-CA"/>
        </w:rPr>
      </w:pPr>
    </w:p>
    <w:p w:rsidR="00207668" w:rsidRDefault="00207668" w:rsidP="00ED2581">
      <w:pPr>
        <w:rPr>
          <w:rFonts w:asciiTheme="majorHAnsi" w:hAnsiTheme="majorHAnsi" w:cstheme="minorHAnsi"/>
          <w:lang w:val="en-US"/>
        </w:rPr>
      </w:pPr>
    </w:p>
    <w:p w:rsidR="00207668" w:rsidRDefault="00207668" w:rsidP="00ED2581">
      <w:pPr>
        <w:rPr>
          <w:rFonts w:asciiTheme="majorHAnsi" w:hAnsiTheme="majorHAnsi" w:cstheme="minorHAnsi"/>
          <w:lang w:val="en-US"/>
        </w:rPr>
      </w:pPr>
    </w:p>
    <w:p w:rsidR="006572F9" w:rsidRDefault="006572F9">
      <w:pPr>
        <w:spacing w:after="200" w:line="276" w:lineRule="auto"/>
        <w:rPr>
          <w:rFonts w:asciiTheme="majorHAnsi" w:hAnsiTheme="majorHAnsi" w:cstheme="minorHAnsi"/>
          <w:lang w:val="en-US"/>
        </w:rPr>
      </w:pPr>
      <w:r>
        <w:rPr>
          <w:rFonts w:asciiTheme="majorHAnsi" w:hAnsiTheme="majorHAnsi" w:cstheme="minorHAnsi"/>
          <w:lang w:val="en-US"/>
        </w:rPr>
        <w:br w:type="page"/>
      </w:r>
    </w:p>
    <w:p w:rsidR="00ED2581" w:rsidRDefault="00ED2581" w:rsidP="00F7130E">
      <w:pPr>
        <w:spacing w:line="480" w:lineRule="auto"/>
        <w:jc w:val="both"/>
        <w:rPr>
          <w:rFonts w:asciiTheme="majorHAnsi" w:hAnsiTheme="majorHAnsi" w:cstheme="minorHAnsi"/>
          <w:lang w:val="en-US"/>
        </w:rPr>
      </w:pPr>
      <w:r w:rsidRPr="00AE2C8B">
        <w:rPr>
          <w:rFonts w:asciiTheme="majorHAnsi" w:hAnsiTheme="majorHAnsi" w:cstheme="minorHAnsi"/>
          <w:lang w:val="en-US"/>
        </w:rPr>
        <w:lastRenderedPageBreak/>
        <w:t>Supplement</w:t>
      </w:r>
      <w:r w:rsidR="00A21A8C">
        <w:rPr>
          <w:rFonts w:asciiTheme="majorHAnsi" w:hAnsiTheme="majorHAnsi" w:cstheme="minorHAnsi"/>
          <w:lang w:val="en-US"/>
        </w:rPr>
        <w:t>ary</w:t>
      </w:r>
      <w:r w:rsidRPr="00AE2C8B">
        <w:rPr>
          <w:rFonts w:asciiTheme="majorHAnsi" w:hAnsiTheme="majorHAnsi" w:cstheme="minorHAnsi"/>
          <w:lang w:val="en-US"/>
        </w:rPr>
        <w:t xml:space="preserve"> Figure </w:t>
      </w:r>
      <w:r w:rsidR="00F7130E">
        <w:rPr>
          <w:rFonts w:asciiTheme="majorHAnsi" w:hAnsiTheme="majorHAnsi" w:cstheme="minorHAnsi"/>
          <w:lang w:val="en-US"/>
        </w:rPr>
        <w:t>S</w:t>
      </w:r>
      <w:r w:rsidRPr="00AE2C8B">
        <w:rPr>
          <w:rFonts w:asciiTheme="majorHAnsi" w:hAnsiTheme="majorHAnsi" w:cstheme="minorHAnsi"/>
          <w:lang w:val="en-US"/>
        </w:rPr>
        <w:t xml:space="preserve">1. Univariate analysis of </w:t>
      </w:r>
      <w:r w:rsidR="00FB27D8">
        <w:rPr>
          <w:rFonts w:asciiTheme="majorHAnsi" w:hAnsiTheme="majorHAnsi" w:cstheme="minorHAnsi"/>
          <w:lang w:val="en-US"/>
        </w:rPr>
        <w:t xml:space="preserve">all </w:t>
      </w:r>
      <w:r w:rsidRPr="00AE2C8B">
        <w:rPr>
          <w:rFonts w:asciiTheme="majorHAnsi" w:hAnsiTheme="majorHAnsi" w:cstheme="minorHAnsi"/>
          <w:lang w:val="en-US"/>
        </w:rPr>
        <w:t>LTRI</w:t>
      </w:r>
      <w:r>
        <w:rPr>
          <w:rFonts w:asciiTheme="majorHAnsi" w:hAnsiTheme="majorHAnsi" w:cstheme="minorHAnsi"/>
          <w:lang w:val="en-US"/>
        </w:rPr>
        <w:t xml:space="preserve"> </w:t>
      </w:r>
      <w:r w:rsidRPr="00AE2C8B">
        <w:rPr>
          <w:rFonts w:asciiTheme="majorHAnsi" w:hAnsiTheme="majorHAnsi" w:cstheme="minorHAnsi"/>
          <w:lang w:val="en-US"/>
        </w:rPr>
        <w:t xml:space="preserve">hospitalization rate according to weekly viral positive test </w:t>
      </w:r>
      <w:r>
        <w:rPr>
          <w:rFonts w:asciiTheme="majorHAnsi" w:hAnsiTheme="majorHAnsi" w:cstheme="minorHAnsi"/>
          <w:lang w:val="en-US"/>
        </w:rPr>
        <w:t xml:space="preserve">percentage </w:t>
      </w:r>
      <w:r w:rsidRPr="00AE2C8B">
        <w:rPr>
          <w:rFonts w:asciiTheme="majorHAnsi" w:hAnsiTheme="majorHAnsi" w:cstheme="minorHAnsi"/>
          <w:lang w:val="en-US"/>
        </w:rPr>
        <w:t xml:space="preserve">and </w:t>
      </w:r>
      <w:r w:rsidR="009C5C36">
        <w:rPr>
          <w:rFonts w:asciiTheme="majorHAnsi" w:hAnsiTheme="majorHAnsi" w:cstheme="minorHAnsi"/>
          <w:lang w:val="en-US"/>
        </w:rPr>
        <w:t>ambient temperature</w:t>
      </w:r>
      <w:r w:rsidRPr="00AE2C8B">
        <w:rPr>
          <w:rFonts w:asciiTheme="majorHAnsi" w:hAnsiTheme="majorHAnsi" w:cstheme="minorHAnsi"/>
          <w:lang w:val="en-US"/>
        </w:rPr>
        <w:t xml:space="preserve">: A: </w:t>
      </w:r>
      <w:r w:rsidR="007A5B60" w:rsidRPr="00AE2C8B">
        <w:rPr>
          <w:rFonts w:asciiTheme="majorHAnsi" w:hAnsiTheme="majorHAnsi" w:cstheme="minorHAnsi"/>
          <w:lang w:val="en-US"/>
        </w:rPr>
        <w:t>7-day moving average ambient temperature (</w:t>
      </w:r>
      <w:r w:rsidR="007A5B60" w:rsidRPr="00AE2C8B">
        <w:rPr>
          <w:rFonts w:asciiTheme="majorHAnsi" w:hAnsiTheme="majorHAnsi" w:cstheme="minorHAnsi"/>
          <w:vertAlign w:val="superscript"/>
          <w:lang w:val="en-US"/>
        </w:rPr>
        <w:t>o</w:t>
      </w:r>
      <w:r w:rsidR="007A5B60" w:rsidRPr="00AE2C8B">
        <w:rPr>
          <w:rFonts w:asciiTheme="majorHAnsi" w:hAnsiTheme="majorHAnsi" w:cstheme="minorHAnsi"/>
          <w:lang w:val="en-US"/>
        </w:rPr>
        <w:t>C) in the city of Trois-Rivières</w:t>
      </w:r>
      <w:r w:rsidR="007A5B60">
        <w:rPr>
          <w:rFonts w:asciiTheme="majorHAnsi" w:hAnsiTheme="majorHAnsi" w:cstheme="minorHAnsi"/>
          <w:lang w:val="en-US"/>
        </w:rPr>
        <w:t>; B: RSV; C</w:t>
      </w:r>
      <w:r w:rsidRPr="00AE2C8B">
        <w:rPr>
          <w:rFonts w:asciiTheme="majorHAnsi" w:hAnsiTheme="majorHAnsi" w:cstheme="minorHAnsi"/>
          <w:lang w:val="en-US"/>
        </w:rPr>
        <w:t>: Influenza</w:t>
      </w:r>
      <w:r w:rsidR="009C5C36">
        <w:rPr>
          <w:rFonts w:asciiTheme="majorHAnsi" w:hAnsiTheme="majorHAnsi" w:cstheme="minorHAnsi"/>
          <w:lang w:val="en-US"/>
        </w:rPr>
        <w:t xml:space="preserve"> A&amp;B</w:t>
      </w:r>
      <w:r w:rsidR="007A5B60">
        <w:rPr>
          <w:rFonts w:asciiTheme="majorHAnsi" w:hAnsiTheme="majorHAnsi" w:cstheme="minorHAnsi"/>
          <w:lang w:val="en-US"/>
        </w:rPr>
        <w:t>; D</w:t>
      </w:r>
      <w:r w:rsidRPr="00AE2C8B">
        <w:rPr>
          <w:rFonts w:asciiTheme="majorHAnsi" w:hAnsiTheme="majorHAnsi" w:cstheme="minorHAnsi"/>
          <w:lang w:val="en-US"/>
        </w:rPr>
        <w:t xml:space="preserve">: human </w:t>
      </w:r>
      <w:r w:rsidR="009C5C36">
        <w:rPr>
          <w:rFonts w:asciiTheme="majorHAnsi" w:hAnsiTheme="majorHAnsi" w:cstheme="minorHAnsi"/>
          <w:lang w:val="en-US"/>
        </w:rPr>
        <w:t>M</w:t>
      </w:r>
      <w:r w:rsidR="007A5B60">
        <w:rPr>
          <w:rFonts w:asciiTheme="majorHAnsi" w:hAnsiTheme="majorHAnsi" w:cstheme="minorHAnsi"/>
          <w:lang w:val="en-US"/>
        </w:rPr>
        <w:t>etapneumovirus (hMPV).</w:t>
      </w:r>
      <w:r>
        <w:rPr>
          <w:rFonts w:asciiTheme="majorHAnsi" w:hAnsiTheme="majorHAnsi" w:cstheme="minorHAnsi"/>
          <w:lang w:val="en-US"/>
        </w:rPr>
        <w:t xml:space="preserve"> </w:t>
      </w:r>
    </w:p>
    <w:p w:rsidR="00ED2581" w:rsidRDefault="00ED2581" w:rsidP="00ED2581">
      <w:pPr>
        <w:rPr>
          <w:rFonts w:asciiTheme="majorHAnsi" w:hAnsiTheme="majorHAnsi" w:cstheme="minorHAnsi"/>
          <w:lang w:val="en-US"/>
        </w:rPr>
      </w:pPr>
    </w:p>
    <w:tbl>
      <w:tblPr>
        <w:tblStyle w:val="TableGrid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7"/>
      </w:tblGrid>
      <w:tr w:rsidR="00ED2581" w:rsidRPr="00AE2C8B" w:rsidTr="003E0DBF">
        <w:trPr>
          <w:jc w:val="center"/>
        </w:trPr>
        <w:tc>
          <w:tcPr>
            <w:tcW w:w="6144" w:type="dxa"/>
          </w:tcPr>
          <w:p w:rsidR="00ED2581" w:rsidRPr="00AE2C8B" w:rsidRDefault="00A07394" w:rsidP="00061ABC">
            <w:pPr>
              <w:jc w:val="center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A.</w:t>
            </w:r>
            <w:r w:rsidR="00074B29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615106" cy="3460248"/>
                  <wp:effectExtent l="0" t="0" r="0" b="6985"/>
                  <wp:docPr id="6" name="Image 6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858" cy="346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DBF" w:rsidRPr="00AE2C8B" w:rsidTr="003E0DBF">
        <w:trPr>
          <w:jc w:val="center"/>
        </w:trPr>
        <w:tc>
          <w:tcPr>
            <w:tcW w:w="6144" w:type="dxa"/>
          </w:tcPr>
          <w:p w:rsidR="003E0DBF" w:rsidRDefault="00A07394" w:rsidP="00061ABC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  <w:lang w:eastAsia="zh-CN"/>
              </w:rPr>
              <w:t>B.</w:t>
            </w:r>
            <w:r w:rsidR="00074B29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611470" cy="3457522"/>
                  <wp:effectExtent l="0" t="0" r="0" b="0"/>
                  <wp:docPr id="5" name="Image 5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188" cy="346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581" w:rsidRPr="00AE2C8B" w:rsidTr="003E0DBF">
        <w:trPr>
          <w:jc w:val="center"/>
        </w:trPr>
        <w:tc>
          <w:tcPr>
            <w:tcW w:w="6144" w:type="dxa"/>
          </w:tcPr>
          <w:p w:rsidR="00ED2581" w:rsidRPr="00AE2C8B" w:rsidRDefault="00A07394" w:rsidP="00061ABC">
            <w:pPr>
              <w:jc w:val="center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C.</w:t>
            </w:r>
            <w:r w:rsidR="00074B29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710146" cy="3531506"/>
                  <wp:effectExtent l="0" t="0" r="0" b="0"/>
                  <wp:docPr id="8" name="Image 8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146" cy="3531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581" w:rsidRPr="00AE2C8B" w:rsidTr="003E0DBF">
        <w:trPr>
          <w:jc w:val="center"/>
        </w:trPr>
        <w:tc>
          <w:tcPr>
            <w:tcW w:w="6144" w:type="dxa"/>
          </w:tcPr>
          <w:p w:rsidR="00ED2581" w:rsidRPr="00AE2C8B" w:rsidRDefault="00A07394" w:rsidP="00061ABC">
            <w:pPr>
              <w:jc w:val="center"/>
              <w:rPr>
                <w:rFonts w:asciiTheme="majorHAnsi" w:hAnsiTheme="majorHAnsi" w:cstheme="minorHAnsi"/>
                <w:noProof/>
                <w:lang w:eastAsia="zh-CN"/>
              </w:rPr>
            </w:pPr>
            <w:r>
              <w:rPr>
                <w:noProof/>
                <w:color w:val="000000"/>
                <w:sz w:val="20"/>
                <w:szCs w:val="20"/>
                <w:lang w:eastAsia="zh-CN"/>
              </w:rPr>
              <w:t>D.</w:t>
            </w:r>
            <w:r w:rsidR="00074B29">
              <w:rPr>
                <w:noProof/>
                <w:color w:val="00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4710147" cy="3531507"/>
                  <wp:effectExtent l="0" t="0" r="0" b="0"/>
                  <wp:docPr id="9" name="Image 9" descr="The SGPlot Proced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SGPlot Proced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866" cy="353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2581" w:rsidRPr="00AE2C8B" w:rsidRDefault="00ED2581" w:rsidP="00ED2581">
      <w:pPr>
        <w:rPr>
          <w:rFonts w:asciiTheme="majorHAnsi" w:hAnsiTheme="majorHAnsi" w:cstheme="minorHAnsi"/>
          <w:lang w:val="en-US"/>
        </w:rPr>
      </w:pPr>
    </w:p>
    <w:p w:rsidR="00ED2581" w:rsidRDefault="00ED2581" w:rsidP="00ED2581">
      <w:pPr>
        <w:spacing w:line="276" w:lineRule="auto"/>
        <w:rPr>
          <w:rFonts w:asciiTheme="majorHAnsi" w:hAnsiTheme="majorHAnsi" w:cstheme="minorHAnsi"/>
          <w:lang w:val="en-CA"/>
        </w:rPr>
      </w:pPr>
    </w:p>
    <w:p w:rsidR="00ED2581" w:rsidRPr="00690BC9" w:rsidRDefault="00ED2581" w:rsidP="00ED2581">
      <w:pPr>
        <w:rPr>
          <w:rFonts w:asciiTheme="majorHAnsi" w:hAnsiTheme="majorHAnsi" w:cstheme="minorHAnsi"/>
          <w:lang w:val="en-CA"/>
        </w:rPr>
      </w:pPr>
    </w:p>
    <w:p w:rsidR="00ED2581" w:rsidRPr="00AE2C8B" w:rsidRDefault="00ED2581" w:rsidP="00ED2581">
      <w:pPr>
        <w:rPr>
          <w:rFonts w:asciiTheme="majorHAnsi" w:hAnsiTheme="majorHAnsi" w:cstheme="minorHAnsi"/>
          <w:lang w:val="en-US"/>
        </w:rPr>
      </w:pPr>
    </w:p>
    <w:p w:rsidR="00ED2581" w:rsidRPr="00AE02D7" w:rsidRDefault="00ED2581" w:rsidP="00ED2581">
      <w:pPr>
        <w:spacing w:line="276" w:lineRule="auto"/>
        <w:rPr>
          <w:rFonts w:asciiTheme="majorHAnsi" w:hAnsiTheme="majorHAnsi" w:cstheme="minorHAnsi"/>
        </w:rPr>
      </w:pPr>
    </w:p>
    <w:p w:rsidR="00ED2581" w:rsidRDefault="00ED2581"/>
    <w:sectPr w:rsidR="00ED2581" w:rsidSect="003C1CA4">
      <w:pgSz w:w="12240" w:h="15840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76B7"/>
    <w:multiLevelType w:val="hybridMultilevel"/>
    <w:tmpl w:val="53C4F4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4EB"/>
    <w:multiLevelType w:val="hybridMultilevel"/>
    <w:tmpl w:val="1C82F824"/>
    <w:lvl w:ilvl="0" w:tplc="5C2C7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B00F6"/>
    <w:multiLevelType w:val="hybridMultilevel"/>
    <w:tmpl w:val="1C72848C"/>
    <w:lvl w:ilvl="0" w:tplc="59CE90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AE900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A2DE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4A98F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4C49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6667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34B4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18C0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26C05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30F776C"/>
    <w:multiLevelType w:val="hybridMultilevel"/>
    <w:tmpl w:val="5BB6D810"/>
    <w:lvl w:ilvl="0" w:tplc="0BD0AA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97A3D"/>
    <w:multiLevelType w:val="hybridMultilevel"/>
    <w:tmpl w:val="78CA4EFC"/>
    <w:lvl w:ilvl="0" w:tplc="7546A42C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5C23"/>
    <w:multiLevelType w:val="hybridMultilevel"/>
    <w:tmpl w:val="982C434E"/>
    <w:lvl w:ilvl="0" w:tplc="7546A42C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5B5555"/>
    <w:multiLevelType w:val="hybridMultilevel"/>
    <w:tmpl w:val="DB98FFB2"/>
    <w:lvl w:ilvl="0" w:tplc="FC3897C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B392B"/>
    <w:multiLevelType w:val="hybridMultilevel"/>
    <w:tmpl w:val="4B0EC8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D2581"/>
    <w:rsid w:val="000059B3"/>
    <w:rsid w:val="00011B72"/>
    <w:rsid w:val="00024DD2"/>
    <w:rsid w:val="00054580"/>
    <w:rsid w:val="00061ABC"/>
    <w:rsid w:val="00074B29"/>
    <w:rsid w:val="00077E04"/>
    <w:rsid w:val="0009421D"/>
    <w:rsid w:val="00094329"/>
    <w:rsid w:val="000C59D6"/>
    <w:rsid w:val="000D57E3"/>
    <w:rsid w:val="000D7828"/>
    <w:rsid w:val="000D7AB6"/>
    <w:rsid w:val="000F229C"/>
    <w:rsid w:val="000F5981"/>
    <w:rsid w:val="000F76DB"/>
    <w:rsid w:val="00105BAC"/>
    <w:rsid w:val="00116BB1"/>
    <w:rsid w:val="00125381"/>
    <w:rsid w:val="00127716"/>
    <w:rsid w:val="00135E45"/>
    <w:rsid w:val="00140A9D"/>
    <w:rsid w:val="0015219B"/>
    <w:rsid w:val="00160F2D"/>
    <w:rsid w:val="001740C2"/>
    <w:rsid w:val="001844A2"/>
    <w:rsid w:val="00187238"/>
    <w:rsid w:val="001E6F50"/>
    <w:rsid w:val="00207668"/>
    <w:rsid w:val="0022184A"/>
    <w:rsid w:val="002567FD"/>
    <w:rsid w:val="00260DB9"/>
    <w:rsid w:val="00282401"/>
    <w:rsid w:val="0029502F"/>
    <w:rsid w:val="00297E23"/>
    <w:rsid w:val="002A0ED7"/>
    <w:rsid w:val="002B05F5"/>
    <w:rsid w:val="002B7478"/>
    <w:rsid w:val="002C4FBF"/>
    <w:rsid w:val="00300898"/>
    <w:rsid w:val="003020A0"/>
    <w:rsid w:val="00310265"/>
    <w:rsid w:val="00325EE9"/>
    <w:rsid w:val="0032688A"/>
    <w:rsid w:val="003648D1"/>
    <w:rsid w:val="003715BA"/>
    <w:rsid w:val="003817E7"/>
    <w:rsid w:val="003A1D37"/>
    <w:rsid w:val="003C1CA4"/>
    <w:rsid w:val="003C5981"/>
    <w:rsid w:val="003D7A4B"/>
    <w:rsid w:val="003E0DBF"/>
    <w:rsid w:val="00414C54"/>
    <w:rsid w:val="004202C0"/>
    <w:rsid w:val="004310FA"/>
    <w:rsid w:val="00453975"/>
    <w:rsid w:val="00474F2E"/>
    <w:rsid w:val="00477FE5"/>
    <w:rsid w:val="00484E0A"/>
    <w:rsid w:val="00485F43"/>
    <w:rsid w:val="00486C3C"/>
    <w:rsid w:val="004A0977"/>
    <w:rsid w:val="004A5D46"/>
    <w:rsid w:val="004B756F"/>
    <w:rsid w:val="004D6C0E"/>
    <w:rsid w:val="00500C63"/>
    <w:rsid w:val="00510CD2"/>
    <w:rsid w:val="005112B2"/>
    <w:rsid w:val="00533D00"/>
    <w:rsid w:val="0053441C"/>
    <w:rsid w:val="00535E74"/>
    <w:rsid w:val="00566318"/>
    <w:rsid w:val="00590B69"/>
    <w:rsid w:val="005A09F1"/>
    <w:rsid w:val="005A304A"/>
    <w:rsid w:val="005A6393"/>
    <w:rsid w:val="005B4D5F"/>
    <w:rsid w:val="005D660C"/>
    <w:rsid w:val="005E73F6"/>
    <w:rsid w:val="005F2044"/>
    <w:rsid w:val="005F2D91"/>
    <w:rsid w:val="005F3841"/>
    <w:rsid w:val="005F4863"/>
    <w:rsid w:val="00614DE8"/>
    <w:rsid w:val="006219CC"/>
    <w:rsid w:val="006462E0"/>
    <w:rsid w:val="00654401"/>
    <w:rsid w:val="006572F9"/>
    <w:rsid w:val="00671320"/>
    <w:rsid w:val="00676052"/>
    <w:rsid w:val="006B6E58"/>
    <w:rsid w:val="006B77F7"/>
    <w:rsid w:val="006C6BE5"/>
    <w:rsid w:val="006D5E22"/>
    <w:rsid w:val="006F5353"/>
    <w:rsid w:val="0070604B"/>
    <w:rsid w:val="00732D91"/>
    <w:rsid w:val="007602B8"/>
    <w:rsid w:val="00760364"/>
    <w:rsid w:val="00765ED8"/>
    <w:rsid w:val="00773B23"/>
    <w:rsid w:val="0079121C"/>
    <w:rsid w:val="00792C44"/>
    <w:rsid w:val="007A32F0"/>
    <w:rsid w:val="007A5B60"/>
    <w:rsid w:val="007A78DC"/>
    <w:rsid w:val="007B2C2D"/>
    <w:rsid w:val="007B563C"/>
    <w:rsid w:val="007F795B"/>
    <w:rsid w:val="008143CE"/>
    <w:rsid w:val="00841310"/>
    <w:rsid w:val="00861B95"/>
    <w:rsid w:val="008655AB"/>
    <w:rsid w:val="00867D9C"/>
    <w:rsid w:val="008820B0"/>
    <w:rsid w:val="00883323"/>
    <w:rsid w:val="008875DC"/>
    <w:rsid w:val="0089355C"/>
    <w:rsid w:val="00896420"/>
    <w:rsid w:val="008A0A15"/>
    <w:rsid w:val="008B2DA2"/>
    <w:rsid w:val="008B782D"/>
    <w:rsid w:val="008C022A"/>
    <w:rsid w:val="008C0414"/>
    <w:rsid w:val="008D07CD"/>
    <w:rsid w:val="008D5656"/>
    <w:rsid w:val="008E126E"/>
    <w:rsid w:val="008E3033"/>
    <w:rsid w:val="008E5D4D"/>
    <w:rsid w:val="00901603"/>
    <w:rsid w:val="00946233"/>
    <w:rsid w:val="00951261"/>
    <w:rsid w:val="0099493B"/>
    <w:rsid w:val="009960A2"/>
    <w:rsid w:val="009A0087"/>
    <w:rsid w:val="009B4D6D"/>
    <w:rsid w:val="009C5C36"/>
    <w:rsid w:val="009E5E86"/>
    <w:rsid w:val="009F31E1"/>
    <w:rsid w:val="00A07394"/>
    <w:rsid w:val="00A11608"/>
    <w:rsid w:val="00A1737E"/>
    <w:rsid w:val="00A21A8C"/>
    <w:rsid w:val="00A2511E"/>
    <w:rsid w:val="00A30F7F"/>
    <w:rsid w:val="00A43ABC"/>
    <w:rsid w:val="00AA2DBA"/>
    <w:rsid w:val="00AC7122"/>
    <w:rsid w:val="00AE0974"/>
    <w:rsid w:val="00AF5968"/>
    <w:rsid w:val="00B00EE7"/>
    <w:rsid w:val="00B03BFA"/>
    <w:rsid w:val="00B044D7"/>
    <w:rsid w:val="00B12134"/>
    <w:rsid w:val="00B24B6D"/>
    <w:rsid w:val="00B30826"/>
    <w:rsid w:val="00B41A10"/>
    <w:rsid w:val="00B4400B"/>
    <w:rsid w:val="00B52C80"/>
    <w:rsid w:val="00B601A3"/>
    <w:rsid w:val="00B617EF"/>
    <w:rsid w:val="00B702A1"/>
    <w:rsid w:val="00B70FA2"/>
    <w:rsid w:val="00B7423C"/>
    <w:rsid w:val="00BA5CF6"/>
    <w:rsid w:val="00BB30B6"/>
    <w:rsid w:val="00BC3ECF"/>
    <w:rsid w:val="00BD031B"/>
    <w:rsid w:val="00BD53DB"/>
    <w:rsid w:val="00BF1B44"/>
    <w:rsid w:val="00C14C45"/>
    <w:rsid w:val="00C20F92"/>
    <w:rsid w:val="00C438B5"/>
    <w:rsid w:val="00C61B6B"/>
    <w:rsid w:val="00C7618A"/>
    <w:rsid w:val="00CA1532"/>
    <w:rsid w:val="00CA2E35"/>
    <w:rsid w:val="00CB7508"/>
    <w:rsid w:val="00CE51E9"/>
    <w:rsid w:val="00D057EE"/>
    <w:rsid w:val="00D07284"/>
    <w:rsid w:val="00D202A5"/>
    <w:rsid w:val="00D36712"/>
    <w:rsid w:val="00D606BD"/>
    <w:rsid w:val="00D62CD4"/>
    <w:rsid w:val="00DA2101"/>
    <w:rsid w:val="00DA3BE5"/>
    <w:rsid w:val="00DB6EF7"/>
    <w:rsid w:val="00DD07DB"/>
    <w:rsid w:val="00DF3212"/>
    <w:rsid w:val="00DF595F"/>
    <w:rsid w:val="00DF6BFA"/>
    <w:rsid w:val="00E06ECC"/>
    <w:rsid w:val="00E1753B"/>
    <w:rsid w:val="00E17D65"/>
    <w:rsid w:val="00E22EB7"/>
    <w:rsid w:val="00E4065E"/>
    <w:rsid w:val="00E5373C"/>
    <w:rsid w:val="00E754B4"/>
    <w:rsid w:val="00E840CB"/>
    <w:rsid w:val="00E87C13"/>
    <w:rsid w:val="00EA2968"/>
    <w:rsid w:val="00EA5405"/>
    <w:rsid w:val="00EB540C"/>
    <w:rsid w:val="00EC2EEB"/>
    <w:rsid w:val="00ED2581"/>
    <w:rsid w:val="00EE1FD3"/>
    <w:rsid w:val="00EE49B7"/>
    <w:rsid w:val="00F340C7"/>
    <w:rsid w:val="00F4341E"/>
    <w:rsid w:val="00F4499B"/>
    <w:rsid w:val="00F44B19"/>
    <w:rsid w:val="00F61F4D"/>
    <w:rsid w:val="00F7130E"/>
    <w:rsid w:val="00F93608"/>
    <w:rsid w:val="00FB0D2A"/>
    <w:rsid w:val="00FB27D8"/>
    <w:rsid w:val="00FD11A4"/>
    <w:rsid w:val="00FD1643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31F627-42EF-47AE-8500-C45FBB6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581"/>
    <w:pPr>
      <w:spacing w:after="0" w:line="240" w:lineRule="auto"/>
    </w:pPr>
    <w:rPr>
      <w:rFonts w:ascii="Arial" w:eastAsia="SimSun" w:hAnsi="Arial" w:cs="Arial"/>
      <w:bCs/>
      <w:kern w:val="32"/>
      <w:sz w:val="24"/>
      <w:szCs w:val="24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581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D2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2581"/>
    <w:rPr>
      <w:rFonts w:ascii="Courier New" w:eastAsia="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D2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581"/>
    <w:rPr>
      <w:rFonts w:ascii="Arial" w:eastAsia="SimSun" w:hAnsi="Arial" w:cs="Arial"/>
      <w:bCs/>
      <w:kern w:val="32"/>
      <w:sz w:val="24"/>
      <w:szCs w:val="24"/>
      <w:lang w:eastAsia="fr-CA"/>
    </w:rPr>
  </w:style>
  <w:style w:type="paragraph" w:styleId="Footer">
    <w:name w:val="footer"/>
    <w:basedOn w:val="Normal"/>
    <w:link w:val="FooterChar"/>
    <w:rsid w:val="00ED2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581"/>
    <w:rPr>
      <w:rFonts w:ascii="Arial" w:eastAsia="SimSun" w:hAnsi="Arial" w:cs="Arial"/>
      <w:bCs/>
      <w:kern w:val="32"/>
      <w:sz w:val="24"/>
      <w:szCs w:val="24"/>
      <w:lang w:eastAsia="fr-CA"/>
    </w:rPr>
  </w:style>
  <w:style w:type="character" w:customStyle="1" w:styleId="apple-converted-space">
    <w:name w:val="apple-converted-space"/>
    <w:rsid w:val="00ED2581"/>
  </w:style>
  <w:style w:type="character" w:customStyle="1" w:styleId="highlight">
    <w:name w:val="highlight"/>
    <w:rsid w:val="00ED2581"/>
  </w:style>
  <w:style w:type="paragraph" w:customStyle="1" w:styleId="EndNoteBibliographyTitle">
    <w:name w:val="EndNote Bibliography Title"/>
    <w:basedOn w:val="Normal"/>
    <w:link w:val="EndNoteBibliographyTitleCar"/>
    <w:rsid w:val="00ED2581"/>
    <w:pPr>
      <w:jc w:val="center"/>
    </w:pPr>
    <w:rPr>
      <w:noProof/>
    </w:rPr>
  </w:style>
  <w:style w:type="character" w:customStyle="1" w:styleId="EndNoteBibliographyTitleCar">
    <w:name w:val="EndNote Bibliography Title Car"/>
    <w:link w:val="EndNoteBibliographyTitle"/>
    <w:rsid w:val="00ED2581"/>
    <w:rPr>
      <w:rFonts w:ascii="Arial" w:eastAsia="SimSun" w:hAnsi="Arial" w:cs="Arial"/>
      <w:bCs/>
      <w:noProof/>
      <w:kern w:val="32"/>
      <w:sz w:val="24"/>
      <w:szCs w:val="24"/>
      <w:lang w:eastAsia="fr-CA"/>
    </w:rPr>
  </w:style>
  <w:style w:type="paragraph" w:customStyle="1" w:styleId="EndNoteBibliography">
    <w:name w:val="EndNote Bibliography"/>
    <w:basedOn w:val="Normal"/>
    <w:link w:val="EndNoteBibliographyCar"/>
    <w:rsid w:val="00ED2581"/>
    <w:pPr>
      <w:jc w:val="both"/>
    </w:pPr>
    <w:rPr>
      <w:noProof/>
    </w:rPr>
  </w:style>
  <w:style w:type="character" w:customStyle="1" w:styleId="EndNoteBibliographyCar">
    <w:name w:val="EndNote Bibliography Car"/>
    <w:link w:val="EndNoteBibliography"/>
    <w:rsid w:val="00ED2581"/>
    <w:rPr>
      <w:rFonts w:ascii="Arial" w:eastAsia="SimSun" w:hAnsi="Arial" w:cs="Arial"/>
      <w:bCs/>
      <w:noProof/>
      <w:kern w:val="32"/>
      <w:sz w:val="24"/>
      <w:szCs w:val="24"/>
      <w:lang w:eastAsia="fr-CA"/>
    </w:rPr>
  </w:style>
  <w:style w:type="paragraph" w:styleId="BalloonText">
    <w:name w:val="Balloon Text"/>
    <w:basedOn w:val="Normal"/>
    <w:link w:val="BalloonTextChar"/>
    <w:rsid w:val="00ED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581"/>
    <w:rPr>
      <w:rFonts w:ascii="Tahoma" w:eastAsia="SimSun" w:hAnsi="Tahoma" w:cs="Tahoma"/>
      <w:bCs/>
      <w:kern w:val="32"/>
      <w:sz w:val="16"/>
      <w:szCs w:val="16"/>
      <w:lang w:eastAsia="fr-CA"/>
    </w:rPr>
  </w:style>
  <w:style w:type="character" w:styleId="PlaceholderText">
    <w:name w:val="Placeholder Text"/>
    <w:basedOn w:val="DefaultParagraphFont"/>
    <w:uiPriority w:val="99"/>
    <w:semiHidden/>
    <w:rsid w:val="00ED258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25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5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581"/>
    <w:rPr>
      <w:rFonts w:ascii="Arial" w:eastAsia="SimSun" w:hAnsi="Arial" w:cs="Arial"/>
      <w:bCs/>
      <w:kern w:val="32"/>
      <w:sz w:val="20"/>
      <w:szCs w:val="20"/>
      <w:lang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581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581"/>
    <w:rPr>
      <w:rFonts w:ascii="Arial" w:eastAsia="SimSun" w:hAnsi="Arial" w:cs="Arial"/>
      <w:b/>
      <w:bCs/>
      <w:kern w:val="32"/>
      <w:sz w:val="20"/>
      <w:szCs w:val="20"/>
      <w:lang w:eastAsia="fr-CA"/>
    </w:rPr>
  </w:style>
  <w:style w:type="paragraph" w:styleId="Revision">
    <w:name w:val="Revision"/>
    <w:hidden/>
    <w:uiPriority w:val="99"/>
    <w:semiHidden/>
    <w:rsid w:val="00ED2581"/>
    <w:pPr>
      <w:spacing w:after="0" w:line="240" w:lineRule="auto"/>
    </w:pPr>
    <w:rPr>
      <w:rFonts w:ascii="Arial" w:eastAsia="SimSun" w:hAnsi="Arial" w:cs="Arial"/>
      <w:bCs/>
      <w:kern w:val="32"/>
      <w:sz w:val="24"/>
      <w:szCs w:val="24"/>
      <w:lang w:eastAsia="fr-CA"/>
    </w:rPr>
  </w:style>
  <w:style w:type="character" w:styleId="Strong">
    <w:name w:val="Strong"/>
    <w:basedOn w:val="DefaultParagraphFont"/>
    <w:qFormat/>
    <w:rsid w:val="00ED2581"/>
    <w:rPr>
      <w:b/>
      <w:bCs/>
    </w:rPr>
  </w:style>
  <w:style w:type="table" w:customStyle="1" w:styleId="Ombrageclair1">
    <w:name w:val="Ombrage clair1"/>
    <w:basedOn w:val="TableNormal"/>
    <w:uiPriority w:val="60"/>
    <w:rsid w:val="00ED25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D25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kern w:val="0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ED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2581"/>
    <w:pPr>
      <w:spacing w:before="100" w:beforeAutospacing="1" w:after="100" w:afterAutospacing="1"/>
    </w:pPr>
    <w:rPr>
      <w:rFonts w:ascii="Times New Roman" w:eastAsiaTheme="minorEastAsia" w:hAnsi="Times New Roman" w:cs="Times New Roman"/>
      <w:bCs w:val="0"/>
      <w:kern w:val="0"/>
      <w:lang w:eastAsia="zh-CN"/>
    </w:rPr>
  </w:style>
  <w:style w:type="table" w:styleId="LightShading">
    <w:name w:val="Light Shading"/>
    <w:basedOn w:val="TableNormal"/>
    <w:uiPriority w:val="60"/>
    <w:rsid w:val="00ED25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2AF9-8961-4F27-892C-136ED2DF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1489</Words>
  <Characters>8493</Characters>
  <Application>Microsoft Office Word</Application>
  <DocSecurity>0</DocSecurity>
  <Lines>70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GlaxoSmithKline Biologicals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zhozho01</dc:creator>
  <cp:lastModifiedBy>User</cp:lastModifiedBy>
  <cp:revision>19</cp:revision>
  <cp:lastPrinted>2015-02-13T19:27:00Z</cp:lastPrinted>
  <dcterms:created xsi:type="dcterms:W3CDTF">2015-07-08T13:04:00Z</dcterms:created>
  <dcterms:modified xsi:type="dcterms:W3CDTF">2015-09-05T09:20:00Z</dcterms:modified>
</cp:coreProperties>
</file>