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94E7" w14:textId="77777777" w:rsidR="00EA1F0D" w:rsidRPr="002979EA" w:rsidRDefault="00656B21" w:rsidP="00656B21">
      <w:pPr>
        <w:jc w:val="center"/>
        <w:rPr>
          <w:b/>
          <w:bCs/>
          <w:sz w:val="32"/>
          <w:szCs w:val="32"/>
          <w:lang w:val="en-US"/>
        </w:rPr>
      </w:pPr>
      <w:r w:rsidRPr="002979EA">
        <w:rPr>
          <w:b/>
          <w:bCs/>
          <w:sz w:val="32"/>
          <w:szCs w:val="32"/>
          <w:lang w:val="en-US"/>
        </w:rPr>
        <w:t>Supplementary Appendix</w:t>
      </w:r>
    </w:p>
    <w:p w14:paraId="15055E01" w14:textId="77777777" w:rsidR="002979EA" w:rsidRDefault="002979EA" w:rsidP="00656B21">
      <w:pPr>
        <w:jc w:val="both"/>
        <w:rPr>
          <w:b/>
          <w:bCs/>
          <w:lang w:val="en-US"/>
        </w:rPr>
      </w:pPr>
    </w:p>
    <w:p w14:paraId="6F7FBA3A" w14:textId="6BE238EE" w:rsidR="00E73199" w:rsidRDefault="00E73199" w:rsidP="00656B21">
      <w:pPr>
        <w:jc w:val="both"/>
        <w:rPr>
          <w:lang w:val="en-US"/>
        </w:rPr>
      </w:pPr>
      <w:r>
        <w:rPr>
          <w:b/>
          <w:bCs/>
          <w:lang w:val="en-US"/>
        </w:rPr>
        <w:t>Table</w:t>
      </w:r>
      <w:r w:rsidR="00656B21" w:rsidRPr="00656B21">
        <w:rPr>
          <w:b/>
          <w:bCs/>
          <w:lang w:val="en-US"/>
        </w:rPr>
        <w:t xml:space="preserve"> 1.</w:t>
      </w:r>
      <w:r w:rsidR="00656B21" w:rsidRPr="00656B21">
        <w:rPr>
          <w:lang w:val="en-US"/>
        </w:rPr>
        <w:t xml:space="preserve"> Edge weights</w:t>
      </w:r>
      <w:r w:rsidR="00351CAE">
        <w:rPr>
          <w:lang w:val="en-US"/>
        </w:rPr>
        <w:t xml:space="preserve"> </w:t>
      </w:r>
      <w:r w:rsidR="00351CAE" w:rsidRPr="00351CAE">
        <w:rPr>
          <w:lang w:val="en-US"/>
        </w:rPr>
        <w:t>in the network analy</w:t>
      </w:r>
      <w:r w:rsidR="00351CAE">
        <w:rPr>
          <w:lang w:val="en-US"/>
        </w:rPr>
        <w:t>z</w:t>
      </w:r>
      <w:r w:rsidR="00351CAE" w:rsidRPr="00351CAE">
        <w:rPr>
          <w:lang w:val="en-US"/>
        </w:rPr>
        <w:t>ing symptoms associated with PLEs based on continuous scores</w:t>
      </w:r>
      <w:r w:rsidR="002979EA">
        <w:rPr>
          <w:lang w:val="en-US"/>
        </w:rPr>
        <w:t>.</w:t>
      </w:r>
      <w:r w:rsidR="00351CAE">
        <w:rPr>
          <w:lang w:val="en-US"/>
        </w:rPr>
        <w:t xml:space="preserve"> </w:t>
      </w:r>
      <w:r w:rsidR="003D0EE2" w:rsidRPr="003D0EE2">
        <w:rPr>
          <w:lang w:val="en-US"/>
        </w:rPr>
        <w:t>Abbreviations: A, age; ADHD, attention–deficit/hyperactivity disorder symptoms; E, education; D, depressive symptoms; G, gender; GAD, generalized anxiety disorder symptoms; M, manic symptoms; O, occupation; PLEs, psychotic–like experiences</w:t>
      </w:r>
      <w:r w:rsidR="003D0EE2" w:rsidRPr="003D0EE2">
        <w:rPr>
          <w:lang w:val="en-US"/>
        </w:rPr>
        <w:t>.</w:t>
      </w:r>
      <w:r w:rsidR="009F3E97" w:rsidRPr="009F3E97">
        <w:rPr>
          <w:noProof/>
        </w:rPr>
        <w:drawing>
          <wp:inline distT="0" distB="0" distL="0" distR="0" wp14:anchorId="74B9A82E" wp14:editId="1175EB6B">
            <wp:extent cx="5760720" cy="1548765"/>
            <wp:effectExtent l="0" t="0" r="5080" b="635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3529A43E-1059-26F5-D9C2-5339F6ED9C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3529A43E-1059-26F5-D9C2-5339F6ED9C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9304" w14:textId="77777777" w:rsidR="00D274C3" w:rsidRDefault="00D274C3" w:rsidP="00656B21">
      <w:pPr>
        <w:jc w:val="both"/>
        <w:rPr>
          <w:lang w:val="en-US"/>
        </w:rPr>
      </w:pPr>
    </w:p>
    <w:p w14:paraId="3527CAF0" w14:textId="45715EB6" w:rsidR="00D274C3" w:rsidRDefault="00351CAE" w:rsidP="00656B21">
      <w:pPr>
        <w:jc w:val="both"/>
        <w:rPr>
          <w:lang w:val="en-US"/>
        </w:rPr>
      </w:pPr>
      <w:r w:rsidRPr="00351CAE">
        <w:rPr>
          <w:b/>
          <w:bCs/>
          <w:lang w:val="en-US"/>
        </w:rPr>
        <w:t>Table 2.</w:t>
      </w:r>
      <w:r>
        <w:rPr>
          <w:lang w:val="en-US"/>
        </w:rPr>
        <w:t xml:space="preserve"> </w:t>
      </w:r>
      <w:r w:rsidRPr="00656B21">
        <w:rPr>
          <w:lang w:val="en-US"/>
        </w:rPr>
        <w:t>Edge weights</w:t>
      </w:r>
      <w:r>
        <w:rPr>
          <w:lang w:val="en-US"/>
        </w:rPr>
        <w:t xml:space="preserve"> </w:t>
      </w:r>
      <w:r w:rsidRPr="00351CAE">
        <w:rPr>
          <w:lang w:val="en-US"/>
        </w:rPr>
        <w:t>in the network analy</w:t>
      </w:r>
      <w:r>
        <w:rPr>
          <w:lang w:val="en-US"/>
        </w:rPr>
        <w:t>z</w:t>
      </w:r>
      <w:r w:rsidRPr="00351CAE">
        <w:rPr>
          <w:lang w:val="en-US"/>
        </w:rPr>
        <w:t xml:space="preserve">ing </w:t>
      </w:r>
      <w:r>
        <w:rPr>
          <w:lang w:val="en-US"/>
        </w:rPr>
        <w:t xml:space="preserve">clinically relevant </w:t>
      </w:r>
      <w:r w:rsidRPr="00351CAE">
        <w:rPr>
          <w:lang w:val="en-US"/>
        </w:rPr>
        <w:t>symptoms associated with PLEs</w:t>
      </w:r>
      <w:r>
        <w:rPr>
          <w:lang w:val="en-US"/>
        </w:rPr>
        <w:t xml:space="preserve">. </w:t>
      </w:r>
      <w:r w:rsidR="003D0EE2" w:rsidRPr="003D0EE2">
        <w:rPr>
          <w:lang w:val="en-US"/>
        </w:rPr>
        <w:t>Abbreviations: A, age; ADHD, attention–deficit/hyperactivity disorder symptoms; E, education; D, depressive symptoms; G, gender; GAD, generalized anxiety disorder symptoms; M, manic symptoms; O, occupation; PLEs, psychotic–like experiences</w:t>
      </w:r>
      <w:r w:rsidR="003D0EE2" w:rsidRPr="003D0EE2">
        <w:rPr>
          <w:lang w:val="en-US"/>
        </w:rPr>
        <w:t>.</w:t>
      </w:r>
      <w:r w:rsidR="00D274C3">
        <w:rPr>
          <w:noProof/>
          <w:lang w:val="en-US"/>
        </w:rPr>
        <w:drawing>
          <wp:inline distT="0" distB="0" distL="0" distR="0" wp14:anchorId="483B4D0A" wp14:editId="4ED425A5">
            <wp:extent cx="5760720" cy="1558925"/>
            <wp:effectExtent l="0" t="0" r="508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8230E" w14:textId="77777777" w:rsidR="00445DAA" w:rsidRDefault="00445DAA" w:rsidP="00656B21">
      <w:pPr>
        <w:jc w:val="both"/>
        <w:rPr>
          <w:lang w:val="en-US"/>
        </w:rPr>
      </w:pPr>
    </w:p>
    <w:p w14:paraId="267B4CBB" w14:textId="15D0ABAA" w:rsidR="003D0EE2" w:rsidRPr="003D0EE2" w:rsidRDefault="00445DAA" w:rsidP="00656B21">
      <w:pPr>
        <w:jc w:val="both"/>
        <w:rPr>
          <w:lang w:val="en-US"/>
        </w:rPr>
      </w:pPr>
      <w:r w:rsidRPr="00445DAA">
        <w:rPr>
          <w:b/>
          <w:bCs/>
          <w:lang w:val="en-US"/>
        </w:rPr>
        <w:t xml:space="preserve">Table </w:t>
      </w:r>
      <w:r w:rsidR="003D0EE2">
        <w:rPr>
          <w:b/>
          <w:bCs/>
          <w:lang w:val="en-US"/>
        </w:rPr>
        <w:t>3</w:t>
      </w:r>
      <w:r w:rsidRPr="00445DAA">
        <w:rPr>
          <w:b/>
          <w:bCs/>
          <w:lang w:val="en-US"/>
        </w:rPr>
        <w:t>.</w:t>
      </w:r>
      <w:r>
        <w:rPr>
          <w:lang w:val="en-US"/>
        </w:rPr>
        <w:t xml:space="preserve"> Node predictability. </w:t>
      </w:r>
      <w:r w:rsidR="003D0EE2" w:rsidRPr="003D0EE2">
        <w:rPr>
          <w:lang w:val="en-US"/>
        </w:rPr>
        <w:t>Abbreviations: A, age; ADHD, attention–deficit/hyperactivity disorder symptoms; E, education; D, depressive symptoms; G, gender; GAD, generalized anxiety disorder symptoms; M, manic symptoms; O, occupation; PLEs, psychotic–like experiences</w:t>
      </w:r>
      <w:r w:rsidR="003D0EE2">
        <w:rPr>
          <w:lang w:val="en-US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2971"/>
        <w:gridCol w:w="2693"/>
      </w:tblGrid>
      <w:tr w:rsidR="00D274C3" w14:paraId="2616F462" w14:textId="119DC81B" w:rsidTr="00351CAE">
        <w:trPr>
          <w:jc w:val="center"/>
        </w:trPr>
        <w:tc>
          <w:tcPr>
            <w:tcW w:w="2269" w:type="dxa"/>
            <w:vMerge w:val="restart"/>
          </w:tcPr>
          <w:p w14:paraId="49830FB8" w14:textId="77777777" w:rsidR="00D274C3" w:rsidRPr="00D97E62" w:rsidRDefault="00D274C3" w:rsidP="00656B21">
            <w:pPr>
              <w:jc w:val="both"/>
              <w:rPr>
                <w:b/>
                <w:bCs/>
                <w:lang w:val="en-US"/>
              </w:rPr>
            </w:pPr>
            <w:r w:rsidRPr="00D97E62">
              <w:rPr>
                <w:b/>
                <w:bCs/>
                <w:lang w:val="en-US"/>
              </w:rPr>
              <w:t>Node</w:t>
            </w:r>
          </w:p>
        </w:tc>
        <w:tc>
          <w:tcPr>
            <w:tcW w:w="5664" w:type="dxa"/>
            <w:gridSpan w:val="2"/>
          </w:tcPr>
          <w:p w14:paraId="6D127F55" w14:textId="5FC91244" w:rsidR="00D274C3" w:rsidRPr="00D97E62" w:rsidRDefault="00D274C3" w:rsidP="00D274C3">
            <w:pPr>
              <w:jc w:val="center"/>
              <w:rPr>
                <w:b/>
                <w:bCs/>
                <w:lang w:val="en-US"/>
              </w:rPr>
            </w:pPr>
            <w:r w:rsidRPr="00D97E62">
              <w:rPr>
                <w:b/>
                <w:bCs/>
                <w:lang w:val="en-US"/>
              </w:rPr>
              <w:t>Predictability</w:t>
            </w:r>
          </w:p>
        </w:tc>
      </w:tr>
      <w:tr w:rsidR="00D274C3" w14:paraId="2E490B5A" w14:textId="79ABE3AD" w:rsidTr="00351CAE">
        <w:trPr>
          <w:jc w:val="center"/>
        </w:trPr>
        <w:tc>
          <w:tcPr>
            <w:tcW w:w="2269" w:type="dxa"/>
            <w:vMerge/>
          </w:tcPr>
          <w:p w14:paraId="02B8606F" w14:textId="77777777" w:rsidR="00D274C3" w:rsidRPr="00D97E62" w:rsidRDefault="00D274C3" w:rsidP="00656B21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971" w:type="dxa"/>
          </w:tcPr>
          <w:p w14:paraId="76582324" w14:textId="55B56590" w:rsidR="00D274C3" w:rsidRPr="00D97E62" w:rsidRDefault="00D274C3" w:rsidP="00351CAE">
            <w:pPr>
              <w:rPr>
                <w:b/>
                <w:bCs/>
                <w:lang w:val="en-US"/>
              </w:rPr>
            </w:pPr>
            <w:r w:rsidRPr="00D97E62">
              <w:rPr>
                <w:b/>
                <w:bCs/>
                <w:lang w:val="en-US"/>
              </w:rPr>
              <w:t>Symptoms as continuous variables</w:t>
            </w:r>
          </w:p>
        </w:tc>
        <w:tc>
          <w:tcPr>
            <w:tcW w:w="2693" w:type="dxa"/>
          </w:tcPr>
          <w:p w14:paraId="524A512B" w14:textId="498CCCD4" w:rsidR="00D274C3" w:rsidRPr="00D97E62" w:rsidRDefault="00351CAE" w:rsidP="00351CAE">
            <w:pPr>
              <w:rPr>
                <w:b/>
                <w:bCs/>
                <w:lang w:val="en-US"/>
              </w:rPr>
            </w:pPr>
            <w:r w:rsidRPr="00D97E62">
              <w:rPr>
                <w:b/>
                <w:bCs/>
                <w:lang w:val="en-US"/>
              </w:rPr>
              <w:t>Clinically relevant symptoms</w:t>
            </w:r>
            <w:r w:rsidR="00D274C3" w:rsidRPr="00D97E62">
              <w:rPr>
                <w:b/>
                <w:bCs/>
                <w:lang w:val="en-US"/>
              </w:rPr>
              <w:t xml:space="preserve"> </w:t>
            </w:r>
          </w:p>
        </w:tc>
      </w:tr>
      <w:tr w:rsidR="00D274C3" w14:paraId="1270975F" w14:textId="0818B910" w:rsidTr="00351CAE">
        <w:trPr>
          <w:jc w:val="center"/>
        </w:trPr>
        <w:tc>
          <w:tcPr>
            <w:tcW w:w="2269" w:type="dxa"/>
          </w:tcPr>
          <w:p w14:paraId="59AA1A68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971" w:type="dxa"/>
          </w:tcPr>
          <w:p w14:paraId="6DC3FA92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0.221</w:t>
            </w:r>
          </w:p>
        </w:tc>
        <w:tc>
          <w:tcPr>
            <w:tcW w:w="2693" w:type="dxa"/>
          </w:tcPr>
          <w:p w14:paraId="37805781" w14:textId="687CE5E6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0.161</w:t>
            </w:r>
          </w:p>
        </w:tc>
      </w:tr>
      <w:tr w:rsidR="00D274C3" w14:paraId="05E50A47" w14:textId="51A9CEA6" w:rsidTr="00351CAE">
        <w:trPr>
          <w:jc w:val="center"/>
        </w:trPr>
        <w:tc>
          <w:tcPr>
            <w:tcW w:w="2269" w:type="dxa"/>
          </w:tcPr>
          <w:p w14:paraId="046BD362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971" w:type="dxa"/>
          </w:tcPr>
          <w:p w14:paraId="37990F19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0.051</w:t>
            </w:r>
          </w:p>
        </w:tc>
        <w:tc>
          <w:tcPr>
            <w:tcW w:w="2693" w:type="dxa"/>
          </w:tcPr>
          <w:p w14:paraId="7A698786" w14:textId="202E259F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51CAE">
              <w:rPr>
                <w:lang w:val="en-US"/>
              </w:rPr>
              <w:t>037</w:t>
            </w:r>
          </w:p>
        </w:tc>
      </w:tr>
      <w:tr w:rsidR="00D274C3" w14:paraId="7FEBF2BF" w14:textId="3D811BFC" w:rsidTr="00351CAE">
        <w:trPr>
          <w:jc w:val="center"/>
        </w:trPr>
        <w:tc>
          <w:tcPr>
            <w:tcW w:w="2269" w:type="dxa"/>
          </w:tcPr>
          <w:p w14:paraId="3EC7F140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971" w:type="dxa"/>
          </w:tcPr>
          <w:p w14:paraId="177F0B94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0.020</w:t>
            </w:r>
          </w:p>
        </w:tc>
        <w:tc>
          <w:tcPr>
            <w:tcW w:w="2693" w:type="dxa"/>
          </w:tcPr>
          <w:p w14:paraId="1D1B7993" w14:textId="6F19A3AF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D274C3" w14:paraId="06B74EC5" w14:textId="4213CCE0" w:rsidTr="00351CAE">
        <w:trPr>
          <w:jc w:val="center"/>
        </w:trPr>
        <w:tc>
          <w:tcPr>
            <w:tcW w:w="2269" w:type="dxa"/>
          </w:tcPr>
          <w:p w14:paraId="19CC7C41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2971" w:type="dxa"/>
          </w:tcPr>
          <w:p w14:paraId="54C78E9F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0.037</w:t>
            </w:r>
          </w:p>
        </w:tc>
        <w:tc>
          <w:tcPr>
            <w:tcW w:w="2693" w:type="dxa"/>
          </w:tcPr>
          <w:p w14:paraId="0CA78A5D" w14:textId="62E99A6D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0.075</w:t>
            </w:r>
          </w:p>
        </w:tc>
      </w:tr>
      <w:tr w:rsidR="00D274C3" w14:paraId="7FEA8BD1" w14:textId="1273D539" w:rsidTr="00351CAE">
        <w:trPr>
          <w:jc w:val="center"/>
        </w:trPr>
        <w:tc>
          <w:tcPr>
            <w:tcW w:w="2269" w:type="dxa"/>
          </w:tcPr>
          <w:p w14:paraId="41558959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971" w:type="dxa"/>
          </w:tcPr>
          <w:p w14:paraId="0982F480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  <w:tc>
          <w:tcPr>
            <w:tcW w:w="2693" w:type="dxa"/>
          </w:tcPr>
          <w:p w14:paraId="00C7B178" w14:textId="5CCB160F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D274C3" w14:paraId="34BB994D" w14:textId="07F00032" w:rsidTr="00351CAE">
        <w:trPr>
          <w:jc w:val="center"/>
        </w:trPr>
        <w:tc>
          <w:tcPr>
            <w:tcW w:w="2269" w:type="dxa"/>
          </w:tcPr>
          <w:p w14:paraId="6402CF67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PLEs</w:t>
            </w:r>
          </w:p>
        </w:tc>
        <w:tc>
          <w:tcPr>
            <w:tcW w:w="2971" w:type="dxa"/>
          </w:tcPr>
          <w:p w14:paraId="5ADB93A2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0.469</w:t>
            </w:r>
          </w:p>
        </w:tc>
        <w:tc>
          <w:tcPr>
            <w:tcW w:w="2693" w:type="dxa"/>
          </w:tcPr>
          <w:p w14:paraId="1D44291A" w14:textId="6EEE92A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0.327</w:t>
            </w:r>
          </w:p>
        </w:tc>
      </w:tr>
      <w:tr w:rsidR="00D274C3" w14:paraId="09C9C9B6" w14:textId="5AE98C7E" w:rsidTr="00351CAE">
        <w:trPr>
          <w:jc w:val="center"/>
        </w:trPr>
        <w:tc>
          <w:tcPr>
            <w:tcW w:w="2269" w:type="dxa"/>
          </w:tcPr>
          <w:p w14:paraId="1BF4E495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OCD</w:t>
            </w:r>
          </w:p>
        </w:tc>
        <w:tc>
          <w:tcPr>
            <w:tcW w:w="2971" w:type="dxa"/>
          </w:tcPr>
          <w:p w14:paraId="1CF1F828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0.503</w:t>
            </w:r>
          </w:p>
        </w:tc>
        <w:tc>
          <w:tcPr>
            <w:tcW w:w="2693" w:type="dxa"/>
          </w:tcPr>
          <w:p w14:paraId="4CBFAF40" w14:textId="78AC913E" w:rsidR="00D274C3" w:rsidRDefault="00351CAE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0.332</w:t>
            </w:r>
          </w:p>
        </w:tc>
      </w:tr>
      <w:tr w:rsidR="00D274C3" w14:paraId="37647CD4" w14:textId="70B31AF1" w:rsidTr="00351CAE">
        <w:trPr>
          <w:jc w:val="center"/>
        </w:trPr>
        <w:tc>
          <w:tcPr>
            <w:tcW w:w="2269" w:type="dxa"/>
          </w:tcPr>
          <w:p w14:paraId="1D4C00EB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971" w:type="dxa"/>
          </w:tcPr>
          <w:p w14:paraId="07CBFAE3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0.271</w:t>
            </w:r>
          </w:p>
        </w:tc>
        <w:tc>
          <w:tcPr>
            <w:tcW w:w="2693" w:type="dxa"/>
          </w:tcPr>
          <w:p w14:paraId="221D7096" w14:textId="05266CAC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0.038</w:t>
            </w:r>
          </w:p>
        </w:tc>
      </w:tr>
      <w:tr w:rsidR="00D274C3" w14:paraId="336061D3" w14:textId="5E74E6A8" w:rsidTr="00351CAE">
        <w:trPr>
          <w:jc w:val="center"/>
        </w:trPr>
        <w:tc>
          <w:tcPr>
            <w:tcW w:w="2269" w:type="dxa"/>
          </w:tcPr>
          <w:p w14:paraId="2515AADB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971" w:type="dxa"/>
          </w:tcPr>
          <w:p w14:paraId="4B48653B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0.647</w:t>
            </w:r>
          </w:p>
        </w:tc>
        <w:tc>
          <w:tcPr>
            <w:tcW w:w="2693" w:type="dxa"/>
          </w:tcPr>
          <w:p w14:paraId="45C1B5C4" w14:textId="74553674" w:rsidR="00D274C3" w:rsidRDefault="00351CAE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0.535</w:t>
            </w:r>
          </w:p>
        </w:tc>
      </w:tr>
      <w:tr w:rsidR="00D274C3" w14:paraId="57BDF5C0" w14:textId="3366E7E9" w:rsidTr="00351CAE">
        <w:trPr>
          <w:jc w:val="center"/>
        </w:trPr>
        <w:tc>
          <w:tcPr>
            <w:tcW w:w="2269" w:type="dxa"/>
          </w:tcPr>
          <w:p w14:paraId="1395A9E1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GAD</w:t>
            </w:r>
          </w:p>
        </w:tc>
        <w:tc>
          <w:tcPr>
            <w:tcW w:w="2971" w:type="dxa"/>
          </w:tcPr>
          <w:p w14:paraId="6FA2E87D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0.637</w:t>
            </w:r>
          </w:p>
        </w:tc>
        <w:tc>
          <w:tcPr>
            <w:tcW w:w="2693" w:type="dxa"/>
          </w:tcPr>
          <w:p w14:paraId="0DDBA8F8" w14:textId="3138EC8A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="00351CAE">
              <w:rPr>
                <w:lang w:val="en-US"/>
              </w:rPr>
              <w:t>479</w:t>
            </w:r>
          </w:p>
        </w:tc>
      </w:tr>
      <w:tr w:rsidR="00D274C3" w14:paraId="5083D3EF" w14:textId="3EEDE4F8" w:rsidTr="00351CAE">
        <w:trPr>
          <w:jc w:val="center"/>
        </w:trPr>
        <w:tc>
          <w:tcPr>
            <w:tcW w:w="2269" w:type="dxa"/>
          </w:tcPr>
          <w:p w14:paraId="2D89A7C9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ADHD</w:t>
            </w:r>
          </w:p>
        </w:tc>
        <w:tc>
          <w:tcPr>
            <w:tcW w:w="2971" w:type="dxa"/>
          </w:tcPr>
          <w:p w14:paraId="14F6861D" w14:textId="77777777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0.512</w:t>
            </w:r>
          </w:p>
        </w:tc>
        <w:tc>
          <w:tcPr>
            <w:tcW w:w="2693" w:type="dxa"/>
          </w:tcPr>
          <w:p w14:paraId="4775E4BF" w14:textId="576E6B13" w:rsidR="00D274C3" w:rsidRDefault="00D274C3" w:rsidP="00656B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0.156</w:t>
            </w:r>
          </w:p>
        </w:tc>
      </w:tr>
    </w:tbl>
    <w:p w14:paraId="2FFDEE66" w14:textId="19A88CA5" w:rsidR="0012537C" w:rsidRDefault="0012537C" w:rsidP="00656B21">
      <w:pPr>
        <w:jc w:val="both"/>
        <w:rPr>
          <w:lang w:val="en-US"/>
        </w:rPr>
      </w:pPr>
      <w:r w:rsidRPr="0012537C">
        <w:rPr>
          <w:b/>
          <w:bCs/>
          <w:lang w:val="en-US"/>
        </w:rPr>
        <w:lastRenderedPageBreak/>
        <w:t>Figure 1.</w:t>
      </w:r>
      <w:r>
        <w:rPr>
          <w:lang w:val="en-US"/>
        </w:rPr>
        <w:t xml:space="preserve"> </w:t>
      </w:r>
      <w:r w:rsidRPr="0012537C">
        <w:rPr>
          <w:lang w:val="en-US"/>
        </w:rPr>
        <w:t>Stability of the strength centrality index</w:t>
      </w:r>
      <w:r w:rsidR="00351CAE">
        <w:rPr>
          <w:lang w:val="en-US"/>
        </w:rPr>
        <w:t xml:space="preserve"> </w:t>
      </w:r>
      <w:r w:rsidR="00351CAE" w:rsidRPr="00351CAE">
        <w:rPr>
          <w:lang w:val="en-US"/>
        </w:rPr>
        <w:t>in the network analy</w:t>
      </w:r>
      <w:r w:rsidR="00351CAE">
        <w:rPr>
          <w:lang w:val="en-US"/>
        </w:rPr>
        <w:t>z</w:t>
      </w:r>
      <w:r w:rsidR="00351CAE" w:rsidRPr="00351CAE">
        <w:rPr>
          <w:lang w:val="en-US"/>
        </w:rPr>
        <w:t>ing symptoms associated with PLEs based on continuous scores</w:t>
      </w:r>
      <w:r w:rsidR="00351CAE">
        <w:rPr>
          <w:lang w:val="en-US"/>
        </w:rPr>
        <w:t xml:space="preserve"> (A) and clinically relevant thresholds (B)</w:t>
      </w:r>
      <w:r w:rsidR="00351CAE" w:rsidRPr="0012537C">
        <w:rPr>
          <w:lang w:val="en-US"/>
        </w:rPr>
        <w:t>.</w:t>
      </w:r>
      <w:r w:rsidR="00351CAE">
        <w:rPr>
          <w:lang w:val="en-US"/>
        </w:rPr>
        <w:t xml:space="preserve"> </w:t>
      </w:r>
      <w:r w:rsidRPr="0012537C">
        <w:rPr>
          <w:lang w:val="en-US"/>
        </w:rPr>
        <w:t>The red line depicts the strength changes after removing various proportions of data</w:t>
      </w:r>
      <w:r w:rsidR="00351CAE">
        <w:rPr>
          <w:lang w:val="en-US"/>
        </w:rPr>
        <w:t xml:space="preserve"> </w:t>
      </w:r>
    </w:p>
    <w:p w14:paraId="3BAF9BE4" w14:textId="7A17A352" w:rsidR="0012537C" w:rsidRDefault="00351CAE" w:rsidP="002E2B4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E16C02" wp14:editId="5ABBFAD7">
            <wp:extent cx="5760720" cy="2521585"/>
            <wp:effectExtent l="0" t="0" r="508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40A3" w14:textId="77777777" w:rsidR="00351CAE" w:rsidRDefault="00351CAE" w:rsidP="002E2B4A">
      <w:pPr>
        <w:jc w:val="center"/>
        <w:rPr>
          <w:lang w:val="en-US"/>
        </w:rPr>
      </w:pPr>
    </w:p>
    <w:p w14:paraId="33BD842D" w14:textId="5440FE5F" w:rsidR="00351CAE" w:rsidRDefault="0012537C" w:rsidP="00351CAE">
      <w:pPr>
        <w:jc w:val="both"/>
        <w:rPr>
          <w:lang w:val="en-US"/>
        </w:rPr>
      </w:pPr>
      <w:r w:rsidRPr="0012537C">
        <w:rPr>
          <w:b/>
          <w:bCs/>
          <w:lang w:val="en-US"/>
        </w:rPr>
        <w:t>Figure 2.</w:t>
      </w:r>
      <w:r>
        <w:rPr>
          <w:lang w:val="en-US"/>
        </w:rPr>
        <w:t xml:space="preserve"> </w:t>
      </w:r>
      <w:r w:rsidRPr="0012537C">
        <w:rPr>
          <w:lang w:val="en-US"/>
        </w:rPr>
        <w:t>Bootstrapped 95% confidence intervals of estimated edge weights</w:t>
      </w:r>
      <w:r w:rsidR="00351CAE">
        <w:rPr>
          <w:lang w:val="en-US"/>
        </w:rPr>
        <w:t xml:space="preserve"> </w:t>
      </w:r>
      <w:r w:rsidR="00351CAE" w:rsidRPr="00351CAE">
        <w:rPr>
          <w:lang w:val="en-US"/>
        </w:rPr>
        <w:t>in the network analy</w:t>
      </w:r>
      <w:r w:rsidR="00351CAE">
        <w:rPr>
          <w:lang w:val="en-US"/>
        </w:rPr>
        <w:t>z</w:t>
      </w:r>
      <w:r w:rsidR="00351CAE" w:rsidRPr="00351CAE">
        <w:rPr>
          <w:lang w:val="en-US"/>
        </w:rPr>
        <w:t>ing symptoms associated with PLEs based on continuous scores</w:t>
      </w:r>
      <w:r w:rsidR="00351CAE">
        <w:rPr>
          <w:lang w:val="en-US"/>
        </w:rPr>
        <w:t xml:space="preserve"> (A) and clinically relevant thresholds (B)</w:t>
      </w:r>
      <w:r w:rsidRPr="0012537C">
        <w:rPr>
          <w:lang w:val="en-US"/>
        </w:rPr>
        <w:t>. The sample values are illustrated with red lines. The bootstrapped 95% confidence intervals are depicted within the grey area.</w:t>
      </w:r>
      <w:r w:rsidR="00351CAE">
        <w:rPr>
          <w:lang w:val="en-US"/>
        </w:rPr>
        <w:t xml:space="preserve"> </w:t>
      </w:r>
      <w:r w:rsidR="003D0EE2" w:rsidRPr="003D0EE2">
        <w:rPr>
          <w:lang w:val="en-US"/>
        </w:rPr>
        <w:t>Abbreviations: A, age; ADHD, attention–deficit/hyperactivity disorder symptoms; E, education; D, depressive symptoms; G, gender; GAD, generalized anxiety disorder symptoms; M, manic symptoms; O, occupation; PLEs, psychotic–like experiences</w:t>
      </w:r>
      <w:r w:rsidR="003D0EE2" w:rsidRPr="003D0EE2">
        <w:rPr>
          <w:lang w:val="en-US"/>
        </w:rPr>
        <w:t>.</w:t>
      </w:r>
    </w:p>
    <w:p w14:paraId="5AFC55B0" w14:textId="0884812D" w:rsidR="0012537C" w:rsidRDefault="0012537C" w:rsidP="00656B21">
      <w:pPr>
        <w:jc w:val="both"/>
        <w:rPr>
          <w:lang w:val="en-US"/>
        </w:rPr>
      </w:pPr>
    </w:p>
    <w:p w14:paraId="1D70354E" w14:textId="292AD33C" w:rsidR="005216A8" w:rsidRPr="00656B21" w:rsidRDefault="00351CAE" w:rsidP="002E2B4A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AF66DED" wp14:editId="7D379682">
            <wp:extent cx="5925285" cy="287250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181" cy="287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6A8" w:rsidRPr="0065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21"/>
    <w:rsid w:val="00013F02"/>
    <w:rsid w:val="00067C1D"/>
    <w:rsid w:val="0012537C"/>
    <w:rsid w:val="00214F8D"/>
    <w:rsid w:val="002979EA"/>
    <w:rsid w:val="002E2B4A"/>
    <w:rsid w:val="003415AD"/>
    <w:rsid w:val="00351CAE"/>
    <w:rsid w:val="003D0EE2"/>
    <w:rsid w:val="00445DAA"/>
    <w:rsid w:val="005216A8"/>
    <w:rsid w:val="00591BCB"/>
    <w:rsid w:val="00601EBF"/>
    <w:rsid w:val="00650999"/>
    <w:rsid w:val="00656B21"/>
    <w:rsid w:val="00702A6B"/>
    <w:rsid w:val="007D47AF"/>
    <w:rsid w:val="008074FC"/>
    <w:rsid w:val="009F3E97"/>
    <w:rsid w:val="00AA4183"/>
    <w:rsid w:val="00D274C3"/>
    <w:rsid w:val="00D5160C"/>
    <w:rsid w:val="00D97E62"/>
    <w:rsid w:val="00E73199"/>
    <w:rsid w:val="00EA1F0D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72B51"/>
  <w15:chartTrackingRefBased/>
  <w15:docId w15:val="{F0AAB2D7-67FE-EC47-942B-6B01CD51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Misiak</dc:creator>
  <cp:keywords/>
  <dc:description/>
  <cp:lastModifiedBy>Blazej Misiak</cp:lastModifiedBy>
  <cp:revision>10</cp:revision>
  <dcterms:created xsi:type="dcterms:W3CDTF">2023-03-23T18:23:00Z</dcterms:created>
  <dcterms:modified xsi:type="dcterms:W3CDTF">2023-06-27T11:04:00Z</dcterms:modified>
</cp:coreProperties>
</file>