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B501" w14:textId="77777777" w:rsidR="00743094" w:rsidRPr="000172CE" w:rsidRDefault="00743094" w:rsidP="002F57D8">
      <w:pPr>
        <w:rPr>
          <w:b/>
          <w:bCs/>
          <w:sz w:val="28"/>
          <w:szCs w:val="28"/>
          <w:lang w:val="en-US"/>
        </w:rPr>
      </w:pPr>
      <w:r w:rsidRPr="000172CE">
        <w:rPr>
          <w:b/>
          <w:bCs/>
          <w:sz w:val="28"/>
          <w:szCs w:val="28"/>
          <w:lang w:val="en-US"/>
        </w:rPr>
        <w:t>Supplementary Materials</w:t>
      </w:r>
    </w:p>
    <w:p w14:paraId="4C5ACE64" w14:textId="77777777" w:rsidR="00743094" w:rsidRPr="000172CE" w:rsidRDefault="00743094" w:rsidP="002F57D8">
      <w:pPr>
        <w:spacing w:line="480" w:lineRule="auto"/>
        <w:jc w:val="both"/>
        <w:rPr>
          <w:b/>
          <w:bCs/>
          <w:lang w:val="en-US"/>
        </w:rPr>
      </w:pPr>
      <w:r w:rsidRPr="000172CE">
        <w:rPr>
          <w:b/>
          <w:bCs/>
          <w:lang w:val="en-US"/>
        </w:rPr>
        <w:t>Supplementary sample descriptions:</w:t>
      </w:r>
    </w:p>
    <w:p w14:paraId="52ACA2E0" w14:textId="77777777" w:rsidR="00743094" w:rsidRDefault="00743094" w:rsidP="002F57D8">
      <w:pPr>
        <w:spacing w:line="480" w:lineRule="auto"/>
        <w:jc w:val="both"/>
        <w:rPr>
          <w:rFonts w:cstheme="minorHAnsi"/>
          <w:lang w:val="en-US"/>
        </w:rPr>
      </w:pPr>
      <w:r w:rsidRPr="000172CE">
        <w:rPr>
          <w:rFonts w:cstheme="minorHAnsi"/>
          <w:lang w:val="en-US"/>
        </w:rPr>
        <w:t xml:space="preserve">Recruitment efforts included posting recruitment flyers at the University Hospitals and Faculties and in community centers, domestic violence agencies and shelters, with the goal to oversample for domestic violence-exposed mothers. We refrained from including fathers, due to the number of mothers living under order of protection and in anonymous shelters. Three dyads that were included had interpersonal violence (IPV)-PTSD symptoms, but also had primary PTSD due to reasons other than IPV. The participants that completed Phase 1 but not Phase 2 (24%) did not differ significantly from the ones that completed both Phases (76%) regarding parent or child age, child gender, socioeconomic </w:t>
      </w:r>
      <w:proofErr w:type="gramStart"/>
      <w:r w:rsidRPr="000172CE">
        <w:rPr>
          <w:rFonts w:cstheme="minorHAnsi"/>
          <w:lang w:val="en-US"/>
        </w:rPr>
        <w:t>status</w:t>
      </w:r>
      <w:proofErr w:type="gramEnd"/>
      <w:r w:rsidRPr="000172CE">
        <w:rPr>
          <w:rFonts w:cstheme="minorHAnsi"/>
          <w:lang w:val="en-US"/>
        </w:rPr>
        <w:t xml:space="preserve"> or number of traumatic life events. </w:t>
      </w:r>
    </w:p>
    <w:p w14:paraId="43F14F54" w14:textId="77777777" w:rsidR="00743094" w:rsidRPr="006F310B" w:rsidRDefault="00743094" w:rsidP="009C2E95">
      <w:pPr>
        <w:jc w:val="both"/>
        <w:rPr>
          <w:bCs/>
          <w:u w:val="single"/>
          <w:lang w:val="en-US"/>
        </w:rPr>
      </w:pPr>
      <w:r w:rsidRPr="006F310B">
        <w:rPr>
          <w:bCs/>
          <w:u w:val="single"/>
          <w:lang w:val="en-US"/>
        </w:rPr>
        <w:t>Data collection and measures</w:t>
      </w:r>
    </w:p>
    <w:p w14:paraId="1B7D2F32" w14:textId="77777777" w:rsidR="00743094" w:rsidRPr="006F310B" w:rsidRDefault="00743094" w:rsidP="009C2E95">
      <w:pPr>
        <w:spacing w:line="480" w:lineRule="auto"/>
        <w:jc w:val="both"/>
        <w:rPr>
          <w:rFonts w:cstheme="minorHAnsi"/>
          <w:lang w:val="en-US"/>
        </w:rPr>
      </w:pPr>
      <w:r w:rsidRPr="006F310B">
        <w:rPr>
          <w:rFonts w:cstheme="minorHAnsi"/>
          <w:b/>
          <w:lang w:val="en-US"/>
        </w:rPr>
        <w:t>Phase 1</w:t>
      </w:r>
      <w:r w:rsidRPr="006F310B">
        <w:rPr>
          <w:rFonts w:cstheme="minorHAnsi"/>
          <w:lang w:val="en-US"/>
        </w:rPr>
        <w:t>. In total, 21 measures from Phase 1 were included in the analysis (see table 2A for description of measures).</w:t>
      </w:r>
      <w:r>
        <w:rPr>
          <w:rFonts w:cstheme="minorHAnsi"/>
          <w:lang w:val="en-US"/>
        </w:rPr>
        <w:t xml:space="preserve">  19 of these measures included data on maternal psychopathology (5 measures), experienced abuse during childhood (3 measures) as well as parental behaviors, </w:t>
      </w:r>
      <w:proofErr w:type="gramStart"/>
      <w:r>
        <w:rPr>
          <w:rFonts w:cstheme="minorHAnsi"/>
          <w:lang w:val="en-US"/>
        </w:rPr>
        <w:t>skills</w:t>
      </w:r>
      <w:proofErr w:type="gramEnd"/>
      <w:r>
        <w:rPr>
          <w:rFonts w:cstheme="minorHAnsi"/>
          <w:lang w:val="en-US"/>
        </w:rPr>
        <w:t xml:space="preserve"> and tendencies (11 measures). </w:t>
      </w:r>
      <w:r w:rsidRPr="006F310B">
        <w:rPr>
          <w:rFonts w:cstheme="minorHAnsi"/>
          <w:lang w:val="en-US"/>
        </w:rPr>
        <w:t>All measures were validated and possess good to very good psychometric</w:t>
      </w:r>
      <w:r>
        <w:rPr>
          <w:rFonts w:cstheme="minorHAnsi"/>
          <w:lang w:val="en-US"/>
        </w:rPr>
        <w:t>s (Table 2).</w:t>
      </w:r>
      <w:r w:rsidRPr="006F310B">
        <w:rPr>
          <w:rFonts w:cstheme="minorHAnsi"/>
          <w:lang w:val="en-US"/>
        </w:rPr>
        <w:t xml:space="preserve"> They included the clinician-administered PTSD scale</w:t>
      </w:r>
      <w:r>
        <w:rPr>
          <w:rFonts w:cstheme="minorHAnsi"/>
          <w:lang w:val="en-US"/>
        </w:rPr>
        <w:t xml:space="preserve">  </w:t>
      </w:r>
      <w:r w:rsidRPr="006F310B">
        <w:rPr>
          <w:rFonts w:cstheme="minorHAnsi"/>
          <w:lang w:val="en-US"/>
        </w:rPr>
        <w:t xml:space="preserve">for severity to measure lifetime PTSD (CAPS; </w:t>
      </w:r>
      <w:r w:rsidRPr="0079401C">
        <w:rPr>
          <w:rFonts w:cstheme="minorHAnsi"/>
          <w:noProof/>
          <w:vertAlign w:val="superscript"/>
          <w:lang w:val="en-US"/>
        </w:rPr>
        <w:t>1</w:t>
      </w:r>
      <w:r w:rsidRPr="006F310B">
        <w:rPr>
          <w:rFonts w:cstheme="minorHAnsi"/>
          <w:lang w:val="en-US"/>
        </w:rPr>
        <w:t xml:space="preserve">, the </w:t>
      </w:r>
      <w:r w:rsidRPr="006F310B">
        <w:rPr>
          <w:lang w:val="en-US"/>
        </w:rPr>
        <w:t>PTSD Checklist Scale</w:t>
      </w:r>
      <w:r w:rsidRPr="006F310B">
        <w:rPr>
          <w:rFonts w:cstheme="minorHAnsi"/>
          <w:lang w:val="en-US"/>
        </w:rPr>
        <w:t xml:space="preserve"> (PCL-S) to measure current PTSD symptoms at Phase 1 </w:t>
      </w:r>
      <w:r w:rsidRPr="0079401C">
        <w:rPr>
          <w:rFonts w:cstheme="minorHAnsi"/>
          <w:noProof/>
          <w:vertAlign w:val="superscript"/>
          <w:lang w:val="en-US"/>
        </w:rPr>
        <w:t>2,3</w:t>
      </w:r>
      <w:r>
        <w:rPr>
          <w:rFonts w:cstheme="minorHAnsi"/>
          <w:lang w:val="en-US"/>
        </w:rPr>
        <w:t>)</w:t>
      </w:r>
      <w:r w:rsidRPr="006F310B">
        <w:rPr>
          <w:rFonts w:cstheme="minorHAnsi"/>
          <w:lang w:val="en-US"/>
        </w:rPr>
        <w:t xml:space="preserve">. Potentially comorbid </w:t>
      </w:r>
      <w:r>
        <w:rPr>
          <w:rFonts w:cstheme="minorHAnsi"/>
          <w:lang w:val="en-US"/>
        </w:rPr>
        <w:t xml:space="preserve">maternal </w:t>
      </w:r>
      <w:r w:rsidRPr="006F310B">
        <w:rPr>
          <w:rFonts w:cstheme="minorHAnsi"/>
          <w:lang w:val="en-US"/>
        </w:rPr>
        <w:t xml:space="preserve">psychopathologies </w:t>
      </w:r>
      <w:r>
        <w:rPr>
          <w:rFonts w:cstheme="minorHAnsi"/>
          <w:lang w:val="en-US"/>
        </w:rPr>
        <w:t>(</w:t>
      </w:r>
      <w:r w:rsidRPr="006F310B">
        <w:rPr>
          <w:rFonts w:cstheme="minorHAnsi"/>
          <w:lang w:val="en-US"/>
        </w:rPr>
        <w:t xml:space="preserve">depression </w:t>
      </w:r>
      <w:r w:rsidRPr="0079401C">
        <w:rPr>
          <w:rFonts w:cstheme="minorHAnsi"/>
          <w:noProof/>
          <w:vertAlign w:val="superscript"/>
          <w:lang w:val="en-US"/>
        </w:rPr>
        <w:t>4</w:t>
      </w:r>
      <w:r w:rsidRPr="006F310B">
        <w:rPr>
          <w:rFonts w:cstheme="minorHAnsi"/>
          <w:lang w:val="en-US"/>
        </w:rPr>
        <w:t xml:space="preserve"> and psychological dissociation </w:t>
      </w:r>
      <w:r w:rsidRPr="0079401C">
        <w:rPr>
          <w:rFonts w:eastAsia="Times New Roman" w:cstheme="minorHAnsi"/>
          <w:noProof/>
          <w:szCs w:val="20"/>
          <w:vertAlign w:val="superscript"/>
          <w:lang w:val="en-US"/>
        </w:rPr>
        <w:t>5</w:t>
      </w:r>
      <w:r>
        <w:rPr>
          <w:rFonts w:eastAsia="Times New Roman" w:cstheme="minorHAnsi"/>
          <w:szCs w:val="20"/>
          <w:lang w:val="en-US"/>
        </w:rPr>
        <w:t>)</w:t>
      </w:r>
      <w:r w:rsidRPr="006F310B">
        <w:rPr>
          <w:rFonts w:cstheme="minorHAnsi"/>
          <w:lang w:val="en-US"/>
        </w:rPr>
        <w:t xml:space="preserve"> were assessed using standard measures.</w:t>
      </w:r>
      <w:r>
        <w:rPr>
          <w:rFonts w:cstheme="minorHAnsi"/>
          <w:lang w:val="en-US"/>
        </w:rPr>
        <w:t xml:space="preserve">  </w:t>
      </w:r>
      <w:r w:rsidRPr="006F310B">
        <w:rPr>
          <w:rFonts w:cstheme="minorHAnsi"/>
          <w:lang w:val="en-US"/>
        </w:rPr>
        <w:t xml:space="preserve">Further, physical and sexual abuse during childhood and exposure to traumatic violence during adulthood were measured using the Brief Physical and Sexual Abuse Questionnaire </w:t>
      </w:r>
      <w:r>
        <w:rPr>
          <w:rFonts w:cstheme="minorHAnsi"/>
          <w:noProof/>
          <w:lang w:val="en-US"/>
        </w:rPr>
        <w:t xml:space="preserve">BPSAQ; </w:t>
      </w:r>
      <w:r w:rsidRPr="0079401C">
        <w:rPr>
          <w:rFonts w:cstheme="minorHAnsi"/>
          <w:noProof/>
          <w:vertAlign w:val="superscript"/>
          <w:lang w:val="en-US"/>
        </w:rPr>
        <w:t>6</w:t>
      </w:r>
      <w:r w:rsidRPr="006F310B">
        <w:rPr>
          <w:rFonts w:cstheme="minorHAnsi"/>
          <w:lang w:val="en-US"/>
        </w:rPr>
        <w:t xml:space="preserve"> and the Traumatic Life Events Questionnaire </w:t>
      </w:r>
      <w:r>
        <w:rPr>
          <w:rFonts w:cstheme="minorHAnsi"/>
          <w:noProof/>
          <w:lang w:val="en-US"/>
        </w:rPr>
        <w:t xml:space="preserve">TLEQ; </w:t>
      </w:r>
      <w:r w:rsidRPr="0079401C">
        <w:rPr>
          <w:rFonts w:cstheme="minorHAnsi"/>
          <w:noProof/>
          <w:vertAlign w:val="superscript"/>
          <w:lang w:val="en-US"/>
        </w:rPr>
        <w:t>7</w:t>
      </w:r>
      <w:r w:rsidRPr="006F310B">
        <w:rPr>
          <w:rFonts w:cstheme="minorHAnsi"/>
          <w:lang w:val="en-US"/>
        </w:rPr>
        <w:t xml:space="preserve"> to supplement questions on traumatic life events not covered by the BPSAQ </w:t>
      </w:r>
      <w:r w:rsidRPr="0079401C">
        <w:rPr>
          <w:rFonts w:cstheme="minorHAnsi"/>
          <w:noProof/>
          <w:vertAlign w:val="superscript"/>
          <w:lang w:val="en-US"/>
        </w:rPr>
        <w:t>8</w:t>
      </w:r>
      <w:r w:rsidRPr="006F310B">
        <w:rPr>
          <w:rFonts w:cstheme="minorHAnsi"/>
          <w:lang w:val="en-US"/>
        </w:rPr>
        <w:t>. Parental skills and behaviors: PRF behaviors</w:t>
      </w:r>
      <w:r>
        <w:rPr>
          <w:rFonts w:cstheme="minorHAnsi"/>
          <w:lang w:val="en-US"/>
        </w:rPr>
        <w:t xml:space="preserve"> </w:t>
      </w:r>
      <w:r w:rsidRPr="006F310B">
        <w:rPr>
          <w:rFonts w:cstheme="minorHAnsi"/>
          <w:lang w:val="en-US"/>
        </w:rPr>
        <w:t xml:space="preserve">were assessed using coding of the </w:t>
      </w:r>
      <w:r w:rsidRPr="006F310B">
        <w:rPr>
          <w:lang w:val="en-US"/>
        </w:rPr>
        <w:t>Working Model of the Child Interview</w:t>
      </w:r>
      <w:r w:rsidRPr="0079401C">
        <w:rPr>
          <w:noProof/>
          <w:vertAlign w:val="superscript"/>
          <w:lang w:val="en-US"/>
        </w:rPr>
        <w:t>9,10</w:t>
      </w:r>
      <w:r w:rsidRPr="006F310B">
        <w:rPr>
          <w:rFonts w:cstheme="minorHAnsi"/>
          <w:lang w:val="en-US"/>
        </w:rPr>
        <w:t xml:space="preserve"> and maternal behavior was coded from mother-child interaction videos </w:t>
      </w:r>
      <w:r w:rsidRPr="006F310B">
        <w:rPr>
          <w:lang w:val="en-US"/>
        </w:rPr>
        <w:t>using the CARE index</w:t>
      </w:r>
      <w:r w:rsidRPr="0079401C">
        <w:rPr>
          <w:noProof/>
          <w:vertAlign w:val="superscript"/>
          <w:lang w:val="en-US"/>
        </w:rPr>
        <w:t>11</w:t>
      </w:r>
      <w:r w:rsidRPr="006F310B">
        <w:rPr>
          <w:lang w:val="en-US"/>
        </w:rPr>
        <w:t xml:space="preserve">, with specific operationalizations further described in previous studies </w:t>
      </w:r>
      <w:r w:rsidRPr="0079401C">
        <w:rPr>
          <w:noProof/>
          <w:vertAlign w:val="superscript"/>
          <w:lang w:val="en-US"/>
        </w:rPr>
        <w:t>12,13</w:t>
      </w:r>
      <w:r w:rsidRPr="006F310B">
        <w:rPr>
          <w:rFonts w:cstheme="minorHAnsi"/>
          <w:lang w:val="en-US"/>
        </w:rPr>
        <w:t xml:space="preserve">. </w:t>
      </w:r>
    </w:p>
    <w:p w14:paraId="2C88574C" w14:textId="77777777" w:rsidR="00743094" w:rsidRPr="006F310B" w:rsidRDefault="00743094" w:rsidP="009C2E95">
      <w:pPr>
        <w:spacing w:line="480" w:lineRule="auto"/>
        <w:jc w:val="both"/>
        <w:rPr>
          <w:rFonts w:cstheme="minorHAnsi"/>
          <w:lang w:val="en-US"/>
        </w:rPr>
      </w:pPr>
      <w:r w:rsidRPr="006F310B">
        <w:rPr>
          <w:rFonts w:cstheme="minorHAnsi"/>
          <w:lang w:val="en-US"/>
        </w:rPr>
        <w:lastRenderedPageBreak/>
        <w:t>Additionally, socio-economic status and child sex were included, using the Geneva Sociodemographic Questionnaire</w:t>
      </w:r>
      <w:r w:rsidRPr="0079401C">
        <w:rPr>
          <w:rFonts w:cstheme="minorHAnsi"/>
          <w:noProof/>
          <w:vertAlign w:val="superscript"/>
          <w:lang w:val="en-US"/>
        </w:rPr>
        <w:t>14</w:t>
      </w:r>
      <w:r w:rsidRPr="006F310B">
        <w:rPr>
          <w:rFonts w:cstheme="minorHAnsi"/>
          <w:lang w:val="en-US"/>
        </w:rPr>
        <w:t>. While these were not predictors of interest, this approach allowed</w:t>
      </w:r>
      <w:r>
        <w:rPr>
          <w:rFonts w:cstheme="minorHAnsi"/>
          <w:lang w:val="en-US"/>
        </w:rPr>
        <w:t xml:space="preserve"> us</w:t>
      </w:r>
      <w:r w:rsidRPr="006F310B">
        <w:rPr>
          <w:rFonts w:cstheme="minorHAnsi"/>
          <w:lang w:val="en-US"/>
        </w:rPr>
        <w:t xml:space="preserve"> to quantify their impact on results compared to other measures</w:t>
      </w:r>
      <w:r>
        <w:rPr>
          <w:rFonts w:cstheme="minorHAnsi"/>
          <w:lang w:val="en-US"/>
        </w:rPr>
        <w:t xml:space="preserve"> rather than having to regress out their effect and thereby altering the data set</w:t>
      </w:r>
      <w:r w:rsidRPr="006F310B">
        <w:rPr>
          <w:rFonts w:cstheme="minorHAnsi"/>
          <w:lang w:val="en-US"/>
        </w:rPr>
        <w:t>.</w:t>
      </w:r>
      <w:r>
        <w:rPr>
          <w:rFonts w:cstheme="minorHAnsi"/>
          <w:lang w:val="en-US"/>
        </w:rPr>
        <w:t xml:space="preserve"> We wanted to avoid the latter, as these factors are known to be related to some of the other input or outcome measures.</w:t>
      </w:r>
      <w:r w:rsidRPr="006F310B">
        <w:rPr>
          <w:rFonts w:cstheme="minorHAnsi"/>
          <w:lang w:val="en-US"/>
        </w:rPr>
        <w:t xml:space="preserve"> </w:t>
      </w:r>
    </w:p>
    <w:p w14:paraId="0589D90D" w14:textId="77777777" w:rsidR="00743094" w:rsidRPr="006F310B" w:rsidRDefault="00743094" w:rsidP="009C2E95">
      <w:pPr>
        <w:spacing w:line="480" w:lineRule="auto"/>
        <w:jc w:val="both"/>
        <w:rPr>
          <w:rFonts w:cstheme="minorHAnsi"/>
          <w:lang w:val="en-US"/>
        </w:rPr>
      </w:pPr>
      <w:r w:rsidRPr="006F310B">
        <w:rPr>
          <w:rFonts w:cstheme="minorHAnsi"/>
          <w:b/>
          <w:lang w:val="en-US"/>
        </w:rPr>
        <w:t>Phase 2</w:t>
      </w:r>
      <w:r w:rsidRPr="006F310B">
        <w:rPr>
          <w:rFonts w:cstheme="minorHAnsi"/>
          <w:lang w:val="en-US"/>
        </w:rPr>
        <w:t>. At Phase 2, 25 measures were included (19 in analysis</w:t>
      </w:r>
      <w:r>
        <w:rPr>
          <w:rFonts w:cstheme="minorHAnsi"/>
          <w:lang w:val="en-US"/>
        </w:rPr>
        <w:t xml:space="preserve"> 1</w:t>
      </w:r>
      <w:r w:rsidRPr="006F310B">
        <w:rPr>
          <w:rFonts w:cstheme="minorHAnsi"/>
          <w:lang w:val="en-US"/>
        </w:rPr>
        <w:t>), as shown in Table 1B</w:t>
      </w:r>
      <w:r>
        <w:rPr>
          <w:rFonts w:cstheme="minorHAnsi"/>
          <w:lang w:val="en-US"/>
        </w:rPr>
        <w:t>.  We extracted f</w:t>
      </w:r>
      <w:r w:rsidRPr="006F310B">
        <w:rPr>
          <w:rFonts w:cstheme="minorHAnsi"/>
          <w:lang w:val="en-US"/>
        </w:rPr>
        <w:t xml:space="preserve">ive </w:t>
      </w:r>
      <w:r>
        <w:rPr>
          <w:rFonts w:cstheme="minorHAnsi"/>
          <w:lang w:val="en-US"/>
        </w:rPr>
        <w:t>symptom measures</w:t>
      </w:r>
      <w:r w:rsidRPr="006F310B">
        <w:rPr>
          <w:rFonts w:cstheme="minorHAnsi"/>
          <w:lang w:val="en-US"/>
        </w:rPr>
        <w:t xml:space="preserve"> from the Kiddie Schedule for Affective Disorders and Schizophrenia -</w:t>
      </w:r>
      <w:r>
        <w:rPr>
          <w:rFonts w:cstheme="minorHAnsi"/>
          <w:lang w:val="en-US"/>
        </w:rPr>
        <w:t xml:space="preserve"> </w:t>
      </w:r>
      <w:r w:rsidRPr="006F310B">
        <w:rPr>
          <w:rFonts w:cstheme="minorHAnsi"/>
          <w:lang w:val="en-US"/>
        </w:rPr>
        <w:t xml:space="preserve">epidemiologic version (K-SADS </w:t>
      </w:r>
      <w:r w:rsidRPr="0079401C">
        <w:rPr>
          <w:noProof/>
          <w:vertAlign w:val="superscript"/>
          <w:lang w:val="en-US"/>
        </w:rPr>
        <w:t>15,16</w:t>
      </w:r>
      <w:r>
        <w:rPr>
          <w:lang w:val="en-US"/>
        </w:rPr>
        <w:t>)</w:t>
      </w:r>
      <w:r w:rsidRPr="006F310B">
        <w:rPr>
          <w:rFonts w:cstheme="minorHAnsi"/>
          <w:lang w:val="en-US"/>
        </w:rPr>
        <w:t>.</w:t>
      </w:r>
      <w:r>
        <w:rPr>
          <w:rFonts w:cstheme="minorHAnsi"/>
          <w:lang w:val="en-US"/>
        </w:rPr>
        <w:t>We counted the number of DSM-V symptoms for the following</w:t>
      </w:r>
      <w:r w:rsidRPr="006F310B">
        <w:rPr>
          <w:rFonts w:cstheme="minorHAnsi"/>
          <w:lang w:val="en-US"/>
        </w:rPr>
        <w:t xml:space="preserve">: depression, anxiety, attention deficit hyperactivity disorder (ADHD), </w:t>
      </w:r>
      <w:r>
        <w:rPr>
          <w:rFonts w:cstheme="minorHAnsi"/>
          <w:lang w:val="en-US"/>
        </w:rPr>
        <w:t>post-traumatic stress</w:t>
      </w:r>
      <w:r w:rsidRPr="006F310B">
        <w:rPr>
          <w:rFonts w:cstheme="minorHAnsi"/>
          <w:lang w:val="en-US"/>
        </w:rPr>
        <w:t xml:space="preserve">, and behavioral disorders. </w:t>
      </w:r>
      <w:r>
        <w:rPr>
          <w:rFonts w:cstheme="minorHAnsi"/>
          <w:lang w:val="en-US"/>
        </w:rPr>
        <w:t xml:space="preserve">We investigated children’s violent-experiences via the </w:t>
      </w:r>
      <w:r w:rsidRPr="006F310B">
        <w:rPr>
          <w:rFonts w:cstheme="minorHAnsi"/>
          <w:lang w:val="en-US"/>
        </w:rPr>
        <w:t>Violent Experiences Scale (VEX-R)</w:t>
      </w:r>
      <w:r>
        <w:rPr>
          <w:rFonts w:cstheme="minorHAnsi"/>
          <w:lang w:val="en-US"/>
        </w:rPr>
        <w:t xml:space="preserve"> </w:t>
      </w:r>
      <w:r w:rsidRPr="0079401C">
        <w:rPr>
          <w:rFonts w:cstheme="minorHAnsi"/>
          <w:noProof/>
          <w:vertAlign w:val="superscript"/>
          <w:lang w:val="en-US"/>
        </w:rPr>
        <w:t>17</w:t>
      </w:r>
      <w:r w:rsidRPr="006F310B">
        <w:rPr>
          <w:rFonts w:cstheme="minorHAnsi"/>
          <w:lang w:val="en-US"/>
        </w:rPr>
        <w:t xml:space="preserve">. </w:t>
      </w:r>
      <w:r>
        <w:rPr>
          <w:rFonts w:cstheme="minorHAnsi"/>
          <w:lang w:val="en-US"/>
        </w:rPr>
        <w:t>We administered the School-Life Survey</w:t>
      </w:r>
      <w:r w:rsidRPr="006F310B">
        <w:rPr>
          <w:lang w:val="en-US"/>
        </w:rPr>
        <w:t xml:space="preserve"> </w:t>
      </w:r>
      <w:r w:rsidRPr="0079401C">
        <w:rPr>
          <w:noProof/>
          <w:vertAlign w:val="superscript"/>
          <w:lang w:val="en-US"/>
        </w:rPr>
        <w:t>18</w:t>
      </w:r>
      <w:r w:rsidRPr="006F310B">
        <w:rPr>
          <w:rFonts w:cstheme="minorHAnsi"/>
          <w:lang w:val="en-US"/>
        </w:rPr>
        <w:t xml:space="preserve"> to assess bullying perpetration and victimization. Further, children </w:t>
      </w:r>
      <w:r>
        <w:rPr>
          <w:rFonts w:cstheme="minorHAnsi"/>
          <w:lang w:val="en-US"/>
        </w:rPr>
        <w:t>took the Test for Emotional Comprehension</w:t>
      </w:r>
      <w:r w:rsidRPr="006F310B">
        <w:rPr>
          <w:rFonts w:cstheme="minorHAnsi"/>
          <w:lang w:val="en-US"/>
        </w:rPr>
        <w:t xml:space="preserve"> </w:t>
      </w:r>
      <w:r w:rsidRPr="0079401C">
        <w:rPr>
          <w:rFonts w:cstheme="minorHAnsi"/>
          <w:noProof/>
          <w:vertAlign w:val="superscript"/>
          <w:lang w:val="en-US"/>
        </w:rPr>
        <w:t>19</w:t>
      </w:r>
      <w:r>
        <w:rPr>
          <w:rFonts w:cstheme="minorHAnsi"/>
          <w:lang w:val="en-US"/>
        </w:rPr>
        <w:t xml:space="preserve">  </w:t>
      </w:r>
      <w:r w:rsidRPr="006F310B">
        <w:rPr>
          <w:rFonts w:cstheme="minorHAnsi"/>
          <w:lang w:val="en-US"/>
        </w:rPr>
        <w:t xml:space="preserve">and </w:t>
      </w:r>
      <w:r>
        <w:rPr>
          <w:rFonts w:cstheme="minorHAnsi"/>
          <w:lang w:val="en-US"/>
        </w:rPr>
        <w:t xml:space="preserve">we </w:t>
      </w:r>
      <w:r w:rsidRPr="006F310B">
        <w:rPr>
          <w:rFonts w:cstheme="minorHAnsi"/>
          <w:lang w:val="en-US"/>
        </w:rPr>
        <w:t xml:space="preserve">assessed </w:t>
      </w:r>
      <w:r>
        <w:rPr>
          <w:rFonts w:cstheme="minorHAnsi"/>
          <w:lang w:val="en-US"/>
        </w:rPr>
        <w:t>child mental representations via</w:t>
      </w:r>
      <w:r w:rsidRPr="006F310B">
        <w:rPr>
          <w:rFonts w:cstheme="minorHAnsi"/>
          <w:lang w:val="en-US"/>
        </w:rPr>
        <w:t xml:space="preserve"> the MacArthur Story</w:t>
      </w:r>
      <w:r>
        <w:rPr>
          <w:rFonts w:cstheme="minorHAnsi"/>
          <w:lang w:val="en-US"/>
        </w:rPr>
        <w:t xml:space="preserve"> S</w:t>
      </w:r>
      <w:r w:rsidRPr="006F310B">
        <w:rPr>
          <w:rFonts w:cstheme="minorHAnsi"/>
          <w:lang w:val="en-US"/>
        </w:rPr>
        <w:t xml:space="preserve">tem Battery </w:t>
      </w:r>
      <w:r>
        <w:rPr>
          <w:rFonts w:cstheme="minorHAnsi"/>
          <w:noProof/>
          <w:lang w:val="en-US"/>
        </w:rPr>
        <w:t xml:space="preserve">MSSB; </w:t>
      </w:r>
      <w:r w:rsidRPr="0079401C">
        <w:rPr>
          <w:rFonts w:cstheme="minorHAnsi"/>
          <w:noProof/>
          <w:vertAlign w:val="superscript"/>
          <w:lang w:val="en-US"/>
        </w:rPr>
        <w:t>20</w:t>
      </w:r>
      <w:r w:rsidRPr="006F310B">
        <w:rPr>
          <w:rFonts w:cstheme="minorHAnsi"/>
          <w:lang w:val="en-US"/>
        </w:rPr>
        <w:t>, based on 5 stories</w:t>
      </w:r>
      <w:r>
        <w:rPr>
          <w:rFonts w:cstheme="minorHAnsi"/>
          <w:lang w:val="en-US"/>
        </w:rPr>
        <w:t>-stems</w:t>
      </w:r>
      <w:r w:rsidRPr="006F310B">
        <w:rPr>
          <w:rFonts w:cstheme="minorHAnsi"/>
          <w:lang w:val="en-US"/>
        </w:rPr>
        <w:t xml:space="preserve"> (</w:t>
      </w:r>
      <w:r>
        <w:rPr>
          <w:rFonts w:cstheme="minorHAnsi"/>
          <w:lang w:val="en-US"/>
        </w:rPr>
        <w:t>8</w:t>
      </w:r>
      <w:r w:rsidRPr="006F310B">
        <w:rPr>
          <w:rFonts w:cstheme="minorHAnsi"/>
          <w:lang w:val="en-US"/>
        </w:rPr>
        <w:t xml:space="preserve"> </w:t>
      </w:r>
      <w:r>
        <w:rPr>
          <w:rFonts w:cstheme="minorHAnsi"/>
          <w:lang w:val="en-US"/>
        </w:rPr>
        <w:t>subscales/story</w:t>
      </w:r>
      <w:r w:rsidRPr="006F310B">
        <w:rPr>
          <w:rFonts w:cstheme="minorHAnsi"/>
          <w:lang w:val="en-US"/>
        </w:rPr>
        <w:t xml:space="preserve">). </w:t>
      </w:r>
    </w:p>
    <w:p w14:paraId="1458846B" w14:textId="77777777" w:rsidR="00743094" w:rsidRDefault="00743094" w:rsidP="009C2E95">
      <w:pPr>
        <w:spacing w:line="480" w:lineRule="auto"/>
        <w:jc w:val="both"/>
        <w:rPr>
          <w:rFonts w:cstheme="minorHAnsi"/>
          <w:lang w:val="en-US"/>
        </w:rPr>
      </w:pPr>
      <w:r w:rsidRPr="006F310B">
        <w:rPr>
          <w:rFonts w:cstheme="minorHAnsi"/>
          <w:lang w:val="en-US"/>
        </w:rPr>
        <w:t>In addition, for analysis</w:t>
      </w:r>
      <w:r>
        <w:rPr>
          <w:rFonts w:cstheme="minorHAnsi"/>
          <w:lang w:val="en-US"/>
        </w:rPr>
        <w:t xml:space="preserve"> 2</w:t>
      </w:r>
      <w:r w:rsidRPr="006F310B">
        <w:rPr>
          <w:rFonts w:cstheme="minorHAnsi"/>
          <w:lang w:val="en-US"/>
        </w:rPr>
        <w:t xml:space="preserve">, </w:t>
      </w:r>
      <w:r>
        <w:rPr>
          <w:rFonts w:cstheme="minorHAnsi"/>
          <w:lang w:val="en-US"/>
        </w:rPr>
        <w:t>mothers reported</w:t>
      </w:r>
      <w:r w:rsidRPr="006F310B">
        <w:rPr>
          <w:rFonts w:cstheme="minorHAnsi"/>
          <w:lang w:val="en-US"/>
        </w:rPr>
        <w:t xml:space="preserve"> on</w:t>
      </w:r>
      <w:r>
        <w:rPr>
          <w:rFonts w:cstheme="minorHAnsi"/>
          <w:lang w:val="en-US"/>
        </w:rPr>
        <w:t xml:space="preserve"> child</w:t>
      </w:r>
      <w:r w:rsidRPr="006F310B">
        <w:rPr>
          <w:rFonts w:cstheme="minorHAnsi"/>
          <w:lang w:val="en-US"/>
        </w:rPr>
        <w:t xml:space="preserve"> internalizing and externalizing symptoms using the Child Behavior Checklist </w:t>
      </w:r>
      <w:r>
        <w:rPr>
          <w:rFonts w:cstheme="minorHAnsi"/>
          <w:noProof/>
          <w:lang w:val="en-US"/>
        </w:rPr>
        <w:t xml:space="preserve">CBCL; </w:t>
      </w:r>
      <w:r w:rsidRPr="0079401C">
        <w:rPr>
          <w:rFonts w:cstheme="minorHAnsi"/>
          <w:noProof/>
          <w:vertAlign w:val="superscript"/>
          <w:lang w:val="en-US"/>
        </w:rPr>
        <w:t>21,22</w:t>
      </w:r>
      <w:r w:rsidRPr="006F310B">
        <w:rPr>
          <w:rFonts w:cstheme="minorHAnsi"/>
          <w:lang w:val="en-US"/>
        </w:rPr>
        <w:t xml:space="preserve"> and</w:t>
      </w:r>
      <w:r>
        <w:rPr>
          <w:rFonts w:cstheme="minorHAnsi"/>
          <w:lang w:val="en-US"/>
        </w:rPr>
        <w:t xml:space="preserve"> on</w:t>
      </w:r>
      <w:r w:rsidRPr="006F310B">
        <w:rPr>
          <w:rFonts w:cstheme="minorHAnsi"/>
          <w:lang w:val="en-US"/>
        </w:rPr>
        <w:t xml:space="preserve"> </w:t>
      </w:r>
      <w:r>
        <w:rPr>
          <w:rFonts w:cstheme="minorHAnsi"/>
          <w:lang w:val="en-US"/>
        </w:rPr>
        <w:t xml:space="preserve">child temperament via the School Age Temperament Inventory </w:t>
      </w:r>
      <w:r w:rsidRPr="0079401C">
        <w:rPr>
          <w:rFonts w:cstheme="minorHAnsi"/>
          <w:noProof/>
          <w:vertAlign w:val="superscript"/>
          <w:lang w:val="en-US"/>
        </w:rPr>
        <w:t>23</w:t>
      </w:r>
      <w:r w:rsidRPr="006F310B">
        <w:rPr>
          <w:rFonts w:cstheme="minorHAnsi"/>
          <w:lang w:val="en-US"/>
        </w:rPr>
        <w:t>.</w:t>
      </w:r>
    </w:p>
    <w:p w14:paraId="22DCB54B" w14:textId="77777777" w:rsidR="00743094" w:rsidRPr="000172CE" w:rsidRDefault="00743094" w:rsidP="002F57D8">
      <w:pPr>
        <w:spacing w:line="480" w:lineRule="auto"/>
        <w:jc w:val="both"/>
        <w:rPr>
          <w:rFonts w:cstheme="minorHAnsi"/>
          <w:highlight w:val="yellow"/>
          <w:lang w:val="en-US"/>
        </w:rPr>
      </w:pPr>
    </w:p>
    <w:p w14:paraId="0823CF79" w14:textId="77777777" w:rsidR="00743094" w:rsidRPr="000172CE" w:rsidRDefault="00743094" w:rsidP="002F57D8">
      <w:pPr>
        <w:spacing w:line="480" w:lineRule="auto"/>
        <w:jc w:val="both"/>
        <w:rPr>
          <w:b/>
          <w:bCs/>
          <w:lang w:val="en-US"/>
        </w:rPr>
      </w:pPr>
      <w:r w:rsidRPr="000172CE">
        <w:rPr>
          <w:b/>
          <w:bCs/>
          <w:lang w:val="en-US"/>
        </w:rPr>
        <w:t>Supplementary description of analysis:</w:t>
      </w:r>
    </w:p>
    <w:p w14:paraId="60DB0489" w14:textId="77777777" w:rsidR="00743094" w:rsidRPr="000172CE" w:rsidRDefault="00743094" w:rsidP="002F57D8">
      <w:pPr>
        <w:spacing w:line="480" w:lineRule="auto"/>
        <w:jc w:val="both"/>
        <w:rPr>
          <w:rFonts w:cstheme="minorHAnsi"/>
          <w:lang w:val="en-US"/>
        </w:rPr>
      </w:pPr>
      <w:r w:rsidRPr="000172CE">
        <w:rPr>
          <w:lang w:val="en-US"/>
        </w:rPr>
        <w:t xml:space="preserve">Before </w:t>
      </w:r>
      <w:r>
        <w:rPr>
          <w:lang w:val="en-US"/>
        </w:rPr>
        <w:t xml:space="preserve">we z-standardized </w:t>
      </w:r>
      <w:r w:rsidRPr="000172CE">
        <w:rPr>
          <w:lang w:val="en-US"/>
        </w:rPr>
        <w:t xml:space="preserve">sCCA, </w:t>
      </w:r>
      <w:r>
        <w:rPr>
          <w:lang w:val="en-US"/>
        </w:rPr>
        <w:t>we replaced</w:t>
      </w:r>
      <w:r w:rsidRPr="000172CE">
        <w:rPr>
          <w:lang w:val="en-US"/>
        </w:rPr>
        <w:t xml:space="preserve"> missing data with 0-values (</w:t>
      </w:r>
      <w:proofErr w:type="gramStart"/>
      <w:r w:rsidRPr="000172CE">
        <w:rPr>
          <w:lang w:val="en-US"/>
        </w:rPr>
        <w:t>i.e.</w:t>
      </w:r>
      <w:proofErr w:type="gramEnd"/>
      <w:r w:rsidRPr="000172CE">
        <w:rPr>
          <w:lang w:val="en-US"/>
        </w:rPr>
        <w:t xml:space="preserve"> mean values). </w:t>
      </w:r>
      <w:r w:rsidRPr="000172CE">
        <w:rPr>
          <w:rFonts w:cstheme="minorHAnsi"/>
          <w:lang w:val="en-US"/>
        </w:rPr>
        <w:t xml:space="preserve">For sCCA, we used a </w:t>
      </w:r>
      <w:proofErr w:type="spellStart"/>
      <w:r w:rsidRPr="000172CE">
        <w:rPr>
          <w:rFonts w:cstheme="minorHAnsi"/>
          <w:lang w:val="en-US"/>
        </w:rPr>
        <w:t>Matlab</w:t>
      </w:r>
      <w:proofErr w:type="spellEnd"/>
      <w:r w:rsidRPr="000172CE">
        <w:rPr>
          <w:rFonts w:cstheme="minorHAnsi"/>
          <w:lang w:val="en-US"/>
        </w:rPr>
        <w:t xml:space="preserve"> script available online </w:t>
      </w:r>
      <w:r w:rsidRPr="0079401C">
        <w:rPr>
          <w:rFonts w:cstheme="minorHAnsi"/>
          <w:noProof/>
          <w:vertAlign w:val="superscript"/>
          <w:lang w:val="en-US"/>
        </w:rPr>
        <w:t>24</w:t>
      </w:r>
      <w:r w:rsidRPr="000172CE">
        <w:rPr>
          <w:rFonts w:cstheme="minorHAnsi"/>
          <w:lang w:val="en-US"/>
        </w:rPr>
        <w:t xml:space="preserve"> that applies an approach with an L1-norm penalty </w:t>
      </w:r>
      <w:r w:rsidRPr="0079401C">
        <w:rPr>
          <w:rFonts w:cstheme="minorHAnsi"/>
          <w:noProof/>
          <w:vertAlign w:val="superscript"/>
          <w:lang w:val="en-US"/>
        </w:rPr>
        <w:t>25</w:t>
      </w:r>
      <w:r>
        <w:rPr>
          <w:rFonts w:cstheme="minorHAnsi"/>
          <w:lang w:val="en-US"/>
        </w:rPr>
        <w:t>.</w:t>
      </w:r>
    </w:p>
    <w:p w14:paraId="4D49E2B8" w14:textId="77777777" w:rsidR="00743094" w:rsidRPr="000172CE" w:rsidRDefault="00743094" w:rsidP="002F57D8">
      <w:pPr>
        <w:spacing w:line="480" w:lineRule="auto"/>
        <w:jc w:val="both"/>
        <w:rPr>
          <w:rFonts w:cstheme="minorHAnsi"/>
          <w:lang w:val="en-US"/>
        </w:rPr>
      </w:pPr>
      <w:r w:rsidRPr="000172CE">
        <w:rPr>
          <w:rFonts w:cstheme="minorHAnsi"/>
          <w:lang w:val="en-US"/>
        </w:rPr>
        <w:t xml:space="preserve">For either dataset the computed range of candidate values was from 0.5 × √P (high sparsity) to 1 × √P (low sparsity) at increments of 0.1, where P is the number of variables in each dataset. For each analysis, we automatically selected the combination of sparse criteria of the analysis with the </w:t>
      </w:r>
      <w:r w:rsidRPr="000172CE">
        <w:rPr>
          <w:rFonts w:cstheme="minorHAnsi"/>
          <w:lang w:val="en-US"/>
        </w:rPr>
        <w:lastRenderedPageBreak/>
        <w:t xml:space="preserve">maximum sCCA correlation value among all tested sparse criteria combinations. We determined sCCA significance using permutations. Accordingly, </w:t>
      </w:r>
      <w:bookmarkStart w:id="0" w:name="_Hlk103083928"/>
      <w:r w:rsidRPr="000172CE">
        <w:rPr>
          <w:rFonts w:cstheme="minorHAnsi"/>
          <w:lang w:val="en-US"/>
        </w:rPr>
        <w:t xml:space="preserve">the Phase 1 dataset was permuted 10’000 times </w:t>
      </w:r>
      <w:bookmarkEnd w:id="0"/>
      <w:r w:rsidRPr="000172CE">
        <w:rPr>
          <w:rFonts w:cstheme="minorHAnsi"/>
          <w:lang w:val="en-US"/>
        </w:rPr>
        <w:t>before undergoing the exact same analysis as the original data in each permutation.</w:t>
      </w:r>
    </w:p>
    <w:p w14:paraId="268B9CB7" w14:textId="77777777" w:rsidR="00743094" w:rsidRPr="0079401C" w:rsidRDefault="00743094" w:rsidP="002F57D8">
      <w:pPr>
        <w:spacing w:line="480" w:lineRule="auto"/>
        <w:jc w:val="both"/>
        <w:rPr>
          <w:rFonts w:ascii="Calibri" w:hAnsi="Calibri"/>
          <w:lang w:val="en-US"/>
        </w:rPr>
      </w:pPr>
      <w:bookmarkStart w:id="1" w:name="_Hlk103083953"/>
      <w:r w:rsidRPr="0079401C">
        <w:rPr>
          <w:rFonts w:ascii="Calibri" w:hAnsi="Calibri"/>
          <w:lang w:val="en-US"/>
        </w:rPr>
        <w:t xml:space="preserve">The p-value represents the number of permutations with a higher correlation than the original data divided by 10’000 </w:t>
      </w:r>
      <w:bookmarkEnd w:id="1"/>
      <w:r w:rsidRPr="0079401C">
        <w:rPr>
          <w:rFonts w:ascii="Calibri" w:hAnsi="Calibri"/>
          <w:lang w:val="en-US"/>
        </w:rPr>
        <w:t xml:space="preserve">using all the sparsity combinations available to the main analysis. </w:t>
      </w:r>
      <w:r w:rsidRPr="0079401C">
        <w:rPr>
          <w:rFonts w:ascii="Calibri" w:hAnsi="Calibri" w:cs="Calibri"/>
          <w:lang w:val="en-US"/>
        </w:rPr>
        <w:t>Consequently</w:t>
      </w:r>
      <w:r w:rsidRPr="0079401C">
        <w:rPr>
          <w:rFonts w:ascii="Calibri" w:hAnsi="Calibri"/>
          <w:lang w:val="en-US"/>
        </w:rPr>
        <w:t xml:space="preserve">, the p-value is compared against the null distribution of maximal correlation values across all estimated </w:t>
      </w:r>
      <w:proofErr w:type="spellStart"/>
      <w:r w:rsidRPr="0079401C">
        <w:rPr>
          <w:rFonts w:ascii="Calibri" w:hAnsi="Calibri"/>
          <w:lang w:val="en-US"/>
        </w:rPr>
        <w:t>sCCAs</w:t>
      </w:r>
      <w:proofErr w:type="spellEnd"/>
      <w:r w:rsidRPr="0079401C">
        <w:rPr>
          <w:rFonts w:ascii="Calibri" w:hAnsi="Calibri"/>
          <w:lang w:val="en-US"/>
        </w:rPr>
        <w:t xml:space="preserve"> and in this sense corrected for multiple testing. For significant sCCA, we report the weights of each variable for both Phase 1 and Phase 2 datasets </w:t>
      </w:r>
      <w:proofErr w:type="gramStart"/>
      <w:r w:rsidRPr="0079401C">
        <w:rPr>
          <w:rFonts w:ascii="Calibri" w:hAnsi="Calibri"/>
          <w:lang w:val="en-US"/>
        </w:rPr>
        <w:t>in order to</w:t>
      </w:r>
      <w:proofErr w:type="gramEnd"/>
      <w:r w:rsidRPr="0079401C">
        <w:rPr>
          <w:rFonts w:ascii="Calibri" w:hAnsi="Calibri"/>
          <w:lang w:val="en-US"/>
        </w:rPr>
        <w:t xml:space="preserve"> assess their contribution and present those above 0.2 in figures.</w:t>
      </w:r>
    </w:p>
    <w:p w14:paraId="5507D339" w14:textId="77777777" w:rsidR="00743094" w:rsidRPr="000172CE" w:rsidRDefault="00743094" w:rsidP="002F57D8">
      <w:pPr>
        <w:spacing w:line="480" w:lineRule="auto"/>
        <w:jc w:val="both"/>
        <w:rPr>
          <w:lang w:val="en-US"/>
        </w:rPr>
      </w:pPr>
      <w:r w:rsidRPr="000172CE">
        <w:rPr>
          <w:lang w:val="en-US"/>
        </w:rPr>
        <w:t>Apart from the first mode, we tested an additional 6 modes (component pairs) for significance and reliability with 2000 permutations each. None of these modes proved to be significant.</w:t>
      </w:r>
    </w:p>
    <w:p w14:paraId="283F1B22" w14:textId="77777777" w:rsidR="00743094" w:rsidRPr="000172CE" w:rsidRDefault="00743094" w:rsidP="002F57D8">
      <w:pPr>
        <w:spacing w:line="480" w:lineRule="auto"/>
        <w:jc w:val="both"/>
        <w:rPr>
          <w:b/>
          <w:bCs/>
          <w:lang w:val="en-US"/>
        </w:rPr>
      </w:pPr>
      <w:r w:rsidRPr="000172CE">
        <w:rPr>
          <w:b/>
          <w:bCs/>
          <w:lang w:val="en-US"/>
        </w:rPr>
        <w:t>Reliability analyses and results:</w:t>
      </w:r>
    </w:p>
    <w:p w14:paraId="1800B0A2" w14:textId="77777777" w:rsidR="00743094" w:rsidRPr="000172CE" w:rsidRDefault="00743094" w:rsidP="002F57D8">
      <w:pPr>
        <w:spacing w:line="480" w:lineRule="auto"/>
        <w:jc w:val="both"/>
        <w:rPr>
          <w:lang w:val="en-US"/>
        </w:rPr>
      </w:pPr>
      <w:r w:rsidRPr="000172CE">
        <w:rPr>
          <w:lang w:val="en-US"/>
        </w:rPr>
        <w:t xml:space="preserve">To assess whether our results were robust and reliable, we proceeded in five steps of reliability analyses (1) we first performed leave-one out analysis for every participant. (2) We then computed a redundancy-reliability score (Moser’s RR-score, mean and SD) for each significant sCCA </w:t>
      </w:r>
      <w:r w:rsidRPr="0079401C">
        <w:rPr>
          <w:noProof/>
          <w:vertAlign w:val="superscript"/>
          <w:lang w:val="en-US"/>
        </w:rPr>
        <w:t>26</w:t>
      </w:r>
      <w:r w:rsidRPr="000172CE">
        <w:rPr>
          <w:lang w:val="en-US"/>
        </w:rPr>
        <w:t>. Moser’s RR-score is a measure of the stability of the variable-to-variate correlations and indicates whether results can be expected to be reliable independent of sample composition. Meant to be based on a training-test set approach</w:t>
      </w:r>
      <w:r>
        <w:rPr>
          <w:lang w:val="en-US"/>
        </w:rPr>
        <w:t>,</w:t>
      </w:r>
      <w:r w:rsidRPr="000172CE">
        <w:rPr>
          <w:lang w:val="en-US"/>
        </w:rPr>
        <w:t xml:space="preserve"> Moser’s RR-score essentially measures whether test sets have similar associations between variables and variates, whereby results with high RR-scores may be assumed to be truly carried by the entire sample and not to depend on a specific subset of the population that may not be reliably reproduced if one were to replicate the study </w:t>
      </w:r>
      <w:r w:rsidRPr="0079401C">
        <w:rPr>
          <w:noProof/>
          <w:vertAlign w:val="superscript"/>
          <w:lang w:val="en-US"/>
        </w:rPr>
        <w:t>26</w:t>
      </w:r>
      <w:r w:rsidRPr="000172CE">
        <w:rPr>
          <w:lang w:val="en-US"/>
        </w:rPr>
        <w:t xml:space="preserve">. In the present study, </w:t>
      </w:r>
      <w:r>
        <w:rPr>
          <w:lang w:val="en-US"/>
        </w:rPr>
        <w:t xml:space="preserve">we performed </w:t>
      </w:r>
      <w:r w:rsidRPr="000172CE">
        <w:rPr>
          <w:lang w:val="en-US"/>
        </w:rPr>
        <w:t xml:space="preserve">10’000 splits of training and test sets </w:t>
      </w:r>
      <w:proofErr w:type="gramStart"/>
      <w:r w:rsidRPr="000172CE">
        <w:rPr>
          <w:lang w:val="en-US"/>
        </w:rPr>
        <w:t>in order to</w:t>
      </w:r>
      <w:proofErr w:type="gramEnd"/>
      <w:r w:rsidRPr="000172CE">
        <w:rPr>
          <w:lang w:val="en-US"/>
        </w:rPr>
        <w:t xml:space="preserve"> calculate the mean RR-score</w:t>
      </w:r>
      <w:r>
        <w:rPr>
          <w:lang w:val="en-US"/>
        </w:rPr>
        <w:t xml:space="preserve"> </w:t>
      </w:r>
      <w:r w:rsidRPr="000172CE">
        <w:rPr>
          <w:lang w:val="en-US"/>
        </w:rPr>
        <w:t>(3)</w:t>
      </w:r>
      <w:r>
        <w:rPr>
          <w:lang w:val="en-US"/>
        </w:rPr>
        <w:t>.</w:t>
      </w:r>
      <w:r w:rsidRPr="000172CE">
        <w:rPr>
          <w:lang w:val="en-US"/>
        </w:rPr>
        <w:t xml:space="preserve"> We performed a cross validation approach to test whether the weights gained from sCCA in one</w:t>
      </w:r>
      <w:r>
        <w:rPr>
          <w:lang w:val="en-US"/>
        </w:rPr>
        <w:t>-</w:t>
      </w:r>
      <w:r w:rsidRPr="000172CE">
        <w:rPr>
          <w:lang w:val="en-US"/>
        </w:rPr>
        <w:t xml:space="preserve">half of the sample would reliably lead to a correlation in the other half of the sample. For this, we randomly resampled half the sample 10’000 times (training sets), performed sCCA on each of these sets and then applied the </w:t>
      </w:r>
      <w:r w:rsidRPr="000172CE">
        <w:rPr>
          <w:lang w:val="en-US"/>
        </w:rPr>
        <w:lastRenderedPageBreak/>
        <w:t>identified weights from each training set to the other half of the sample (the test set). This allowed us to gain information on whether sCCA derived correlations in this study were likely to be dependent on this specific sample or not. (4) We repeated the analysis regressing out maternal age at Phase 1 and child age at Phase 2, to see if results would be impacted. (5) We repeated the analysis by transforming each variable into ranks rather than using original interval scale (prior to standardization), to ascertain again that it was not a combination of multiple outliers together that were responsible for the results.</w:t>
      </w:r>
    </w:p>
    <w:p w14:paraId="6D85030D" w14:textId="77777777" w:rsidR="00743094" w:rsidRPr="000172CE" w:rsidRDefault="00743094" w:rsidP="002F57D8">
      <w:pPr>
        <w:spacing w:line="480" w:lineRule="auto"/>
        <w:jc w:val="both"/>
        <w:rPr>
          <w:lang w:val="en-US"/>
        </w:rPr>
      </w:pPr>
      <w:r w:rsidRPr="000172CE">
        <w:rPr>
          <w:lang w:val="en-US"/>
        </w:rPr>
        <w:t xml:space="preserve">1) Leave-one out analysis demonstrated that neither analysis was dependent on any single participant, as weights correlated at r&gt;0.97 for either dataset in either analysis if any participant was removed from analysis. </w:t>
      </w:r>
    </w:p>
    <w:p w14:paraId="22D2FF83" w14:textId="77777777" w:rsidR="00743094" w:rsidRPr="000172CE" w:rsidRDefault="00743094" w:rsidP="002F57D8">
      <w:pPr>
        <w:spacing w:line="480" w:lineRule="auto"/>
        <w:jc w:val="both"/>
        <w:rPr>
          <w:lang w:val="en-US"/>
        </w:rPr>
      </w:pPr>
      <w:r w:rsidRPr="000172CE">
        <w:rPr>
          <w:lang w:val="en-US"/>
        </w:rPr>
        <w:t xml:space="preserve">2) The mean Moser’s RR-scores were 0.70 (SD = 0.16) for analysis 1, and 0.77 (SD = 0.13) for analysis 2. Distribution was roughly as could be expected and appeared unimodal and skewed towards the right (higher values, see supplementary Figure 1). </w:t>
      </w:r>
    </w:p>
    <w:p w14:paraId="13A10CC0" w14:textId="77777777" w:rsidR="00743094" w:rsidRPr="000172CE" w:rsidRDefault="00743094" w:rsidP="002F57D8">
      <w:pPr>
        <w:spacing w:line="480" w:lineRule="auto"/>
        <w:jc w:val="both"/>
        <w:rPr>
          <w:lang w:val="en-US"/>
        </w:rPr>
      </w:pPr>
      <w:r w:rsidRPr="000172CE">
        <w:rPr>
          <w:lang w:val="en-US"/>
        </w:rPr>
        <w:t>3) Mean correlation of test sets using weights gained from their respective training sets was r = 0.23 for analysis 1 and r = 0.35 for analysis 2. Again, the average distribution appeared unimodal and skewed towards the right (higher values, see supplementary Figure 1).</w:t>
      </w:r>
    </w:p>
    <w:p w14:paraId="2472D228" w14:textId="77777777" w:rsidR="00743094" w:rsidRPr="000172CE" w:rsidRDefault="00743094" w:rsidP="002F57D8">
      <w:pPr>
        <w:spacing w:line="480" w:lineRule="auto"/>
        <w:jc w:val="both"/>
        <w:rPr>
          <w:highlight w:val="yellow"/>
          <w:lang w:val="en-US"/>
        </w:rPr>
      </w:pPr>
      <w:r w:rsidRPr="000172CE">
        <w:rPr>
          <w:lang w:val="en-US"/>
        </w:rPr>
        <w:t xml:space="preserve">4) Regressing out age changed very little for either analysis (analysis 1 p = 0.021, correlation with original weights r &gt; 0.97, analysis 2 p = 0.004, correlation with original weights r &gt; 0.99, see supplementary Table 1). </w:t>
      </w:r>
    </w:p>
    <w:p w14:paraId="63F5090B" w14:textId="77777777" w:rsidR="00743094" w:rsidRPr="000172CE" w:rsidRDefault="00743094" w:rsidP="002F57D8">
      <w:pPr>
        <w:spacing w:line="480" w:lineRule="auto"/>
        <w:jc w:val="both"/>
        <w:rPr>
          <w:highlight w:val="yellow"/>
          <w:lang w:val="en-US"/>
        </w:rPr>
      </w:pPr>
      <w:r w:rsidRPr="000172CE">
        <w:rPr>
          <w:lang w:val="en-US"/>
        </w:rPr>
        <w:t xml:space="preserve">5) Similarly, transforming the data to ranks prior to analysis did not change the result (Analysis 1 p = 0.025, correlation with original weights r &gt; 0.99, Analysis 2 p = 0.004, correlation with original weights r &gt; 0.99, see supplementary Table 1). </w:t>
      </w:r>
    </w:p>
    <w:p w14:paraId="4A68D3E5" w14:textId="77777777" w:rsidR="00743094" w:rsidRDefault="00743094" w:rsidP="002F57D8">
      <w:pPr>
        <w:rPr>
          <w:lang w:val="en-US"/>
        </w:rPr>
      </w:pPr>
    </w:p>
    <w:p w14:paraId="3295DD6C" w14:textId="77777777" w:rsidR="00743094" w:rsidRDefault="00743094" w:rsidP="002F57D8">
      <w:pPr>
        <w:rPr>
          <w:lang w:val="en-US"/>
        </w:rPr>
      </w:pPr>
    </w:p>
    <w:p w14:paraId="3A5C3AEC" w14:textId="77777777" w:rsidR="00743094" w:rsidRDefault="00743094" w:rsidP="002F57D8">
      <w:pPr>
        <w:rPr>
          <w:lang w:val="en-US"/>
        </w:rPr>
      </w:pPr>
    </w:p>
    <w:p w14:paraId="7F4D3C88" w14:textId="77777777" w:rsidR="00743094" w:rsidRPr="000172CE" w:rsidRDefault="00743094" w:rsidP="002F57D8">
      <w:pPr>
        <w:rPr>
          <w:lang w:val="en-US"/>
        </w:rPr>
      </w:pPr>
      <w:r w:rsidRPr="000172CE">
        <w:rPr>
          <w:lang w:val="en-US"/>
        </w:rPr>
        <w:lastRenderedPageBreak/>
        <w:t>Supplementary Table 1A</w:t>
      </w:r>
    </w:p>
    <w:p w14:paraId="51183493" w14:textId="77777777" w:rsidR="00743094" w:rsidRPr="000172CE" w:rsidRDefault="00743094" w:rsidP="002F57D8">
      <w:pPr>
        <w:rPr>
          <w:lang w:val="en-US"/>
        </w:rPr>
      </w:pPr>
      <w:r w:rsidRPr="000172CE">
        <w:rPr>
          <w:lang w:val="en-US"/>
        </w:rPr>
        <w:t>Weights of individual measures for Analysis 1. Maternal Measures of Phase 1</w:t>
      </w:r>
    </w:p>
    <w:tbl>
      <w:tblPr>
        <w:tblStyle w:val="TableGrid"/>
        <w:tblW w:w="9459" w:type="dxa"/>
        <w:tblLook w:val="04A0" w:firstRow="1" w:lastRow="0" w:firstColumn="1" w:lastColumn="0" w:noHBand="0" w:noVBand="1"/>
      </w:tblPr>
      <w:tblGrid>
        <w:gridCol w:w="4192"/>
        <w:gridCol w:w="1813"/>
        <w:gridCol w:w="1705"/>
        <w:gridCol w:w="1718"/>
        <w:gridCol w:w="31"/>
      </w:tblGrid>
      <w:tr w:rsidR="00743094" w:rsidRPr="000172CE" w14:paraId="69952281" w14:textId="77777777" w:rsidTr="00BF3C61">
        <w:trPr>
          <w:trHeight w:val="147"/>
        </w:trPr>
        <w:tc>
          <w:tcPr>
            <w:tcW w:w="4192" w:type="dxa"/>
          </w:tcPr>
          <w:p w14:paraId="28A5DF51" w14:textId="77777777" w:rsidR="00743094" w:rsidRPr="000172CE" w:rsidRDefault="00743094" w:rsidP="00BF3C61">
            <w:pPr>
              <w:rPr>
                <w:lang w:val="en-US"/>
              </w:rPr>
            </w:pPr>
          </w:p>
        </w:tc>
        <w:tc>
          <w:tcPr>
            <w:tcW w:w="5267" w:type="dxa"/>
            <w:gridSpan w:val="4"/>
            <w:shd w:val="clear" w:color="auto" w:fill="auto"/>
            <w:vAlign w:val="center"/>
          </w:tcPr>
          <w:p w14:paraId="7E750030" w14:textId="77777777" w:rsidR="00743094" w:rsidRPr="000172CE" w:rsidRDefault="00743094" w:rsidP="00BF3C61">
            <w:pPr>
              <w:jc w:val="center"/>
              <w:rPr>
                <w:lang w:val="en-US"/>
              </w:rPr>
            </w:pPr>
            <w:r w:rsidRPr="000172CE">
              <w:rPr>
                <w:lang w:val="en-US"/>
              </w:rPr>
              <w:t>Weights</w:t>
            </w:r>
          </w:p>
        </w:tc>
      </w:tr>
      <w:tr w:rsidR="00743094" w:rsidRPr="000172CE" w14:paraId="74576619" w14:textId="77777777" w:rsidTr="00BF3C61">
        <w:trPr>
          <w:gridAfter w:val="1"/>
          <w:wAfter w:w="31" w:type="dxa"/>
          <w:trHeight w:val="433"/>
        </w:trPr>
        <w:tc>
          <w:tcPr>
            <w:tcW w:w="4192" w:type="dxa"/>
          </w:tcPr>
          <w:p w14:paraId="19598C74" w14:textId="77777777" w:rsidR="00743094" w:rsidRPr="000172CE" w:rsidRDefault="00743094" w:rsidP="00BF3C61">
            <w:pPr>
              <w:rPr>
                <w:lang w:val="en-US"/>
              </w:rPr>
            </w:pPr>
          </w:p>
        </w:tc>
        <w:tc>
          <w:tcPr>
            <w:tcW w:w="1813" w:type="dxa"/>
            <w:vAlign w:val="center"/>
          </w:tcPr>
          <w:p w14:paraId="1B6DEC99" w14:textId="77777777" w:rsidR="00743094" w:rsidRPr="000172CE" w:rsidRDefault="00743094" w:rsidP="00BF3C61">
            <w:pPr>
              <w:jc w:val="center"/>
              <w:rPr>
                <w:lang w:val="en-US"/>
              </w:rPr>
            </w:pPr>
            <w:r w:rsidRPr="000172CE">
              <w:rPr>
                <w:lang w:val="en-US"/>
              </w:rPr>
              <w:t>Main analysis</w:t>
            </w:r>
          </w:p>
        </w:tc>
        <w:tc>
          <w:tcPr>
            <w:tcW w:w="1705" w:type="dxa"/>
            <w:shd w:val="clear" w:color="auto" w:fill="auto"/>
            <w:vAlign w:val="center"/>
          </w:tcPr>
          <w:p w14:paraId="631A74BC" w14:textId="77777777" w:rsidR="00743094" w:rsidRPr="000172CE" w:rsidRDefault="00743094" w:rsidP="00BF3C61">
            <w:pPr>
              <w:jc w:val="center"/>
              <w:rPr>
                <w:lang w:val="en-US"/>
              </w:rPr>
            </w:pPr>
            <w:r w:rsidRPr="000172CE">
              <w:rPr>
                <w:lang w:val="en-US"/>
              </w:rPr>
              <w:t xml:space="preserve">Age regressed </w:t>
            </w:r>
          </w:p>
        </w:tc>
        <w:tc>
          <w:tcPr>
            <w:tcW w:w="1718" w:type="dxa"/>
            <w:shd w:val="clear" w:color="auto" w:fill="auto"/>
            <w:vAlign w:val="center"/>
          </w:tcPr>
          <w:p w14:paraId="08FD3142" w14:textId="77777777" w:rsidR="00743094" w:rsidRPr="000172CE" w:rsidRDefault="00743094" w:rsidP="00BF3C61">
            <w:pPr>
              <w:jc w:val="center"/>
              <w:rPr>
                <w:lang w:val="en-US"/>
              </w:rPr>
            </w:pPr>
            <w:r w:rsidRPr="000172CE">
              <w:rPr>
                <w:lang w:val="en-US"/>
              </w:rPr>
              <w:t>Measures converted to ranks</w:t>
            </w:r>
          </w:p>
        </w:tc>
      </w:tr>
      <w:tr w:rsidR="00743094" w:rsidRPr="000172CE" w14:paraId="33AAE457" w14:textId="77777777" w:rsidTr="00BF3C61">
        <w:trPr>
          <w:gridAfter w:val="1"/>
          <w:wAfter w:w="31" w:type="dxa"/>
          <w:trHeight w:val="147"/>
        </w:trPr>
        <w:tc>
          <w:tcPr>
            <w:tcW w:w="4192" w:type="dxa"/>
            <w:vAlign w:val="center"/>
          </w:tcPr>
          <w:p w14:paraId="57F4C4F7" w14:textId="77777777" w:rsidR="00743094" w:rsidRPr="000172CE" w:rsidRDefault="00743094" w:rsidP="00BF3C61">
            <w:pPr>
              <w:rPr>
                <w:highlight w:val="yellow"/>
                <w:lang w:val="en-US"/>
              </w:rPr>
            </w:pPr>
            <w:r w:rsidRPr="000172CE">
              <w:rPr>
                <w:rFonts w:ascii="Calibri" w:hAnsi="Calibri" w:cs="Calibri"/>
                <w:color w:val="000000"/>
                <w:lang w:val="en-US"/>
              </w:rPr>
              <w:t>Current PTSD (PCLS)</w:t>
            </w:r>
          </w:p>
        </w:tc>
        <w:tc>
          <w:tcPr>
            <w:tcW w:w="1813" w:type="dxa"/>
            <w:vAlign w:val="bottom"/>
          </w:tcPr>
          <w:p w14:paraId="6435298B" w14:textId="77777777" w:rsidR="00743094" w:rsidRPr="000172CE" w:rsidRDefault="00743094" w:rsidP="00BF3C61">
            <w:pPr>
              <w:jc w:val="center"/>
              <w:rPr>
                <w:highlight w:val="yellow"/>
                <w:lang w:val="en-US"/>
              </w:rPr>
            </w:pPr>
            <w:r w:rsidRPr="000172CE">
              <w:rPr>
                <w:rFonts w:ascii="Calibri" w:hAnsi="Calibri" w:cs="Calibri"/>
                <w:color w:val="000000"/>
                <w:lang w:val="en-US"/>
              </w:rPr>
              <w:t>0.39</w:t>
            </w:r>
          </w:p>
        </w:tc>
        <w:tc>
          <w:tcPr>
            <w:tcW w:w="1705" w:type="dxa"/>
            <w:vAlign w:val="bottom"/>
          </w:tcPr>
          <w:p w14:paraId="6687B653"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0.37</w:t>
            </w:r>
          </w:p>
        </w:tc>
        <w:tc>
          <w:tcPr>
            <w:tcW w:w="1718" w:type="dxa"/>
            <w:vAlign w:val="bottom"/>
          </w:tcPr>
          <w:p w14:paraId="7F6A7F84"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0.38</w:t>
            </w:r>
          </w:p>
        </w:tc>
      </w:tr>
      <w:tr w:rsidR="00743094" w:rsidRPr="000172CE" w14:paraId="781F408C" w14:textId="77777777" w:rsidTr="00BF3C61">
        <w:trPr>
          <w:gridAfter w:val="1"/>
          <w:wAfter w:w="31" w:type="dxa"/>
          <w:trHeight w:val="138"/>
        </w:trPr>
        <w:tc>
          <w:tcPr>
            <w:tcW w:w="4192" w:type="dxa"/>
            <w:vAlign w:val="center"/>
          </w:tcPr>
          <w:p w14:paraId="3E069AF9" w14:textId="77777777" w:rsidR="00743094" w:rsidRPr="000172CE" w:rsidRDefault="00743094" w:rsidP="00BF3C61">
            <w:pPr>
              <w:rPr>
                <w:highlight w:val="yellow"/>
                <w:lang w:val="en-US"/>
              </w:rPr>
            </w:pPr>
            <w:r w:rsidRPr="000172CE">
              <w:rPr>
                <w:rFonts w:ascii="Calibri" w:hAnsi="Calibri" w:cs="Calibri"/>
                <w:color w:val="000000"/>
                <w:lang w:val="en-US"/>
              </w:rPr>
              <w:t>Lifetime PTSD (CAPS)</w:t>
            </w:r>
          </w:p>
        </w:tc>
        <w:tc>
          <w:tcPr>
            <w:tcW w:w="1813" w:type="dxa"/>
            <w:vAlign w:val="bottom"/>
          </w:tcPr>
          <w:p w14:paraId="1E74133B" w14:textId="77777777" w:rsidR="00743094" w:rsidRPr="000172CE" w:rsidRDefault="00743094" w:rsidP="00BF3C61">
            <w:pPr>
              <w:jc w:val="center"/>
              <w:rPr>
                <w:highlight w:val="yellow"/>
                <w:lang w:val="en-US"/>
              </w:rPr>
            </w:pPr>
            <w:r w:rsidRPr="000172CE">
              <w:rPr>
                <w:rFonts w:ascii="Calibri" w:hAnsi="Calibri" w:cs="Calibri"/>
                <w:color w:val="000000"/>
                <w:lang w:val="en-US"/>
              </w:rPr>
              <w:t>0.36</w:t>
            </w:r>
          </w:p>
        </w:tc>
        <w:tc>
          <w:tcPr>
            <w:tcW w:w="1705" w:type="dxa"/>
            <w:vAlign w:val="bottom"/>
          </w:tcPr>
          <w:p w14:paraId="661290ED"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0.36</w:t>
            </w:r>
          </w:p>
        </w:tc>
        <w:tc>
          <w:tcPr>
            <w:tcW w:w="1718" w:type="dxa"/>
            <w:vAlign w:val="bottom"/>
          </w:tcPr>
          <w:p w14:paraId="714ED3C6"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0.34</w:t>
            </w:r>
          </w:p>
        </w:tc>
      </w:tr>
      <w:tr w:rsidR="00743094" w:rsidRPr="000172CE" w14:paraId="1D613A42" w14:textId="77777777" w:rsidTr="00BF3C61">
        <w:trPr>
          <w:gridAfter w:val="1"/>
          <w:wAfter w:w="31" w:type="dxa"/>
          <w:trHeight w:val="147"/>
        </w:trPr>
        <w:tc>
          <w:tcPr>
            <w:tcW w:w="4192" w:type="dxa"/>
            <w:vAlign w:val="center"/>
          </w:tcPr>
          <w:p w14:paraId="61FC312B" w14:textId="77777777" w:rsidR="00743094" w:rsidRPr="000172CE" w:rsidRDefault="00743094" w:rsidP="00BF3C61">
            <w:pPr>
              <w:rPr>
                <w:highlight w:val="yellow"/>
                <w:lang w:val="en-US"/>
              </w:rPr>
            </w:pPr>
            <w:r w:rsidRPr="000172CE">
              <w:rPr>
                <w:rFonts w:ascii="Calibri" w:hAnsi="Calibri" w:cs="Calibri"/>
                <w:color w:val="000000"/>
                <w:lang w:val="en-US"/>
              </w:rPr>
              <w:t>Depression (BDI)</w:t>
            </w:r>
          </w:p>
        </w:tc>
        <w:tc>
          <w:tcPr>
            <w:tcW w:w="1813" w:type="dxa"/>
            <w:vAlign w:val="bottom"/>
          </w:tcPr>
          <w:p w14:paraId="22F737A2" w14:textId="77777777" w:rsidR="00743094" w:rsidRPr="000172CE" w:rsidRDefault="00743094" w:rsidP="00BF3C61">
            <w:pPr>
              <w:jc w:val="center"/>
              <w:rPr>
                <w:highlight w:val="yellow"/>
                <w:lang w:val="en-US"/>
              </w:rPr>
            </w:pPr>
            <w:r w:rsidRPr="000172CE">
              <w:rPr>
                <w:rFonts w:ascii="Calibri" w:hAnsi="Calibri" w:cs="Calibri"/>
                <w:color w:val="000000"/>
                <w:lang w:val="en-US"/>
              </w:rPr>
              <w:t>0.35</w:t>
            </w:r>
          </w:p>
        </w:tc>
        <w:tc>
          <w:tcPr>
            <w:tcW w:w="1705" w:type="dxa"/>
            <w:vAlign w:val="bottom"/>
          </w:tcPr>
          <w:p w14:paraId="011E02BE"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0.38</w:t>
            </w:r>
          </w:p>
        </w:tc>
        <w:tc>
          <w:tcPr>
            <w:tcW w:w="1718" w:type="dxa"/>
            <w:vAlign w:val="bottom"/>
          </w:tcPr>
          <w:p w14:paraId="775BF209"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0.38</w:t>
            </w:r>
          </w:p>
        </w:tc>
      </w:tr>
      <w:tr w:rsidR="00743094" w:rsidRPr="000172CE" w14:paraId="46D4914E" w14:textId="77777777" w:rsidTr="00BF3C61">
        <w:trPr>
          <w:gridAfter w:val="1"/>
          <w:wAfter w:w="31" w:type="dxa"/>
          <w:trHeight w:val="138"/>
        </w:trPr>
        <w:tc>
          <w:tcPr>
            <w:tcW w:w="4192" w:type="dxa"/>
            <w:vAlign w:val="center"/>
          </w:tcPr>
          <w:p w14:paraId="3604C613" w14:textId="77777777" w:rsidR="00743094" w:rsidRPr="000172CE" w:rsidRDefault="00743094" w:rsidP="00BF3C61">
            <w:pPr>
              <w:rPr>
                <w:highlight w:val="yellow"/>
                <w:lang w:val="en-US"/>
              </w:rPr>
            </w:pPr>
            <w:r w:rsidRPr="000172CE">
              <w:rPr>
                <w:rFonts w:ascii="Calibri" w:hAnsi="Calibri" w:cs="Calibri"/>
                <w:color w:val="000000"/>
                <w:lang w:val="en-US"/>
              </w:rPr>
              <w:t>Child Witness of Violence</w:t>
            </w:r>
          </w:p>
        </w:tc>
        <w:tc>
          <w:tcPr>
            <w:tcW w:w="1813" w:type="dxa"/>
            <w:vAlign w:val="bottom"/>
          </w:tcPr>
          <w:p w14:paraId="702FA768" w14:textId="77777777" w:rsidR="00743094" w:rsidRPr="000172CE" w:rsidRDefault="00743094" w:rsidP="00BF3C61">
            <w:pPr>
              <w:jc w:val="center"/>
              <w:rPr>
                <w:highlight w:val="yellow"/>
                <w:lang w:val="en-US"/>
              </w:rPr>
            </w:pPr>
            <w:r w:rsidRPr="000172CE">
              <w:rPr>
                <w:rFonts w:ascii="Calibri" w:hAnsi="Calibri" w:cs="Calibri"/>
                <w:color w:val="000000"/>
                <w:lang w:val="en-US"/>
              </w:rPr>
              <w:t>0.33</w:t>
            </w:r>
          </w:p>
        </w:tc>
        <w:tc>
          <w:tcPr>
            <w:tcW w:w="1705" w:type="dxa"/>
            <w:vAlign w:val="bottom"/>
          </w:tcPr>
          <w:p w14:paraId="6F363F2F"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0.32</w:t>
            </w:r>
          </w:p>
        </w:tc>
        <w:tc>
          <w:tcPr>
            <w:tcW w:w="1718" w:type="dxa"/>
            <w:vAlign w:val="bottom"/>
          </w:tcPr>
          <w:p w14:paraId="0F22D867"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0.32</w:t>
            </w:r>
          </w:p>
        </w:tc>
      </w:tr>
      <w:tr w:rsidR="00743094" w:rsidRPr="000172CE" w14:paraId="4B7412FC" w14:textId="77777777" w:rsidTr="00BF3C61">
        <w:trPr>
          <w:gridAfter w:val="1"/>
          <w:wAfter w:w="31" w:type="dxa"/>
          <w:trHeight w:val="147"/>
        </w:trPr>
        <w:tc>
          <w:tcPr>
            <w:tcW w:w="4192" w:type="dxa"/>
            <w:vAlign w:val="center"/>
          </w:tcPr>
          <w:p w14:paraId="63D7256A" w14:textId="77777777" w:rsidR="00743094" w:rsidRPr="000172CE" w:rsidRDefault="00743094" w:rsidP="00BF3C61">
            <w:pPr>
              <w:rPr>
                <w:highlight w:val="yellow"/>
                <w:lang w:val="en-US"/>
              </w:rPr>
            </w:pPr>
            <w:r w:rsidRPr="000172CE">
              <w:rPr>
                <w:rFonts w:ascii="Calibri" w:hAnsi="Calibri" w:cs="Calibri"/>
                <w:color w:val="000000"/>
                <w:lang w:val="en-US"/>
              </w:rPr>
              <w:t>Dissociation (Hopkins)</w:t>
            </w:r>
          </w:p>
        </w:tc>
        <w:tc>
          <w:tcPr>
            <w:tcW w:w="1813" w:type="dxa"/>
            <w:vAlign w:val="bottom"/>
          </w:tcPr>
          <w:p w14:paraId="4FC349AB" w14:textId="77777777" w:rsidR="00743094" w:rsidRPr="000172CE" w:rsidRDefault="00743094" w:rsidP="00BF3C61">
            <w:pPr>
              <w:jc w:val="center"/>
              <w:rPr>
                <w:highlight w:val="yellow"/>
                <w:lang w:val="en-US"/>
              </w:rPr>
            </w:pPr>
            <w:r w:rsidRPr="000172CE">
              <w:rPr>
                <w:rFonts w:ascii="Calibri" w:hAnsi="Calibri" w:cs="Calibri"/>
                <w:color w:val="000000"/>
                <w:lang w:val="en-US"/>
              </w:rPr>
              <w:t>0.32</w:t>
            </w:r>
          </w:p>
        </w:tc>
        <w:tc>
          <w:tcPr>
            <w:tcW w:w="1705" w:type="dxa"/>
            <w:vAlign w:val="bottom"/>
          </w:tcPr>
          <w:p w14:paraId="11EE101F"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0.27</w:t>
            </w:r>
          </w:p>
        </w:tc>
        <w:tc>
          <w:tcPr>
            <w:tcW w:w="1718" w:type="dxa"/>
            <w:vAlign w:val="bottom"/>
          </w:tcPr>
          <w:p w14:paraId="74ED376C"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0.33</w:t>
            </w:r>
          </w:p>
        </w:tc>
      </w:tr>
      <w:tr w:rsidR="00743094" w:rsidRPr="000172CE" w14:paraId="576B5FB7" w14:textId="77777777" w:rsidTr="00BF3C61">
        <w:trPr>
          <w:gridAfter w:val="1"/>
          <w:wAfter w:w="31" w:type="dxa"/>
          <w:trHeight w:val="38"/>
        </w:trPr>
        <w:tc>
          <w:tcPr>
            <w:tcW w:w="4192" w:type="dxa"/>
            <w:vAlign w:val="center"/>
          </w:tcPr>
          <w:p w14:paraId="3F0924FD" w14:textId="77777777" w:rsidR="00743094" w:rsidRPr="000172CE" w:rsidRDefault="00743094" w:rsidP="00BF3C61">
            <w:pPr>
              <w:rPr>
                <w:highlight w:val="yellow"/>
                <w:lang w:val="en-US"/>
              </w:rPr>
            </w:pPr>
            <w:r w:rsidRPr="000172CE">
              <w:rPr>
                <w:rFonts w:ascii="Calibri" w:hAnsi="Calibri" w:cs="Calibri"/>
                <w:color w:val="000000"/>
                <w:lang w:val="en-US"/>
              </w:rPr>
              <w:t xml:space="preserve">Parenting Stress Index: Parental Distress </w:t>
            </w:r>
          </w:p>
        </w:tc>
        <w:tc>
          <w:tcPr>
            <w:tcW w:w="1813" w:type="dxa"/>
            <w:vAlign w:val="bottom"/>
          </w:tcPr>
          <w:p w14:paraId="5CDCD6C6" w14:textId="77777777" w:rsidR="00743094" w:rsidRPr="000172CE" w:rsidRDefault="00743094" w:rsidP="00BF3C61">
            <w:pPr>
              <w:jc w:val="center"/>
              <w:rPr>
                <w:highlight w:val="yellow"/>
                <w:lang w:val="en-US"/>
              </w:rPr>
            </w:pPr>
            <w:r w:rsidRPr="000172CE">
              <w:rPr>
                <w:rFonts w:ascii="Calibri" w:hAnsi="Calibri" w:cs="Calibri"/>
                <w:color w:val="000000"/>
                <w:lang w:val="en-US"/>
              </w:rPr>
              <w:t>0.31</w:t>
            </w:r>
          </w:p>
        </w:tc>
        <w:tc>
          <w:tcPr>
            <w:tcW w:w="1705" w:type="dxa"/>
            <w:vAlign w:val="bottom"/>
          </w:tcPr>
          <w:p w14:paraId="1F28541B"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0.37</w:t>
            </w:r>
          </w:p>
        </w:tc>
        <w:tc>
          <w:tcPr>
            <w:tcW w:w="1718" w:type="dxa"/>
            <w:vAlign w:val="bottom"/>
          </w:tcPr>
          <w:p w14:paraId="692F520B"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0.32</w:t>
            </w:r>
          </w:p>
        </w:tc>
      </w:tr>
      <w:tr w:rsidR="00743094" w:rsidRPr="000172CE" w14:paraId="3000C8CE" w14:textId="77777777" w:rsidTr="00BF3C61">
        <w:trPr>
          <w:gridAfter w:val="1"/>
          <w:wAfter w:w="31" w:type="dxa"/>
          <w:trHeight w:val="147"/>
        </w:trPr>
        <w:tc>
          <w:tcPr>
            <w:tcW w:w="4192" w:type="dxa"/>
            <w:vAlign w:val="center"/>
          </w:tcPr>
          <w:p w14:paraId="4D43C2A6" w14:textId="77777777" w:rsidR="00743094" w:rsidRPr="000172CE" w:rsidRDefault="00743094" w:rsidP="00BF3C61">
            <w:pPr>
              <w:rPr>
                <w:highlight w:val="yellow"/>
                <w:lang w:val="en-US"/>
              </w:rPr>
            </w:pPr>
            <w:r w:rsidRPr="000172CE">
              <w:rPr>
                <w:rFonts w:ascii="Calibri" w:hAnsi="Calibri" w:cs="Calibri"/>
                <w:color w:val="000000"/>
                <w:lang w:val="en-US"/>
              </w:rPr>
              <w:t>Socio Economic Status</w:t>
            </w:r>
          </w:p>
        </w:tc>
        <w:tc>
          <w:tcPr>
            <w:tcW w:w="1813" w:type="dxa"/>
            <w:vAlign w:val="bottom"/>
          </w:tcPr>
          <w:p w14:paraId="3B8F4BF9" w14:textId="77777777" w:rsidR="00743094" w:rsidRPr="000172CE" w:rsidRDefault="00743094" w:rsidP="00BF3C61">
            <w:pPr>
              <w:jc w:val="center"/>
              <w:rPr>
                <w:highlight w:val="yellow"/>
                <w:lang w:val="en-US"/>
              </w:rPr>
            </w:pPr>
            <w:r w:rsidRPr="000172CE">
              <w:rPr>
                <w:rFonts w:ascii="Calibri" w:hAnsi="Calibri" w:cs="Calibri"/>
                <w:color w:val="000000"/>
                <w:lang w:val="en-US"/>
              </w:rPr>
              <w:t>0.23</w:t>
            </w:r>
          </w:p>
        </w:tc>
        <w:tc>
          <w:tcPr>
            <w:tcW w:w="1705" w:type="dxa"/>
            <w:vAlign w:val="bottom"/>
          </w:tcPr>
          <w:p w14:paraId="036257FE"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0.18</w:t>
            </w:r>
          </w:p>
        </w:tc>
        <w:tc>
          <w:tcPr>
            <w:tcW w:w="1718" w:type="dxa"/>
            <w:vAlign w:val="bottom"/>
          </w:tcPr>
          <w:p w14:paraId="6ED65827"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0.21</w:t>
            </w:r>
          </w:p>
        </w:tc>
      </w:tr>
      <w:tr w:rsidR="00743094" w:rsidRPr="000172CE" w14:paraId="23A0CA04" w14:textId="77777777" w:rsidTr="00BF3C61">
        <w:trPr>
          <w:gridAfter w:val="1"/>
          <w:wAfter w:w="31" w:type="dxa"/>
          <w:trHeight w:val="38"/>
        </w:trPr>
        <w:tc>
          <w:tcPr>
            <w:tcW w:w="4192" w:type="dxa"/>
            <w:vAlign w:val="center"/>
          </w:tcPr>
          <w:p w14:paraId="29244B66" w14:textId="77777777" w:rsidR="00743094" w:rsidRPr="000172CE" w:rsidRDefault="00743094" w:rsidP="00BF3C61">
            <w:pPr>
              <w:rPr>
                <w:highlight w:val="yellow"/>
                <w:lang w:val="en-US"/>
              </w:rPr>
            </w:pPr>
            <w:r w:rsidRPr="000172CE">
              <w:rPr>
                <w:rFonts w:ascii="Calibri" w:hAnsi="Calibri" w:cs="Calibri"/>
                <w:color w:val="000000"/>
                <w:lang w:val="en-US"/>
              </w:rPr>
              <w:t>Alexithymia: Difficulty Identifying Feeling</w:t>
            </w:r>
          </w:p>
        </w:tc>
        <w:tc>
          <w:tcPr>
            <w:tcW w:w="1813" w:type="dxa"/>
            <w:vAlign w:val="bottom"/>
          </w:tcPr>
          <w:p w14:paraId="706D433F" w14:textId="77777777" w:rsidR="00743094" w:rsidRPr="000172CE" w:rsidRDefault="00743094" w:rsidP="00BF3C61">
            <w:pPr>
              <w:jc w:val="center"/>
              <w:rPr>
                <w:highlight w:val="yellow"/>
                <w:lang w:val="en-US"/>
              </w:rPr>
            </w:pPr>
            <w:r w:rsidRPr="000172CE">
              <w:rPr>
                <w:rFonts w:ascii="Calibri" w:hAnsi="Calibri" w:cs="Calibri"/>
                <w:color w:val="000000"/>
                <w:lang w:val="en-US"/>
              </w:rPr>
              <w:t>0.18</w:t>
            </w:r>
          </w:p>
        </w:tc>
        <w:tc>
          <w:tcPr>
            <w:tcW w:w="1705" w:type="dxa"/>
            <w:vAlign w:val="bottom"/>
          </w:tcPr>
          <w:p w14:paraId="2AB9B4C2"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0.17</w:t>
            </w:r>
          </w:p>
        </w:tc>
        <w:tc>
          <w:tcPr>
            <w:tcW w:w="1718" w:type="dxa"/>
            <w:vAlign w:val="bottom"/>
          </w:tcPr>
          <w:p w14:paraId="31584D78"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0.19</w:t>
            </w:r>
          </w:p>
        </w:tc>
      </w:tr>
      <w:tr w:rsidR="00743094" w:rsidRPr="000172CE" w14:paraId="3FB52A49" w14:textId="77777777" w:rsidTr="00BF3C61">
        <w:trPr>
          <w:gridAfter w:val="1"/>
          <w:wAfter w:w="31" w:type="dxa"/>
          <w:trHeight w:val="147"/>
        </w:trPr>
        <w:tc>
          <w:tcPr>
            <w:tcW w:w="4192" w:type="dxa"/>
            <w:vAlign w:val="center"/>
          </w:tcPr>
          <w:p w14:paraId="6A72B1A0" w14:textId="77777777" w:rsidR="00743094" w:rsidRPr="000172CE" w:rsidRDefault="00743094" w:rsidP="00BF3C61">
            <w:pPr>
              <w:rPr>
                <w:highlight w:val="yellow"/>
                <w:lang w:val="en-US"/>
              </w:rPr>
            </w:pPr>
            <w:r w:rsidRPr="000172CE">
              <w:rPr>
                <w:rFonts w:ascii="Calibri" w:hAnsi="Calibri" w:cs="Calibri"/>
                <w:color w:val="000000"/>
                <w:lang w:val="en-US"/>
              </w:rPr>
              <w:t>Childhood Sexual Abuse (BPSAQ)</w:t>
            </w:r>
          </w:p>
        </w:tc>
        <w:tc>
          <w:tcPr>
            <w:tcW w:w="1813" w:type="dxa"/>
            <w:vAlign w:val="bottom"/>
          </w:tcPr>
          <w:p w14:paraId="4D152D7A" w14:textId="77777777" w:rsidR="00743094" w:rsidRPr="000172CE" w:rsidRDefault="00743094" w:rsidP="00BF3C61">
            <w:pPr>
              <w:jc w:val="center"/>
              <w:rPr>
                <w:highlight w:val="yellow"/>
                <w:lang w:val="en-US"/>
              </w:rPr>
            </w:pPr>
            <w:r w:rsidRPr="000172CE">
              <w:rPr>
                <w:rFonts w:ascii="Calibri" w:hAnsi="Calibri" w:cs="Calibri"/>
                <w:color w:val="000000"/>
                <w:lang w:val="en-US"/>
              </w:rPr>
              <w:t>0.17</w:t>
            </w:r>
          </w:p>
        </w:tc>
        <w:tc>
          <w:tcPr>
            <w:tcW w:w="1705" w:type="dxa"/>
            <w:vAlign w:val="bottom"/>
          </w:tcPr>
          <w:p w14:paraId="407E7FCE"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0.18</w:t>
            </w:r>
          </w:p>
        </w:tc>
        <w:tc>
          <w:tcPr>
            <w:tcW w:w="1718" w:type="dxa"/>
            <w:vAlign w:val="bottom"/>
          </w:tcPr>
          <w:p w14:paraId="4FF9DD8C"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0.16</w:t>
            </w:r>
          </w:p>
        </w:tc>
      </w:tr>
      <w:tr w:rsidR="00743094" w:rsidRPr="000172CE" w14:paraId="7F9DCFFF" w14:textId="77777777" w:rsidTr="00BF3C61">
        <w:trPr>
          <w:gridAfter w:val="1"/>
          <w:wAfter w:w="31" w:type="dxa"/>
          <w:trHeight w:val="147"/>
        </w:trPr>
        <w:tc>
          <w:tcPr>
            <w:tcW w:w="4192" w:type="dxa"/>
            <w:vAlign w:val="center"/>
          </w:tcPr>
          <w:p w14:paraId="242417F9" w14:textId="77777777" w:rsidR="00743094" w:rsidRPr="000172CE" w:rsidRDefault="00743094" w:rsidP="00BF3C61">
            <w:pPr>
              <w:rPr>
                <w:highlight w:val="yellow"/>
                <w:lang w:val="en-US"/>
              </w:rPr>
            </w:pPr>
            <w:r w:rsidRPr="000172CE">
              <w:rPr>
                <w:rFonts w:ascii="Calibri" w:hAnsi="Calibri" w:cs="Calibri"/>
                <w:color w:val="000000"/>
                <w:lang w:val="en-US"/>
              </w:rPr>
              <w:t>Adult Partner Violence (BPSAQ)</w:t>
            </w:r>
          </w:p>
        </w:tc>
        <w:tc>
          <w:tcPr>
            <w:tcW w:w="1813" w:type="dxa"/>
            <w:vAlign w:val="bottom"/>
          </w:tcPr>
          <w:p w14:paraId="17B8830D" w14:textId="77777777" w:rsidR="00743094" w:rsidRPr="000172CE" w:rsidRDefault="00743094" w:rsidP="00BF3C61">
            <w:pPr>
              <w:jc w:val="center"/>
              <w:rPr>
                <w:highlight w:val="yellow"/>
                <w:lang w:val="en-US"/>
              </w:rPr>
            </w:pPr>
            <w:r w:rsidRPr="000172CE">
              <w:rPr>
                <w:rFonts w:ascii="Calibri" w:hAnsi="Calibri" w:cs="Calibri"/>
                <w:color w:val="000000"/>
                <w:lang w:val="en-US"/>
              </w:rPr>
              <w:t>0.16</w:t>
            </w:r>
          </w:p>
        </w:tc>
        <w:tc>
          <w:tcPr>
            <w:tcW w:w="1705" w:type="dxa"/>
            <w:vAlign w:val="bottom"/>
          </w:tcPr>
          <w:p w14:paraId="1C884A2A"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0.14</w:t>
            </w:r>
          </w:p>
        </w:tc>
        <w:tc>
          <w:tcPr>
            <w:tcW w:w="1718" w:type="dxa"/>
            <w:vAlign w:val="bottom"/>
          </w:tcPr>
          <w:p w14:paraId="3391E8D4"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0.15</w:t>
            </w:r>
          </w:p>
        </w:tc>
      </w:tr>
      <w:tr w:rsidR="00743094" w:rsidRPr="000172CE" w14:paraId="3D641B7D" w14:textId="77777777" w:rsidTr="00BF3C61">
        <w:trPr>
          <w:gridAfter w:val="1"/>
          <w:wAfter w:w="31" w:type="dxa"/>
          <w:trHeight w:val="286"/>
        </w:trPr>
        <w:tc>
          <w:tcPr>
            <w:tcW w:w="4192" w:type="dxa"/>
            <w:vAlign w:val="center"/>
          </w:tcPr>
          <w:p w14:paraId="644178AC" w14:textId="77777777" w:rsidR="00743094" w:rsidRPr="000172CE" w:rsidRDefault="00743094" w:rsidP="00BF3C61">
            <w:pPr>
              <w:rPr>
                <w:highlight w:val="yellow"/>
                <w:lang w:val="en-US"/>
              </w:rPr>
            </w:pPr>
            <w:r w:rsidRPr="000172CE">
              <w:rPr>
                <w:rFonts w:ascii="Calibri" w:hAnsi="Calibri" w:cs="Calibri"/>
                <w:color w:val="000000"/>
                <w:lang w:val="en-US"/>
              </w:rPr>
              <w:t>Controlling Maternal Behavior (Crittenden)</w:t>
            </w:r>
          </w:p>
        </w:tc>
        <w:tc>
          <w:tcPr>
            <w:tcW w:w="1813" w:type="dxa"/>
            <w:vAlign w:val="bottom"/>
          </w:tcPr>
          <w:p w14:paraId="3EBF553F" w14:textId="77777777" w:rsidR="00743094" w:rsidRPr="000172CE" w:rsidRDefault="00743094" w:rsidP="00BF3C61">
            <w:pPr>
              <w:jc w:val="center"/>
              <w:rPr>
                <w:highlight w:val="yellow"/>
                <w:lang w:val="en-US"/>
              </w:rPr>
            </w:pPr>
            <w:r w:rsidRPr="000172CE">
              <w:rPr>
                <w:rFonts w:ascii="Calibri" w:hAnsi="Calibri" w:cs="Calibri"/>
                <w:color w:val="000000"/>
                <w:lang w:val="en-US"/>
              </w:rPr>
              <w:t>0.16</w:t>
            </w:r>
          </w:p>
        </w:tc>
        <w:tc>
          <w:tcPr>
            <w:tcW w:w="1705" w:type="dxa"/>
            <w:vAlign w:val="bottom"/>
          </w:tcPr>
          <w:p w14:paraId="4D3627E7"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0.16</w:t>
            </w:r>
          </w:p>
        </w:tc>
        <w:tc>
          <w:tcPr>
            <w:tcW w:w="1718" w:type="dxa"/>
            <w:vAlign w:val="bottom"/>
          </w:tcPr>
          <w:p w14:paraId="31A5B6D7"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0.17</w:t>
            </w:r>
          </w:p>
        </w:tc>
      </w:tr>
      <w:tr w:rsidR="00743094" w:rsidRPr="000172CE" w14:paraId="19C0B697" w14:textId="77777777" w:rsidTr="00BF3C61">
        <w:trPr>
          <w:gridAfter w:val="1"/>
          <w:wAfter w:w="31" w:type="dxa"/>
          <w:trHeight w:val="294"/>
        </w:trPr>
        <w:tc>
          <w:tcPr>
            <w:tcW w:w="4192" w:type="dxa"/>
            <w:vAlign w:val="center"/>
          </w:tcPr>
          <w:p w14:paraId="447F6BE4" w14:textId="77777777" w:rsidR="00743094" w:rsidRPr="000172CE" w:rsidRDefault="00743094" w:rsidP="00BF3C61">
            <w:pPr>
              <w:rPr>
                <w:highlight w:val="yellow"/>
                <w:lang w:val="en-US"/>
              </w:rPr>
            </w:pPr>
            <w:r w:rsidRPr="000172CE">
              <w:rPr>
                <w:rFonts w:ascii="Calibri" w:hAnsi="Calibri" w:cs="Calibri"/>
                <w:color w:val="000000"/>
                <w:lang w:val="en-US"/>
              </w:rPr>
              <w:t>Parenting Stress Index: Parent Child Dysfunctional Interaction</w:t>
            </w:r>
          </w:p>
        </w:tc>
        <w:tc>
          <w:tcPr>
            <w:tcW w:w="1813" w:type="dxa"/>
            <w:vAlign w:val="bottom"/>
          </w:tcPr>
          <w:p w14:paraId="675AEFBB" w14:textId="77777777" w:rsidR="00743094" w:rsidRPr="000172CE" w:rsidRDefault="00743094" w:rsidP="00BF3C61">
            <w:pPr>
              <w:jc w:val="center"/>
              <w:rPr>
                <w:highlight w:val="yellow"/>
                <w:lang w:val="en-US"/>
              </w:rPr>
            </w:pPr>
            <w:r w:rsidRPr="000172CE">
              <w:rPr>
                <w:rFonts w:ascii="Calibri" w:hAnsi="Calibri" w:cs="Calibri"/>
                <w:color w:val="000000"/>
                <w:lang w:val="en-US"/>
              </w:rPr>
              <w:t>0.14</w:t>
            </w:r>
          </w:p>
        </w:tc>
        <w:tc>
          <w:tcPr>
            <w:tcW w:w="1705" w:type="dxa"/>
            <w:vAlign w:val="bottom"/>
          </w:tcPr>
          <w:p w14:paraId="26ABB3F9"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0.12</w:t>
            </w:r>
          </w:p>
        </w:tc>
        <w:tc>
          <w:tcPr>
            <w:tcW w:w="1718" w:type="dxa"/>
            <w:vAlign w:val="bottom"/>
          </w:tcPr>
          <w:p w14:paraId="24242589"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0.15</w:t>
            </w:r>
          </w:p>
        </w:tc>
      </w:tr>
      <w:tr w:rsidR="00743094" w:rsidRPr="000172CE" w14:paraId="4C318029" w14:textId="77777777" w:rsidTr="00BF3C61">
        <w:trPr>
          <w:gridAfter w:val="1"/>
          <w:wAfter w:w="31" w:type="dxa"/>
          <w:trHeight w:val="138"/>
        </w:trPr>
        <w:tc>
          <w:tcPr>
            <w:tcW w:w="4192" w:type="dxa"/>
            <w:vAlign w:val="center"/>
          </w:tcPr>
          <w:p w14:paraId="11296CB7" w14:textId="77777777" w:rsidR="00743094" w:rsidRPr="000172CE" w:rsidRDefault="00743094" w:rsidP="00BF3C61">
            <w:pPr>
              <w:rPr>
                <w:highlight w:val="yellow"/>
                <w:lang w:val="en-US"/>
              </w:rPr>
            </w:pPr>
            <w:r w:rsidRPr="000172CE">
              <w:rPr>
                <w:rFonts w:ascii="Calibri" w:hAnsi="Calibri" w:cs="Calibri"/>
                <w:color w:val="000000"/>
                <w:lang w:val="en-US"/>
              </w:rPr>
              <w:t>Parent is Drug/Alcohol Abuser</w:t>
            </w:r>
          </w:p>
        </w:tc>
        <w:tc>
          <w:tcPr>
            <w:tcW w:w="1813" w:type="dxa"/>
            <w:vAlign w:val="bottom"/>
          </w:tcPr>
          <w:p w14:paraId="7D3C623F" w14:textId="77777777" w:rsidR="00743094" w:rsidRPr="000172CE" w:rsidRDefault="00743094" w:rsidP="00BF3C61">
            <w:pPr>
              <w:jc w:val="center"/>
              <w:rPr>
                <w:highlight w:val="yellow"/>
                <w:lang w:val="en-US"/>
              </w:rPr>
            </w:pPr>
            <w:r w:rsidRPr="000172CE">
              <w:rPr>
                <w:rFonts w:ascii="Calibri" w:hAnsi="Calibri" w:cs="Calibri"/>
                <w:color w:val="000000"/>
                <w:lang w:val="en-US"/>
              </w:rPr>
              <w:t>0.11</w:t>
            </w:r>
          </w:p>
        </w:tc>
        <w:tc>
          <w:tcPr>
            <w:tcW w:w="1705" w:type="dxa"/>
            <w:vAlign w:val="bottom"/>
          </w:tcPr>
          <w:p w14:paraId="10920CD1"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0.05</w:t>
            </w:r>
          </w:p>
        </w:tc>
        <w:tc>
          <w:tcPr>
            <w:tcW w:w="1718" w:type="dxa"/>
            <w:vAlign w:val="bottom"/>
          </w:tcPr>
          <w:p w14:paraId="4E026034"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0.09</w:t>
            </w:r>
          </w:p>
        </w:tc>
      </w:tr>
      <w:tr w:rsidR="00743094" w:rsidRPr="000172CE" w14:paraId="366938D5" w14:textId="77777777" w:rsidTr="00BF3C61">
        <w:trPr>
          <w:gridAfter w:val="1"/>
          <w:wAfter w:w="31" w:type="dxa"/>
          <w:trHeight w:val="294"/>
        </w:trPr>
        <w:tc>
          <w:tcPr>
            <w:tcW w:w="4192" w:type="dxa"/>
            <w:vAlign w:val="center"/>
          </w:tcPr>
          <w:p w14:paraId="220E737F" w14:textId="77777777" w:rsidR="00743094" w:rsidRPr="000172CE" w:rsidRDefault="00743094" w:rsidP="00BF3C61">
            <w:pPr>
              <w:rPr>
                <w:highlight w:val="yellow"/>
                <w:lang w:val="en-US"/>
              </w:rPr>
            </w:pPr>
            <w:r w:rsidRPr="000172CE">
              <w:rPr>
                <w:rFonts w:ascii="Calibri" w:hAnsi="Calibri" w:cs="Calibri"/>
                <w:color w:val="000000"/>
                <w:lang w:val="en-US"/>
              </w:rPr>
              <w:t>Alexithymia: Difficulty Describing Feelings</w:t>
            </w:r>
          </w:p>
        </w:tc>
        <w:tc>
          <w:tcPr>
            <w:tcW w:w="1813" w:type="dxa"/>
            <w:vAlign w:val="bottom"/>
          </w:tcPr>
          <w:p w14:paraId="1F71975F" w14:textId="77777777" w:rsidR="00743094" w:rsidRPr="000172CE" w:rsidRDefault="00743094" w:rsidP="00BF3C61">
            <w:pPr>
              <w:jc w:val="center"/>
              <w:rPr>
                <w:highlight w:val="yellow"/>
                <w:lang w:val="en-US"/>
              </w:rPr>
            </w:pPr>
            <w:r w:rsidRPr="000172CE">
              <w:rPr>
                <w:rFonts w:ascii="Calibri" w:hAnsi="Calibri" w:cs="Calibri"/>
                <w:color w:val="000000"/>
                <w:lang w:val="en-US"/>
              </w:rPr>
              <w:t>0.11</w:t>
            </w:r>
          </w:p>
        </w:tc>
        <w:tc>
          <w:tcPr>
            <w:tcW w:w="1705" w:type="dxa"/>
            <w:vAlign w:val="bottom"/>
          </w:tcPr>
          <w:p w14:paraId="63C8CEE2"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0.13</w:t>
            </w:r>
          </w:p>
        </w:tc>
        <w:tc>
          <w:tcPr>
            <w:tcW w:w="1718" w:type="dxa"/>
            <w:vAlign w:val="bottom"/>
          </w:tcPr>
          <w:p w14:paraId="29B596DC"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0.09</w:t>
            </w:r>
          </w:p>
        </w:tc>
      </w:tr>
      <w:tr w:rsidR="00743094" w:rsidRPr="000172CE" w14:paraId="3102710E" w14:textId="77777777" w:rsidTr="00BF3C61">
        <w:trPr>
          <w:gridAfter w:val="1"/>
          <w:wAfter w:w="31" w:type="dxa"/>
          <w:trHeight w:val="286"/>
        </w:trPr>
        <w:tc>
          <w:tcPr>
            <w:tcW w:w="4192" w:type="dxa"/>
            <w:vAlign w:val="center"/>
          </w:tcPr>
          <w:p w14:paraId="7DB62515" w14:textId="77777777" w:rsidR="00743094" w:rsidRPr="000172CE" w:rsidRDefault="00743094" w:rsidP="00BF3C61">
            <w:pPr>
              <w:rPr>
                <w:highlight w:val="yellow"/>
                <w:lang w:val="en-US"/>
              </w:rPr>
            </w:pPr>
            <w:r w:rsidRPr="000172CE">
              <w:rPr>
                <w:rFonts w:ascii="Calibri" w:hAnsi="Calibri" w:cs="Calibri"/>
                <w:color w:val="000000"/>
                <w:lang w:val="en-US"/>
              </w:rPr>
              <w:t xml:space="preserve">Parenting Stress Index: Difficult Child </w:t>
            </w:r>
          </w:p>
        </w:tc>
        <w:tc>
          <w:tcPr>
            <w:tcW w:w="1813" w:type="dxa"/>
            <w:vAlign w:val="bottom"/>
          </w:tcPr>
          <w:p w14:paraId="4FB99170" w14:textId="77777777" w:rsidR="00743094" w:rsidRPr="000172CE" w:rsidRDefault="00743094" w:rsidP="00BF3C61">
            <w:pPr>
              <w:jc w:val="center"/>
              <w:rPr>
                <w:highlight w:val="yellow"/>
                <w:lang w:val="en-US"/>
              </w:rPr>
            </w:pPr>
            <w:r w:rsidRPr="000172CE">
              <w:rPr>
                <w:rFonts w:ascii="Calibri" w:hAnsi="Calibri" w:cs="Calibri"/>
                <w:color w:val="000000"/>
                <w:lang w:val="en-US"/>
              </w:rPr>
              <w:t>0.10</w:t>
            </w:r>
          </w:p>
        </w:tc>
        <w:tc>
          <w:tcPr>
            <w:tcW w:w="1705" w:type="dxa"/>
            <w:vAlign w:val="bottom"/>
          </w:tcPr>
          <w:p w14:paraId="1D0D4471"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0.11</w:t>
            </w:r>
          </w:p>
        </w:tc>
        <w:tc>
          <w:tcPr>
            <w:tcW w:w="1718" w:type="dxa"/>
            <w:vAlign w:val="bottom"/>
          </w:tcPr>
          <w:p w14:paraId="210752DB"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0.13</w:t>
            </w:r>
          </w:p>
        </w:tc>
      </w:tr>
      <w:tr w:rsidR="00743094" w:rsidRPr="000172CE" w14:paraId="550263DD" w14:textId="77777777" w:rsidTr="00BF3C61">
        <w:trPr>
          <w:gridAfter w:val="1"/>
          <w:wAfter w:w="31" w:type="dxa"/>
          <w:trHeight w:val="147"/>
        </w:trPr>
        <w:tc>
          <w:tcPr>
            <w:tcW w:w="4192" w:type="dxa"/>
            <w:vAlign w:val="bottom"/>
          </w:tcPr>
          <w:p w14:paraId="45B7E33A" w14:textId="77777777" w:rsidR="00743094" w:rsidRPr="000172CE" w:rsidRDefault="00743094" w:rsidP="00BF3C61">
            <w:pPr>
              <w:rPr>
                <w:highlight w:val="yellow"/>
                <w:lang w:val="en-US"/>
              </w:rPr>
            </w:pPr>
            <w:r w:rsidRPr="000172CE">
              <w:rPr>
                <w:rFonts w:ascii="Calibri" w:hAnsi="Calibri" w:cs="Calibri"/>
                <w:color w:val="000000"/>
                <w:lang w:val="en-US"/>
              </w:rPr>
              <w:t>Parental Reflective Functioning</w:t>
            </w:r>
          </w:p>
        </w:tc>
        <w:tc>
          <w:tcPr>
            <w:tcW w:w="1813" w:type="dxa"/>
            <w:vAlign w:val="bottom"/>
          </w:tcPr>
          <w:p w14:paraId="3A950A4D" w14:textId="77777777" w:rsidR="00743094" w:rsidRPr="000172CE" w:rsidRDefault="00743094" w:rsidP="00BF3C61">
            <w:pPr>
              <w:jc w:val="center"/>
              <w:rPr>
                <w:highlight w:val="yellow"/>
                <w:lang w:val="en-US"/>
              </w:rPr>
            </w:pPr>
            <w:r w:rsidRPr="000172CE">
              <w:rPr>
                <w:rFonts w:ascii="Calibri" w:hAnsi="Calibri" w:cs="Calibri"/>
                <w:color w:val="000000"/>
                <w:lang w:val="en-US"/>
              </w:rPr>
              <w:t>0.08</w:t>
            </w:r>
          </w:p>
        </w:tc>
        <w:tc>
          <w:tcPr>
            <w:tcW w:w="1705" w:type="dxa"/>
            <w:vAlign w:val="bottom"/>
          </w:tcPr>
          <w:p w14:paraId="02B90AD6"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0.10</w:t>
            </w:r>
          </w:p>
        </w:tc>
        <w:tc>
          <w:tcPr>
            <w:tcW w:w="1718" w:type="dxa"/>
            <w:vAlign w:val="bottom"/>
          </w:tcPr>
          <w:p w14:paraId="0FE16593"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0.09</w:t>
            </w:r>
          </w:p>
        </w:tc>
      </w:tr>
      <w:tr w:rsidR="00743094" w:rsidRPr="000172CE" w14:paraId="7BE55F98" w14:textId="77777777" w:rsidTr="00BF3C61">
        <w:trPr>
          <w:gridAfter w:val="1"/>
          <w:wAfter w:w="31" w:type="dxa"/>
          <w:trHeight w:val="286"/>
        </w:trPr>
        <w:tc>
          <w:tcPr>
            <w:tcW w:w="4192" w:type="dxa"/>
            <w:vAlign w:val="center"/>
          </w:tcPr>
          <w:p w14:paraId="57BDED40" w14:textId="77777777" w:rsidR="00743094" w:rsidRPr="000172CE" w:rsidRDefault="00743094" w:rsidP="00BF3C61">
            <w:pPr>
              <w:rPr>
                <w:highlight w:val="yellow"/>
                <w:lang w:val="en-US"/>
              </w:rPr>
            </w:pPr>
            <w:r w:rsidRPr="000172CE">
              <w:rPr>
                <w:rFonts w:ascii="Calibri" w:hAnsi="Calibri" w:cs="Calibri"/>
                <w:color w:val="000000"/>
                <w:lang w:val="en-US"/>
              </w:rPr>
              <w:t xml:space="preserve">Alexithymia: </w:t>
            </w:r>
            <w:proofErr w:type="gramStart"/>
            <w:r w:rsidRPr="000172CE">
              <w:rPr>
                <w:rFonts w:ascii="Calibri" w:hAnsi="Calibri" w:cs="Calibri"/>
                <w:color w:val="000000"/>
                <w:lang w:val="en-US"/>
              </w:rPr>
              <w:t>Externally-Oriented</w:t>
            </w:r>
            <w:proofErr w:type="gramEnd"/>
            <w:r w:rsidRPr="000172CE">
              <w:rPr>
                <w:rFonts w:ascii="Calibri" w:hAnsi="Calibri" w:cs="Calibri"/>
                <w:color w:val="000000"/>
                <w:lang w:val="en-US"/>
              </w:rPr>
              <w:t xml:space="preserve"> Thinking</w:t>
            </w:r>
          </w:p>
        </w:tc>
        <w:tc>
          <w:tcPr>
            <w:tcW w:w="1813" w:type="dxa"/>
            <w:vAlign w:val="bottom"/>
          </w:tcPr>
          <w:p w14:paraId="2C439388" w14:textId="77777777" w:rsidR="00743094" w:rsidRPr="000172CE" w:rsidRDefault="00743094" w:rsidP="00BF3C61">
            <w:pPr>
              <w:jc w:val="center"/>
              <w:rPr>
                <w:highlight w:val="yellow"/>
                <w:lang w:val="en-US"/>
              </w:rPr>
            </w:pPr>
            <w:r w:rsidRPr="000172CE">
              <w:rPr>
                <w:rFonts w:ascii="Calibri" w:hAnsi="Calibri" w:cs="Calibri"/>
                <w:color w:val="000000"/>
                <w:lang w:val="en-US"/>
              </w:rPr>
              <w:t>0.03</w:t>
            </w:r>
          </w:p>
        </w:tc>
        <w:tc>
          <w:tcPr>
            <w:tcW w:w="1705" w:type="dxa"/>
            <w:vAlign w:val="bottom"/>
          </w:tcPr>
          <w:p w14:paraId="377F95BC"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0.07</w:t>
            </w:r>
          </w:p>
        </w:tc>
        <w:tc>
          <w:tcPr>
            <w:tcW w:w="1718" w:type="dxa"/>
            <w:vAlign w:val="bottom"/>
          </w:tcPr>
          <w:p w14:paraId="34A01228"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0.03</w:t>
            </w:r>
          </w:p>
        </w:tc>
      </w:tr>
      <w:tr w:rsidR="00743094" w:rsidRPr="000172CE" w14:paraId="0D0C6F9F" w14:textId="77777777" w:rsidTr="00BF3C61">
        <w:trPr>
          <w:gridAfter w:val="1"/>
          <w:wAfter w:w="31" w:type="dxa"/>
          <w:trHeight w:val="294"/>
        </w:trPr>
        <w:tc>
          <w:tcPr>
            <w:tcW w:w="4192" w:type="dxa"/>
            <w:vAlign w:val="center"/>
          </w:tcPr>
          <w:p w14:paraId="29914CF8" w14:textId="77777777" w:rsidR="00743094" w:rsidRPr="000172CE" w:rsidRDefault="00743094" w:rsidP="00BF3C61">
            <w:pPr>
              <w:rPr>
                <w:highlight w:val="yellow"/>
                <w:lang w:val="en-US"/>
              </w:rPr>
            </w:pPr>
            <w:r w:rsidRPr="000172CE">
              <w:rPr>
                <w:rFonts w:ascii="Calibri" w:hAnsi="Calibri" w:cs="Calibri"/>
                <w:color w:val="000000"/>
                <w:lang w:val="en-US"/>
              </w:rPr>
              <w:t>Unresponsive Maternal Behavior (Crittenden)</w:t>
            </w:r>
          </w:p>
        </w:tc>
        <w:tc>
          <w:tcPr>
            <w:tcW w:w="1813" w:type="dxa"/>
            <w:vAlign w:val="bottom"/>
          </w:tcPr>
          <w:p w14:paraId="46429E96" w14:textId="77777777" w:rsidR="00743094" w:rsidRPr="000172CE" w:rsidRDefault="00743094" w:rsidP="00BF3C61">
            <w:pPr>
              <w:jc w:val="center"/>
              <w:rPr>
                <w:highlight w:val="yellow"/>
                <w:lang w:val="en-US"/>
              </w:rPr>
            </w:pPr>
            <w:r w:rsidRPr="000172CE">
              <w:rPr>
                <w:rFonts w:ascii="Calibri" w:hAnsi="Calibri" w:cs="Calibri"/>
                <w:color w:val="000000"/>
                <w:lang w:val="en-US"/>
              </w:rPr>
              <w:t>-0.04</w:t>
            </w:r>
          </w:p>
        </w:tc>
        <w:tc>
          <w:tcPr>
            <w:tcW w:w="1705" w:type="dxa"/>
            <w:vAlign w:val="bottom"/>
          </w:tcPr>
          <w:p w14:paraId="04CAA7D4"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-0.03</w:t>
            </w:r>
          </w:p>
        </w:tc>
        <w:tc>
          <w:tcPr>
            <w:tcW w:w="1718" w:type="dxa"/>
            <w:vAlign w:val="bottom"/>
          </w:tcPr>
          <w:p w14:paraId="6D95207E"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-0.03</w:t>
            </w:r>
          </w:p>
        </w:tc>
      </w:tr>
      <w:tr w:rsidR="00743094" w:rsidRPr="000172CE" w14:paraId="36B3881C" w14:textId="77777777" w:rsidTr="00BF3C61">
        <w:trPr>
          <w:gridAfter w:val="1"/>
          <w:wAfter w:w="31" w:type="dxa"/>
          <w:trHeight w:val="138"/>
        </w:trPr>
        <w:tc>
          <w:tcPr>
            <w:tcW w:w="4192" w:type="dxa"/>
            <w:vAlign w:val="center"/>
          </w:tcPr>
          <w:p w14:paraId="3122E554" w14:textId="77777777" w:rsidR="00743094" w:rsidRPr="000172CE" w:rsidRDefault="00743094" w:rsidP="00BF3C61">
            <w:pPr>
              <w:rPr>
                <w:highlight w:val="yellow"/>
                <w:lang w:val="en-US"/>
              </w:rPr>
            </w:pPr>
            <w:r w:rsidRPr="000172CE">
              <w:rPr>
                <w:rFonts w:ascii="Calibri" w:hAnsi="Calibri" w:cs="Calibri"/>
                <w:color w:val="000000"/>
                <w:lang w:val="en-US"/>
              </w:rPr>
              <w:t>Childhood Physical Abuse (BPSAQ)</w:t>
            </w:r>
          </w:p>
        </w:tc>
        <w:tc>
          <w:tcPr>
            <w:tcW w:w="1813" w:type="dxa"/>
            <w:vAlign w:val="bottom"/>
          </w:tcPr>
          <w:p w14:paraId="22C494B2" w14:textId="77777777" w:rsidR="00743094" w:rsidRPr="000172CE" w:rsidRDefault="00743094" w:rsidP="00BF3C61">
            <w:pPr>
              <w:jc w:val="center"/>
              <w:rPr>
                <w:highlight w:val="yellow"/>
                <w:lang w:val="en-US"/>
              </w:rPr>
            </w:pPr>
            <w:r w:rsidRPr="000172CE">
              <w:rPr>
                <w:rFonts w:ascii="Calibri" w:hAnsi="Calibri" w:cs="Calibri"/>
                <w:color w:val="000000"/>
                <w:lang w:val="en-US"/>
              </w:rPr>
              <w:t>-0.12</w:t>
            </w:r>
          </w:p>
        </w:tc>
        <w:tc>
          <w:tcPr>
            <w:tcW w:w="1705" w:type="dxa"/>
            <w:vAlign w:val="bottom"/>
          </w:tcPr>
          <w:p w14:paraId="6A892796"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-0.07</w:t>
            </w:r>
          </w:p>
        </w:tc>
        <w:tc>
          <w:tcPr>
            <w:tcW w:w="1718" w:type="dxa"/>
            <w:vAlign w:val="bottom"/>
          </w:tcPr>
          <w:p w14:paraId="2AC084CD"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-0.12</w:t>
            </w:r>
          </w:p>
        </w:tc>
      </w:tr>
      <w:tr w:rsidR="00743094" w:rsidRPr="000172CE" w14:paraId="3C2852E6" w14:textId="77777777" w:rsidTr="00BF3C61">
        <w:trPr>
          <w:gridAfter w:val="1"/>
          <w:wAfter w:w="31" w:type="dxa"/>
          <w:trHeight w:val="294"/>
        </w:trPr>
        <w:tc>
          <w:tcPr>
            <w:tcW w:w="4192" w:type="dxa"/>
            <w:vAlign w:val="bottom"/>
          </w:tcPr>
          <w:p w14:paraId="207979A2" w14:textId="77777777" w:rsidR="00743094" w:rsidRPr="000172CE" w:rsidRDefault="00743094" w:rsidP="00BF3C61">
            <w:pPr>
              <w:rPr>
                <w:rFonts w:ascii="Calibri" w:hAnsi="Calibri" w:cs="Calibri"/>
                <w:color w:val="000000"/>
                <w:highlight w:val="yellow"/>
                <w:lang w:val="en-US"/>
              </w:rPr>
            </w:pPr>
            <w:r w:rsidRPr="000172CE">
              <w:rPr>
                <w:rFonts w:ascii="Calibri" w:hAnsi="Calibri" w:cs="Calibri"/>
                <w:color w:val="000000"/>
                <w:lang w:val="en-US"/>
              </w:rPr>
              <w:t>Sensitive Maternal Behavior (Crittenden)</w:t>
            </w:r>
          </w:p>
        </w:tc>
        <w:tc>
          <w:tcPr>
            <w:tcW w:w="1813" w:type="dxa"/>
            <w:vAlign w:val="bottom"/>
          </w:tcPr>
          <w:p w14:paraId="6F3BFF0F"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-0.13</w:t>
            </w:r>
          </w:p>
        </w:tc>
        <w:tc>
          <w:tcPr>
            <w:tcW w:w="1705" w:type="dxa"/>
            <w:vAlign w:val="bottom"/>
          </w:tcPr>
          <w:p w14:paraId="6BB4E007"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-0.16</w:t>
            </w:r>
          </w:p>
        </w:tc>
        <w:tc>
          <w:tcPr>
            <w:tcW w:w="1718" w:type="dxa"/>
            <w:vAlign w:val="bottom"/>
          </w:tcPr>
          <w:p w14:paraId="150356DF"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-0.16</w:t>
            </w:r>
          </w:p>
        </w:tc>
      </w:tr>
      <w:tr w:rsidR="00743094" w:rsidRPr="000172CE" w14:paraId="07C05699" w14:textId="77777777" w:rsidTr="00BF3C61">
        <w:trPr>
          <w:gridAfter w:val="1"/>
          <w:wAfter w:w="31" w:type="dxa"/>
          <w:trHeight w:val="138"/>
        </w:trPr>
        <w:tc>
          <w:tcPr>
            <w:tcW w:w="4192" w:type="dxa"/>
            <w:vAlign w:val="bottom"/>
          </w:tcPr>
          <w:p w14:paraId="720109A2" w14:textId="77777777" w:rsidR="00743094" w:rsidRPr="000172CE" w:rsidRDefault="00743094" w:rsidP="00BF3C61">
            <w:pPr>
              <w:rPr>
                <w:rFonts w:ascii="Calibri" w:hAnsi="Calibri" w:cs="Calibri"/>
                <w:color w:val="000000"/>
                <w:highlight w:val="yellow"/>
                <w:lang w:val="en-US"/>
              </w:rPr>
            </w:pPr>
            <w:r w:rsidRPr="000172CE">
              <w:rPr>
                <w:rFonts w:ascii="Calibri" w:hAnsi="Calibri" w:cs="Calibri"/>
                <w:color w:val="000000"/>
                <w:lang w:val="en-US"/>
              </w:rPr>
              <w:t>Sex Child (higher = more boys)</w:t>
            </w:r>
          </w:p>
        </w:tc>
        <w:tc>
          <w:tcPr>
            <w:tcW w:w="1813" w:type="dxa"/>
            <w:vAlign w:val="bottom"/>
          </w:tcPr>
          <w:p w14:paraId="2CDB8204"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-0.14</w:t>
            </w:r>
          </w:p>
        </w:tc>
        <w:tc>
          <w:tcPr>
            <w:tcW w:w="1705" w:type="dxa"/>
            <w:vAlign w:val="bottom"/>
          </w:tcPr>
          <w:p w14:paraId="7C179829"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-0.19</w:t>
            </w:r>
          </w:p>
        </w:tc>
        <w:tc>
          <w:tcPr>
            <w:tcW w:w="1718" w:type="dxa"/>
            <w:vAlign w:val="bottom"/>
          </w:tcPr>
          <w:p w14:paraId="30354C64" w14:textId="77777777" w:rsidR="00743094" w:rsidRPr="000172CE" w:rsidRDefault="00743094" w:rsidP="00BF3C61">
            <w:pPr>
              <w:jc w:val="center"/>
              <w:rPr>
                <w:rFonts w:ascii="Calibri" w:hAnsi="Calibri" w:cs="Calibri"/>
                <w:color w:val="000000"/>
                <w:lang w:val="en-US"/>
              </w:rPr>
            </w:pPr>
            <w:r w:rsidRPr="000172CE">
              <w:rPr>
                <w:rFonts w:ascii="Calibri" w:hAnsi="Calibri" w:cs="Calibri"/>
                <w:color w:val="000000"/>
                <w:lang w:val="en-US"/>
              </w:rPr>
              <w:t>-0.14</w:t>
            </w:r>
          </w:p>
        </w:tc>
      </w:tr>
    </w:tbl>
    <w:p w14:paraId="78C6DCE2" w14:textId="77777777" w:rsidR="00743094" w:rsidRPr="000172CE" w:rsidRDefault="00743094" w:rsidP="002F57D8">
      <w:pPr>
        <w:rPr>
          <w:lang w:val="en-US"/>
        </w:rPr>
      </w:pPr>
    </w:p>
    <w:p w14:paraId="0014B7E0" w14:textId="77777777" w:rsidR="00743094" w:rsidRDefault="00743094">
      <w:pPr>
        <w:rPr>
          <w:lang w:val="en-US"/>
        </w:rPr>
      </w:pPr>
      <w:r>
        <w:rPr>
          <w:lang w:val="en-US"/>
        </w:rPr>
        <w:br w:type="page"/>
      </w:r>
    </w:p>
    <w:p w14:paraId="35DEC3E6" w14:textId="77777777" w:rsidR="00743094" w:rsidRPr="000172CE" w:rsidRDefault="00743094" w:rsidP="002F57D8">
      <w:pPr>
        <w:rPr>
          <w:lang w:val="en-US"/>
        </w:rPr>
      </w:pPr>
      <w:r w:rsidRPr="000172CE">
        <w:rPr>
          <w:lang w:val="en-US"/>
        </w:rPr>
        <w:lastRenderedPageBreak/>
        <w:t>Supplementary Table 1B</w:t>
      </w:r>
    </w:p>
    <w:p w14:paraId="3E0E18E3" w14:textId="77777777" w:rsidR="00743094" w:rsidRPr="000172CE" w:rsidRDefault="00743094" w:rsidP="002F57D8">
      <w:pPr>
        <w:rPr>
          <w:lang w:val="en-US"/>
        </w:rPr>
      </w:pPr>
      <w:r w:rsidRPr="000172CE">
        <w:rPr>
          <w:lang w:val="en-US"/>
        </w:rPr>
        <w:t>Weights of individual measures for Analysis 1. Child related Measures of Phase 2</w:t>
      </w:r>
    </w:p>
    <w:tbl>
      <w:tblPr>
        <w:tblStyle w:val="TableGrid"/>
        <w:tblW w:w="9458" w:type="dxa"/>
        <w:tblLook w:val="04A0" w:firstRow="1" w:lastRow="0" w:firstColumn="1" w:lastColumn="0" w:noHBand="0" w:noVBand="1"/>
      </w:tblPr>
      <w:tblGrid>
        <w:gridCol w:w="4414"/>
        <w:gridCol w:w="1591"/>
        <w:gridCol w:w="1705"/>
        <w:gridCol w:w="1718"/>
        <w:gridCol w:w="30"/>
      </w:tblGrid>
      <w:tr w:rsidR="00743094" w:rsidRPr="000172CE" w14:paraId="5E9C5BB3" w14:textId="77777777" w:rsidTr="00BF3C61">
        <w:trPr>
          <w:trHeight w:val="176"/>
        </w:trPr>
        <w:tc>
          <w:tcPr>
            <w:tcW w:w="4414" w:type="dxa"/>
          </w:tcPr>
          <w:p w14:paraId="3DDD84C5" w14:textId="77777777" w:rsidR="00743094" w:rsidRPr="000172CE" w:rsidRDefault="00743094" w:rsidP="00BF3C61">
            <w:pPr>
              <w:rPr>
                <w:lang w:val="en-US"/>
              </w:rPr>
            </w:pPr>
          </w:p>
        </w:tc>
        <w:tc>
          <w:tcPr>
            <w:tcW w:w="5044" w:type="dxa"/>
            <w:gridSpan w:val="4"/>
            <w:shd w:val="clear" w:color="auto" w:fill="auto"/>
            <w:vAlign w:val="center"/>
          </w:tcPr>
          <w:p w14:paraId="763B5E44" w14:textId="77777777" w:rsidR="00743094" w:rsidRPr="000172CE" w:rsidRDefault="00743094" w:rsidP="00BF3C61">
            <w:pPr>
              <w:jc w:val="center"/>
              <w:rPr>
                <w:lang w:val="en-US"/>
              </w:rPr>
            </w:pPr>
            <w:r w:rsidRPr="000172CE">
              <w:rPr>
                <w:lang w:val="en-US"/>
              </w:rPr>
              <w:t>Weights</w:t>
            </w:r>
          </w:p>
        </w:tc>
      </w:tr>
      <w:tr w:rsidR="00743094" w:rsidRPr="000172CE" w14:paraId="5DCF3B09" w14:textId="77777777" w:rsidTr="00BF3C61">
        <w:trPr>
          <w:gridAfter w:val="1"/>
          <w:wAfter w:w="30" w:type="dxa"/>
          <w:trHeight w:val="521"/>
        </w:trPr>
        <w:tc>
          <w:tcPr>
            <w:tcW w:w="4414" w:type="dxa"/>
          </w:tcPr>
          <w:p w14:paraId="2F76CBC1" w14:textId="77777777" w:rsidR="00743094" w:rsidRPr="000172CE" w:rsidRDefault="00743094" w:rsidP="00BF3C61">
            <w:pPr>
              <w:rPr>
                <w:highlight w:val="yellow"/>
                <w:lang w:val="en-US"/>
              </w:rPr>
            </w:pPr>
          </w:p>
        </w:tc>
        <w:tc>
          <w:tcPr>
            <w:tcW w:w="1591" w:type="dxa"/>
            <w:shd w:val="clear" w:color="auto" w:fill="auto"/>
            <w:vAlign w:val="center"/>
          </w:tcPr>
          <w:p w14:paraId="7B7369E6" w14:textId="77777777" w:rsidR="00743094" w:rsidRPr="000172CE" w:rsidRDefault="00743094" w:rsidP="00BF3C61">
            <w:pPr>
              <w:jc w:val="center"/>
              <w:rPr>
                <w:lang w:val="en-US"/>
              </w:rPr>
            </w:pPr>
            <w:r w:rsidRPr="000172CE">
              <w:rPr>
                <w:lang w:val="en-US"/>
              </w:rPr>
              <w:t xml:space="preserve">Main analysis </w:t>
            </w:r>
          </w:p>
        </w:tc>
        <w:tc>
          <w:tcPr>
            <w:tcW w:w="1705" w:type="dxa"/>
            <w:shd w:val="clear" w:color="auto" w:fill="auto"/>
            <w:vAlign w:val="center"/>
          </w:tcPr>
          <w:p w14:paraId="15B2A501" w14:textId="77777777" w:rsidR="00743094" w:rsidRPr="000172CE" w:rsidRDefault="00743094" w:rsidP="00BF3C61">
            <w:pPr>
              <w:jc w:val="center"/>
              <w:rPr>
                <w:lang w:val="en-US"/>
              </w:rPr>
            </w:pPr>
            <w:r w:rsidRPr="000172CE">
              <w:rPr>
                <w:lang w:val="en-US"/>
              </w:rPr>
              <w:t xml:space="preserve">Age regressed out </w:t>
            </w:r>
          </w:p>
        </w:tc>
        <w:tc>
          <w:tcPr>
            <w:tcW w:w="1718" w:type="dxa"/>
            <w:shd w:val="clear" w:color="auto" w:fill="auto"/>
            <w:vAlign w:val="center"/>
          </w:tcPr>
          <w:p w14:paraId="0170C200" w14:textId="77777777" w:rsidR="00743094" w:rsidRPr="000172CE" w:rsidRDefault="00743094" w:rsidP="00BF3C61">
            <w:pPr>
              <w:jc w:val="center"/>
              <w:rPr>
                <w:lang w:val="en-US"/>
              </w:rPr>
            </w:pPr>
            <w:r w:rsidRPr="000172CE">
              <w:rPr>
                <w:lang w:val="en-US"/>
              </w:rPr>
              <w:t>Measures converted to ranks</w:t>
            </w:r>
          </w:p>
        </w:tc>
      </w:tr>
      <w:tr w:rsidR="00743094" w:rsidRPr="000172CE" w14:paraId="55AA4DEE" w14:textId="77777777" w:rsidTr="00BF3C61">
        <w:trPr>
          <w:gridAfter w:val="1"/>
          <w:wAfter w:w="30" w:type="dxa"/>
          <w:trHeight w:val="176"/>
        </w:trPr>
        <w:tc>
          <w:tcPr>
            <w:tcW w:w="4414" w:type="dxa"/>
            <w:vAlign w:val="bottom"/>
          </w:tcPr>
          <w:p w14:paraId="7218BB95" w14:textId="77777777" w:rsidR="00743094" w:rsidRPr="000172CE" w:rsidRDefault="00743094" w:rsidP="00BF3C61">
            <w:pPr>
              <w:rPr>
                <w:highlight w:val="yellow"/>
                <w:lang w:val="en-US"/>
              </w:rPr>
            </w:pPr>
            <w:r w:rsidRPr="000172CE">
              <w:rPr>
                <w:rFonts w:ascii="Calibri" w:hAnsi="Calibri" w:cs="Calibri"/>
                <w:color w:val="000000"/>
                <w:lang w:val="en-US"/>
              </w:rPr>
              <w:t>PTSD symptoms (KSADS)</w:t>
            </w:r>
          </w:p>
        </w:tc>
        <w:tc>
          <w:tcPr>
            <w:tcW w:w="1591" w:type="dxa"/>
            <w:vAlign w:val="center"/>
          </w:tcPr>
          <w:p w14:paraId="39E13D56" w14:textId="77777777" w:rsidR="00743094" w:rsidRPr="000172CE" w:rsidRDefault="00743094" w:rsidP="00BF3C61">
            <w:pPr>
              <w:jc w:val="center"/>
              <w:rPr>
                <w:highlight w:val="yellow"/>
                <w:lang w:val="en-US"/>
              </w:rPr>
            </w:pPr>
            <w:r w:rsidRPr="000172CE">
              <w:rPr>
                <w:rFonts w:ascii="Calibri" w:hAnsi="Calibri" w:cs="Calibri"/>
                <w:color w:val="000000"/>
                <w:lang w:val="en-US"/>
              </w:rPr>
              <w:t>0.55</w:t>
            </w:r>
          </w:p>
        </w:tc>
        <w:tc>
          <w:tcPr>
            <w:tcW w:w="1705" w:type="dxa"/>
            <w:vAlign w:val="center"/>
          </w:tcPr>
          <w:p w14:paraId="10FAEFFA"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0.54</w:t>
            </w:r>
          </w:p>
        </w:tc>
        <w:tc>
          <w:tcPr>
            <w:tcW w:w="1718" w:type="dxa"/>
            <w:vAlign w:val="center"/>
          </w:tcPr>
          <w:p w14:paraId="05D4F43C"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0.52</w:t>
            </w:r>
          </w:p>
        </w:tc>
      </w:tr>
      <w:tr w:rsidR="00743094" w:rsidRPr="000172CE" w14:paraId="48D3EE2A" w14:textId="77777777" w:rsidTr="00BF3C61">
        <w:trPr>
          <w:gridAfter w:val="1"/>
          <w:wAfter w:w="30" w:type="dxa"/>
          <w:trHeight w:val="167"/>
        </w:trPr>
        <w:tc>
          <w:tcPr>
            <w:tcW w:w="4414" w:type="dxa"/>
            <w:vAlign w:val="bottom"/>
          </w:tcPr>
          <w:p w14:paraId="017C7CC8" w14:textId="77777777" w:rsidR="00743094" w:rsidRPr="000172CE" w:rsidRDefault="00743094" w:rsidP="00BF3C61">
            <w:pPr>
              <w:rPr>
                <w:highlight w:val="yellow"/>
                <w:lang w:val="en-US"/>
              </w:rPr>
            </w:pPr>
            <w:r w:rsidRPr="000172CE">
              <w:rPr>
                <w:rFonts w:ascii="Calibri" w:hAnsi="Calibri" w:cs="Calibri"/>
                <w:color w:val="000000"/>
                <w:lang w:val="en-US"/>
              </w:rPr>
              <w:t>Anxiety Disorders Symptoms (KSADS)</w:t>
            </w:r>
          </w:p>
        </w:tc>
        <w:tc>
          <w:tcPr>
            <w:tcW w:w="1591" w:type="dxa"/>
            <w:vAlign w:val="center"/>
          </w:tcPr>
          <w:p w14:paraId="1FCBA58D" w14:textId="77777777" w:rsidR="00743094" w:rsidRPr="000172CE" w:rsidRDefault="00743094" w:rsidP="00BF3C61">
            <w:pPr>
              <w:jc w:val="center"/>
              <w:rPr>
                <w:highlight w:val="yellow"/>
                <w:lang w:val="en-US"/>
              </w:rPr>
            </w:pPr>
            <w:r w:rsidRPr="000172CE">
              <w:rPr>
                <w:rFonts w:ascii="Calibri" w:hAnsi="Calibri" w:cs="Calibri"/>
                <w:color w:val="000000"/>
                <w:lang w:val="en-US"/>
              </w:rPr>
              <w:t>0.38</w:t>
            </w:r>
          </w:p>
        </w:tc>
        <w:tc>
          <w:tcPr>
            <w:tcW w:w="1705" w:type="dxa"/>
            <w:vAlign w:val="center"/>
          </w:tcPr>
          <w:p w14:paraId="629AE218"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0.38</w:t>
            </w:r>
          </w:p>
        </w:tc>
        <w:tc>
          <w:tcPr>
            <w:tcW w:w="1718" w:type="dxa"/>
            <w:vAlign w:val="center"/>
          </w:tcPr>
          <w:p w14:paraId="6AE0B02F"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0.37</w:t>
            </w:r>
          </w:p>
        </w:tc>
      </w:tr>
      <w:tr w:rsidR="00743094" w:rsidRPr="000172CE" w14:paraId="4980DCFA" w14:textId="77777777" w:rsidTr="00BF3C61">
        <w:trPr>
          <w:gridAfter w:val="1"/>
          <w:wAfter w:w="30" w:type="dxa"/>
          <w:trHeight w:val="176"/>
        </w:trPr>
        <w:tc>
          <w:tcPr>
            <w:tcW w:w="4414" w:type="dxa"/>
            <w:vAlign w:val="bottom"/>
          </w:tcPr>
          <w:p w14:paraId="05649B1A" w14:textId="77777777" w:rsidR="00743094" w:rsidRPr="000172CE" w:rsidRDefault="00743094" w:rsidP="00BF3C61">
            <w:pPr>
              <w:rPr>
                <w:highlight w:val="yellow"/>
                <w:lang w:val="en-US"/>
              </w:rPr>
            </w:pPr>
            <w:r w:rsidRPr="000172CE">
              <w:rPr>
                <w:rFonts w:ascii="Calibri" w:hAnsi="Calibri" w:cs="Calibri"/>
                <w:color w:val="000000"/>
                <w:lang w:val="en-US"/>
              </w:rPr>
              <w:t>Bullying: Perpetration</w:t>
            </w:r>
          </w:p>
        </w:tc>
        <w:tc>
          <w:tcPr>
            <w:tcW w:w="1591" w:type="dxa"/>
            <w:vAlign w:val="center"/>
          </w:tcPr>
          <w:p w14:paraId="7F9EDFC0" w14:textId="77777777" w:rsidR="00743094" w:rsidRPr="000172CE" w:rsidRDefault="00743094" w:rsidP="00BF3C61">
            <w:pPr>
              <w:jc w:val="center"/>
              <w:rPr>
                <w:highlight w:val="yellow"/>
                <w:lang w:val="en-US"/>
              </w:rPr>
            </w:pPr>
            <w:r w:rsidRPr="000172CE">
              <w:rPr>
                <w:rFonts w:ascii="Calibri" w:hAnsi="Calibri" w:cs="Calibri"/>
                <w:color w:val="000000"/>
                <w:lang w:val="en-US"/>
              </w:rPr>
              <w:t>0.38</w:t>
            </w:r>
          </w:p>
        </w:tc>
        <w:tc>
          <w:tcPr>
            <w:tcW w:w="1705" w:type="dxa"/>
            <w:vAlign w:val="center"/>
          </w:tcPr>
          <w:p w14:paraId="0CFAC882"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0.36</w:t>
            </w:r>
          </w:p>
        </w:tc>
        <w:tc>
          <w:tcPr>
            <w:tcW w:w="1718" w:type="dxa"/>
            <w:vAlign w:val="center"/>
          </w:tcPr>
          <w:p w14:paraId="0BEACB2B"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0.44</w:t>
            </w:r>
          </w:p>
        </w:tc>
      </w:tr>
      <w:tr w:rsidR="00743094" w:rsidRPr="000172CE" w14:paraId="71CC5BC3" w14:textId="77777777" w:rsidTr="00BF3C61">
        <w:trPr>
          <w:gridAfter w:val="1"/>
          <w:wAfter w:w="30" w:type="dxa"/>
          <w:trHeight w:val="167"/>
        </w:trPr>
        <w:tc>
          <w:tcPr>
            <w:tcW w:w="4414" w:type="dxa"/>
            <w:vAlign w:val="bottom"/>
          </w:tcPr>
          <w:p w14:paraId="6FAA510A" w14:textId="77777777" w:rsidR="00743094" w:rsidRPr="000172CE" w:rsidRDefault="00743094" w:rsidP="00BF3C61">
            <w:pPr>
              <w:rPr>
                <w:highlight w:val="yellow"/>
                <w:lang w:val="en-US"/>
              </w:rPr>
            </w:pPr>
            <w:r w:rsidRPr="000172CE">
              <w:rPr>
                <w:rFonts w:ascii="Calibri" w:hAnsi="Calibri" w:cs="Calibri"/>
                <w:color w:val="000000"/>
                <w:lang w:val="en-US"/>
              </w:rPr>
              <w:t>ADHD symptoms (KSADS)</w:t>
            </w:r>
          </w:p>
        </w:tc>
        <w:tc>
          <w:tcPr>
            <w:tcW w:w="1591" w:type="dxa"/>
            <w:vAlign w:val="center"/>
          </w:tcPr>
          <w:p w14:paraId="73F3CDE3" w14:textId="77777777" w:rsidR="00743094" w:rsidRPr="000172CE" w:rsidRDefault="00743094" w:rsidP="00BF3C61">
            <w:pPr>
              <w:jc w:val="center"/>
              <w:rPr>
                <w:highlight w:val="yellow"/>
                <w:lang w:val="en-US"/>
              </w:rPr>
            </w:pPr>
            <w:r w:rsidRPr="000172CE">
              <w:rPr>
                <w:rFonts w:ascii="Calibri" w:hAnsi="Calibri" w:cs="Calibri"/>
                <w:color w:val="000000"/>
                <w:lang w:val="en-US"/>
              </w:rPr>
              <w:t>0.28</w:t>
            </w:r>
          </w:p>
        </w:tc>
        <w:tc>
          <w:tcPr>
            <w:tcW w:w="1705" w:type="dxa"/>
            <w:vAlign w:val="center"/>
          </w:tcPr>
          <w:p w14:paraId="6B2E74F9"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0.24</w:t>
            </w:r>
          </w:p>
        </w:tc>
        <w:tc>
          <w:tcPr>
            <w:tcW w:w="1718" w:type="dxa"/>
            <w:vAlign w:val="center"/>
          </w:tcPr>
          <w:p w14:paraId="704A69DE"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0.26</w:t>
            </w:r>
          </w:p>
        </w:tc>
      </w:tr>
      <w:tr w:rsidR="00743094" w:rsidRPr="000172CE" w14:paraId="005610FD" w14:textId="77777777" w:rsidTr="00BF3C61">
        <w:trPr>
          <w:gridAfter w:val="1"/>
          <w:wAfter w:w="30" w:type="dxa"/>
          <w:trHeight w:val="176"/>
        </w:trPr>
        <w:tc>
          <w:tcPr>
            <w:tcW w:w="4414" w:type="dxa"/>
            <w:vAlign w:val="bottom"/>
          </w:tcPr>
          <w:p w14:paraId="47E93A41" w14:textId="77777777" w:rsidR="00743094" w:rsidRPr="000172CE" w:rsidRDefault="00743094" w:rsidP="00BF3C61">
            <w:pPr>
              <w:rPr>
                <w:highlight w:val="yellow"/>
                <w:lang w:val="en-US"/>
              </w:rPr>
            </w:pPr>
            <w:r w:rsidRPr="000172CE">
              <w:rPr>
                <w:rFonts w:ascii="Calibri" w:hAnsi="Calibri" w:cs="Calibri"/>
                <w:color w:val="000000"/>
                <w:lang w:val="en-US"/>
              </w:rPr>
              <w:t xml:space="preserve">Bullying: Victimization </w:t>
            </w:r>
          </w:p>
        </w:tc>
        <w:tc>
          <w:tcPr>
            <w:tcW w:w="1591" w:type="dxa"/>
            <w:vAlign w:val="center"/>
          </w:tcPr>
          <w:p w14:paraId="596CB78A" w14:textId="77777777" w:rsidR="00743094" w:rsidRPr="000172CE" w:rsidRDefault="00743094" w:rsidP="00BF3C61">
            <w:pPr>
              <w:jc w:val="center"/>
              <w:rPr>
                <w:highlight w:val="yellow"/>
                <w:lang w:val="en-US"/>
              </w:rPr>
            </w:pPr>
            <w:r w:rsidRPr="000172CE">
              <w:rPr>
                <w:rFonts w:ascii="Calibri" w:hAnsi="Calibri" w:cs="Calibri"/>
                <w:color w:val="000000"/>
                <w:lang w:val="en-US"/>
              </w:rPr>
              <w:t>0.27</w:t>
            </w:r>
          </w:p>
        </w:tc>
        <w:tc>
          <w:tcPr>
            <w:tcW w:w="1705" w:type="dxa"/>
            <w:vAlign w:val="center"/>
          </w:tcPr>
          <w:p w14:paraId="3ACA0080"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0.23</w:t>
            </w:r>
          </w:p>
        </w:tc>
        <w:tc>
          <w:tcPr>
            <w:tcW w:w="1718" w:type="dxa"/>
            <w:vAlign w:val="center"/>
          </w:tcPr>
          <w:p w14:paraId="72820065"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0.27</w:t>
            </w:r>
          </w:p>
        </w:tc>
      </w:tr>
      <w:tr w:rsidR="00743094" w:rsidRPr="000172CE" w14:paraId="55C33DAD" w14:textId="77777777" w:rsidTr="00BF3C61">
        <w:trPr>
          <w:gridAfter w:val="1"/>
          <w:wAfter w:w="30" w:type="dxa"/>
          <w:trHeight w:val="167"/>
        </w:trPr>
        <w:tc>
          <w:tcPr>
            <w:tcW w:w="4414" w:type="dxa"/>
            <w:vAlign w:val="bottom"/>
          </w:tcPr>
          <w:p w14:paraId="00D67BC7" w14:textId="77777777" w:rsidR="00743094" w:rsidRPr="000172CE" w:rsidRDefault="00743094" w:rsidP="00BF3C61">
            <w:pPr>
              <w:rPr>
                <w:highlight w:val="yellow"/>
                <w:lang w:val="en-US"/>
              </w:rPr>
            </w:pPr>
            <w:r w:rsidRPr="000172CE">
              <w:rPr>
                <w:rFonts w:ascii="Calibri" w:hAnsi="Calibri" w:cs="Calibri"/>
                <w:color w:val="000000"/>
                <w:lang w:val="en-US"/>
              </w:rPr>
              <w:t>Depression symptoms (KSADS)</w:t>
            </w:r>
          </w:p>
        </w:tc>
        <w:tc>
          <w:tcPr>
            <w:tcW w:w="1591" w:type="dxa"/>
            <w:vAlign w:val="center"/>
          </w:tcPr>
          <w:p w14:paraId="3F5727CF" w14:textId="77777777" w:rsidR="00743094" w:rsidRPr="000172CE" w:rsidRDefault="00743094" w:rsidP="00BF3C61">
            <w:pPr>
              <w:jc w:val="center"/>
              <w:rPr>
                <w:highlight w:val="yellow"/>
                <w:lang w:val="en-US"/>
              </w:rPr>
            </w:pPr>
            <w:r w:rsidRPr="000172CE">
              <w:rPr>
                <w:rFonts w:ascii="Calibri" w:hAnsi="Calibri" w:cs="Calibri"/>
                <w:color w:val="000000"/>
                <w:lang w:val="en-US"/>
              </w:rPr>
              <w:t>0.25</w:t>
            </w:r>
          </w:p>
        </w:tc>
        <w:tc>
          <w:tcPr>
            <w:tcW w:w="1705" w:type="dxa"/>
            <w:vAlign w:val="center"/>
          </w:tcPr>
          <w:p w14:paraId="0D9EFFFD"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0.22</w:t>
            </w:r>
          </w:p>
        </w:tc>
        <w:tc>
          <w:tcPr>
            <w:tcW w:w="1718" w:type="dxa"/>
            <w:vAlign w:val="center"/>
          </w:tcPr>
          <w:p w14:paraId="27CF4628"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0.22</w:t>
            </w:r>
          </w:p>
        </w:tc>
      </w:tr>
      <w:tr w:rsidR="00743094" w:rsidRPr="000172CE" w14:paraId="500D8DCE" w14:textId="77777777" w:rsidTr="00BF3C61">
        <w:trPr>
          <w:gridAfter w:val="1"/>
          <w:wAfter w:w="30" w:type="dxa"/>
          <w:trHeight w:val="176"/>
        </w:trPr>
        <w:tc>
          <w:tcPr>
            <w:tcW w:w="4414" w:type="dxa"/>
            <w:vAlign w:val="bottom"/>
          </w:tcPr>
          <w:p w14:paraId="3E220B30" w14:textId="77777777" w:rsidR="00743094" w:rsidRPr="000172CE" w:rsidRDefault="00743094" w:rsidP="00BF3C61">
            <w:pPr>
              <w:rPr>
                <w:highlight w:val="yellow"/>
                <w:lang w:val="en-US"/>
              </w:rPr>
            </w:pPr>
            <w:r w:rsidRPr="000172CE">
              <w:rPr>
                <w:rFonts w:ascii="Calibri" w:hAnsi="Calibri" w:cs="Calibri"/>
                <w:color w:val="000000"/>
                <w:lang w:val="en-US"/>
              </w:rPr>
              <w:t xml:space="preserve">MacArthur: Negative </w:t>
            </w:r>
            <w:proofErr w:type="gramStart"/>
            <w:r w:rsidRPr="000172CE">
              <w:rPr>
                <w:rFonts w:ascii="Calibri" w:hAnsi="Calibri" w:cs="Calibri"/>
                <w:color w:val="000000"/>
                <w:lang w:val="en-US"/>
              </w:rPr>
              <w:t>Parents :</w:t>
            </w:r>
            <w:proofErr w:type="gramEnd"/>
            <w:r w:rsidRPr="000172CE">
              <w:rPr>
                <w:rFonts w:ascii="Calibri" w:hAnsi="Calibri" w:cs="Calibri"/>
                <w:color w:val="000000"/>
                <w:lang w:val="en-US"/>
              </w:rPr>
              <w:t xml:space="preserve"> Harsh</w:t>
            </w:r>
          </w:p>
        </w:tc>
        <w:tc>
          <w:tcPr>
            <w:tcW w:w="1591" w:type="dxa"/>
            <w:vAlign w:val="center"/>
          </w:tcPr>
          <w:p w14:paraId="3B13F526" w14:textId="77777777" w:rsidR="00743094" w:rsidRPr="000172CE" w:rsidRDefault="00743094" w:rsidP="00BF3C61">
            <w:pPr>
              <w:jc w:val="center"/>
              <w:rPr>
                <w:highlight w:val="yellow"/>
                <w:lang w:val="en-US"/>
              </w:rPr>
            </w:pPr>
            <w:r w:rsidRPr="000172CE">
              <w:rPr>
                <w:rFonts w:ascii="Calibri" w:hAnsi="Calibri" w:cs="Calibri"/>
                <w:color w:val="000000"/>
                <w:lang w:val="en-US"/>
              </w:rPr>
              <w:t>0.22</w:t>
            </w:r>
          </w:p>
        </w:tc>
        <w:tc>
          <w:tcPr>
            <w:tcW w:w="1705" w:type="dxa"/>
            <w:vAlign w:val="center"/>
          </w:tcPr>
          <w:p w14:paraId="07B07BF0"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0.23</w:t>
            </w:r>
          </w:p>
        </w:tc>
        <w:tc>
          <w:tcPr>
            <w:tcW w:w="1718" w:type="dxa"/>
            <w:vAlign w:val="center"/>
          </w:tcPr>
          <w:p w14:paraId="188F6475"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0.22</w:t>
            </w:r>
          </w:p>
        </w:tc>
      </w:tr>
      <w:tr w:rsidR="00743094" w:rsidRPr="000172CE" w14:paraId="53AB0017" w14:textId="77777777" w:rsidTr="00BF3C61">
        <w:trPr>
          <w:gridAfter w:val="1"/>
          <w:wAfter w:w="30" w:type="dxa"/>
          <w:trHeight w:val="343"/>
        </w:trPr>
        <w:tc>
          <w:tcPr>
            <w:tcW w:w="4414" w:type="dxa"/>
            <w:vAlign w:val="bottom"/>
          </w:tcPr>
          <w:p w14:paraId="3306059B" w14:textId="77777777" w:rsidR="00743094" w:rsidRPr="000172CE" w:rsidRDefault="00743094" w:rsidP="00BF3C61">
            <w:pPr>
              <w:rPr>
                <w:rFonts w:ascii="Calibri" w:hAnsi="Calibri" w:cs="Calibri"/>
                <w:color w:val="000000"/>
                <w:highlight w:val="yellow"/>
                <w:lang w:val="en-US"/>
              </w:rPr>
            </w:pPr>
            <w:r w:rsidRPr="000172CE">
              <w:rPr>
                <w:rFonts w:ascii="Calibri" w:hAnsi="Calibri" w:cs="Calibri"/>
                <w:color w:val="000000"/>
                <w:lang w:val="en-US"/>
              </w:rPr>
              <w:t>Emotion Comprehension: Mental understanding</w:t>
            </w:r>
          </w:p>
        </w:tc>
        <w:tc>
          <w:tcPr>
            <w:tcW w:w="1591" w:type="dxa"/>
            <w:vAlign w:val="center"/>
          </w:tcPr>
          <w:p w14:paraId="0911E91F" w14:textId="77777777" w:rsidR="00743094" w:rsidRPr="000172CE" w:rsidRDefault="00743094" w:rsidP="00BF3C61">
            <w:pPr>
              <w:jc w:val="center"/>
              <w:rPr>
                <w:highlight w:val="yellow"/>
                <w:lang w:val="en-US"/>
              </w:rPr>
            </w:pPr>
            <w:r w:rsidRPr="000172CE">
              <w:rPr>
                <w:rFonts w:ascii="Calibri" w:hAnsi="Calibri" w:cs="Calibri"/>
                <w:color w:val="000000"/>
                <w:lang w:val="en-US"/>
              </w:rPr>
              <w:t>0.11</w:t>
            </w:r>
          </w:p>
        </w:tc>
        <w:tc>
          <w:tcPr>
            <w:tcW w:w="1705" w:type="dxa"/>
            <w:vAlign w:val="center"/>
          </w:tcPr>
          <w:p w14:paraId="0F290DA0"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0.14</w:t>
            </w:r>
          </w:p>
        </w:tc>
        <w:tc>
          <w:tcPr>
            <w:tcW w:w="1718" w:type="dxa"/>
            <w:vAlign w:val="center"/>
          </w:tcPr>
          <w:p w14:paraId="34FC71EA"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0.12</w:t>
            </w:r>
          </w:p>
        </w:tc>
      </w:tr>
      <w:tr w:rsidR="00743094" w:rsidRPr="000172CE" w14:paraId="0B15849C" w14:textId="77777777" w:rsidTr="00BF3C61">
        <w:trPr>
          <w:gridAfter w:val="1"/>
          <w:wAfter w:w="30" w:type="dxa"/>
          <w:trHeight w:val="353"/>
        </w:trPr>
        <w:tc>
          <w:tcPr>
            <w:tcW w:w="4414" w:type="dxa"/>
            <w:vAlign w:val="bottom"/>
          </w:tcPr>
          <w:p w14:paraId="622F4347" w14:textId="77777777" w:rsidR="00743094" w:rsidRPr="000172CE" w:rsidRDefault="00743094" w:rsidP="00BF3C61">
            <w:pPr>
              <w:rPr>
                <w:highlight w:val="yellow"/>
                <w:lang w:val="en-US"/>
              </w:rPr>
            </w:pPr>
            <w:r w:rsidRPr="000172CE">
              <w:rPr>
                <w:rFonts w:ascii="Calibri" w:hAnsi="Calibri" w:cs="Calibri"/>
                <w:color w:val="000000"/>
                <w:lang w:val="en-US"/>
              </w:rPr>
              <w:t>Behavioral disorders Symptoms (KSADS)</w:t>
            </w:r>
          </w:p>
        </w:tc>
        <w:tc>
          <w:tcPr>
            <w:tcW w:w="1591" w:type="dxa"/>
            <w:vAlign w:val="center"/>
          </w:tcPr>
          <w:p w14:paraId="4A34DB3A" w14:textId="77777777" w:rsidR="00743094" w:rsidRPr="000172CE" w:rsidRDefault="00743094" w:rsidP="00BF3C61">
            <w:pPr>
              <w:jc w:val="center"/>
              <w:rPr>
                <w:highlight w:val="yellow"/>
                <w:lang w:val="en-US"/>
              </w:rPr>
            </w:pPr>
            <w:r w:rsidRPr="000172CE">
              <w:rPr>
                <w:rFonts w:ascii="Calibri" w:hAnsi="Calibri" w:cs="Calibri"/>
                <w:color w:val="000000"/>
                <w:lang w:val="en-US"/>
              </w:rPr>
              <w:t>0.02</w:t>
            </w:r>
          </w:p>
        </w:tc>
        <w:tc>
          <w:tcPr>
            <w:tcW w:w="1705" w:type="dxa"/>
            <w:vAlign w:val="center"/>
          </w:tcPr>
          <w:p w14:paraId="68CB1124"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-0.04</w:t>
            </w:r>
          </w:p>
        </w:tc>
        <w:tc>
          <w:tcPr>
            <w:tcW w:w="1718" w:type="dxa"/>
            <w:vAlign w:val="center"/>
          </w:tcPr>
          <w:p w14:paraId="515D8072"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0.02</w:t>
            </w:r>
          </w:p>
        </w:tc>
      </w:tr>
      <w:tr w:rsidR="00743094" w:rsidRPr="000172CE" w14:paraId="16EE2C85" w14:textId="77777777" w:rsidTr="00BF3C61">
        <w:trPr>
          <w:gridAfter w:val="1"/>
          <w:wAfter w:w="30" w:type="dxa"/>
          <w:trHeight w:val="167"/>
        </w:trPr>
        <w:tc>
          <w:tcPr>
            <w:tcW w:w="4414" w:type="dxa"/>
            <w:vAlign w:val="bottom"/>
          </w:tcPr>
          <w:p w14:paraId="538D1D6D" w14:textId="77777777" w:rsidR="00743094" w:rsidRPr="000172CE" w:rsidRDefault="00743094" w:rsidP="00BF3C61">
            <w:pPr>
              <w:rPr>
                <w:highlight w:val="yellow"/>
                <w:lang w:val="en-US"/>
              </w:rPr>
            </w:pPr>
            <w:r w:rsidRPr="000172CE">
              <w:rPr>
                <w:rFonts w:ascii="Calibri" w:hAnsi="Calibri" w:cs="Calibri"/>
                <w:color w:val="000000"/>
                <w:lang w:val="en-US"/>
              </w:rPr>
              <w:t>MacArthur: Dissociative strategies</w:t>
            </w:r>
          </w:p>
        </w:tc>
        <w:tc>
          <w:tcPr>
            <w:tcW w:w="1591" w:type="dxa"/>
            <w:vAlign w:val="center"/>
          </w:tcPr>
          <w:p w14:paraId="67AEC6BF" w14:textId="77777777" w:rsidR="00743094" w:rsidRPr="000172CE" w:rsidRDefault="00743094" w:rsidP="00BF3C61">
            <w:pPr>
              <w:jc w:val="center"/>
              <w:rPr>
                <w:highlight w:val="yellow"/>
                <w:lang w:val="en-US"/>
              </w:rPr>
            </w:pPr>
            <w:r w:rsidRPr="000172CE">
              <w:rPr>
                <w:rFonts w:ascii="Calibri" w:hAnsi="Calibri" w:cs="Calibri"/>
                <w:color w:val="000000"/>
                <w:lang w:val="en-US"/>
              </w:rPr>
              <w:t>0.01</w:t>
            </w:r>
          </w:p>
        </w:tc>
        <w:tc>
          <w:tcPr>
            <w:tcW w:w="1705" w:type="dxa"/>
            <w:vAlign w:val="center"/>
          </w:tcPr>
          <w:p w14:paraId="370B79A9"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-0.03</w:t>
            </w:r>
          </w:p>
        </w:tc>
        <w:tc>
          <w:tcPr>
            <w:tcW w:w="1718" w:type="dxa"/>
            <w:vAlign w:val="center"/>
          </w:tcPr>
          <w:p w14:paraId="4E470DED"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-0.01</w:t>
            </w:r>
          </w:p>
        </w:tc>
      </w:tr>
      <w:tr w:rsidR="00743094" w:rsidRPr="000172CE" w14:paraId="6ACAB63F" w14:textId="77777777" w:rsidTr="00BF3C61">
        <w:trPr>
          <w:gridAfter w:val="1"/>
          <w:wAfter w:w="30" w:type="dxa"/>
          <w:trHeight w:val="176"/>
        </w:trPr>
        <w:tc>
          <w:tcPr>
            <w:tcW w:w="4414" w:type="dxa"/>
            <w:vAlign w:val="bottom"/>
          </w:tcPr>
          <w:p w14:paraId="4A2EA19D" w14:textId="77777777" w:rsidR="00743094" w:rsidRPr="000172CE" w:rsidRDefault="00743094" w:rsidP="00BF3C61">
            <w:pPr>
              <w:rPr>
                <w:highlight w:val="yellow"/>
                <w:lang w:val="en-US"/>
              </w:rPr>
            </w:pPr>
            <w:r w:rsidRPr="000172CE">
              <w:rPr>
                <w:rFonts w:ascii="Calibri" w:hAnsi="Calibri" w:cs="Calibri"/>
                <w:color w:val="000000"/>
                <w:lang w:val="en-US"/>
              </w:rPr>
              <w:t>MacArthur: Aggression</w:t>
            </w:r>
          </w:p>
        </w:tc>
        <w:tc>
          <w:tcPr>
            <w:tcW w:w="1591" w:type="dxa"/>
            <w:vAlign w:val="center"/>
          </w:tcPr>
          <w:p w14:paraId="79FADFD2" w14:textId="77777777" w:rsidR="00743094" w:rsidRPr="000172CE" w:rsidRDefault="00743094" w:rsidP="00BF3C61">
            <w:pPr>
              <w:jc w:val="center"/>
              <w:rPr>
                <w:highlight w:val="yellow"/>
                <w:lang w:val="en-US"/>
              </w:rPr>
            </w:pPr>
            <w:r w:rsidRPr="000172CE">
              <w:rPr>
                <w:rFonts w:ascii="Calibri" w:hAnsi="Calibri" w:cs="Calibri"/>
                <w:color w:val="000000"/>
                <w:lang w:val="en-US"/>
              </w:rPr>
              <w:t>0.00</w:t>
            </w:r>
          </w:p>
        </w:tc>
        <w:tc>
          <w:tcPr>
            <w:tcW w:w="1705" w:type="dxa"/>
            <w:vAlign w:val="center"/>
          </w:tcPr>
          <w:p w14:paraId="286968B0"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-0.04</w:t>
            </w:r>
          </w:p>
        </w:tc>
        <w:tc>
          <w:tcPr>
            <w:tcW w:w="1718" w:type="dxa"/>
            <w:vAlign w:val="center"/>
          </w:tcPr>
          <w:p w14:paraId="6EE1E2E7"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0.02</w:t>
            </w:r>
          </w:p>
        </w:tc>
      </w:tr>
      <w:tr w:rsidR="00743094" w:rsidRPr="000172CE" w14:paraId="0B290DE1" w14:textId="77777777" w:rsidTr="00BF3C61">
        <w:trPr>
          <w:gridAfter w:val="1"/>
          <w:wAfter w:w="30" w:type="dxa"/>
          <w:trHeight w:val="58"/>
        </w:trPr>
        <w:tc>
          <w:tcPr>
            <w:tcW w:w="4414" w:type="dxa"/>
            <w:vAlign w:val="bottom"/>
          </w:tcPr>
          <w:p w14:paraId="7DBE7250" w14:textId="77777777" w:rsidR="00743094" w:rsidRPr="000172CE" w:rsidRDefault="00743094" w:rsidP="00BF3C61">
            <w:pPr>
              <w:rPr>
                <w:highlight w:val="yellow"/>
                <w:lang w:val="en-US"/>
              </w:rPr>
            </w:pPr>
            <w:r w:rsidRPr="000172CE">
              <w:rPr>
                <w:rFonts w:ascii="Calibri" w:hAnsi="Calibri" w:cs="Calibri"/>
                <w:color w:val="000000"/>
                <w:lang w:val="en-US"/>
              </w:rPr>
              <w:t>MacArthur: Atypical Negative Behaviors</w:t>
            </w:r>
          </w:p>
        </w:tc>
        <w:tc>
          <w:tcPr>
            <w:tcW w:w="1591" w:type="dxa"/>
            <w:vAlign w:val="center"/>
          </w:tcPr>
          <w:p w14:paraId="0E3468C4" w14:textId="77777777" w:rsidR="00743094" w:rsidRPr="000172CE" w:rsidRDefault="00743094" w:rsidP="00BF3C61">
            <w:pPr>
              <w:jc w:val="center"/>
              <w:rPr>
                <w:highlight w:val="yellow"/>
                <w:lang w:val="en-US"/>
              </w:rPr>
            </w:pPr>
            <w:r w:rsidRPr="000172CE">
              <w:rPr>
                <w:rFonts w:ascii="Calibri" w:hAnsi="Calibri" w:cs="Calibri"/>
                <w:color w:val="000000"/>
                <w:lang w:val="en-US"/>
              </w:rPr>
              <w:t>0.00</w:t>
            </w:r>
          </w:p>
        </w:tc>
        <w:tc>
          <w:tcPr>
            <w:tcW w:w="1705" w:type="dxa"/>
            <w:vAlign w:val="center"/>
          </w:tcPr>
          <w:p w14:paraId="0BA3EADE"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-0.05</w:t>
            </w:r>
          </w:p>
        </w:tc>
        <w:tc>
          <w:tcPr>
            <w:tcW w:w="1718" w:type="dxa"/>
            <w:vAlign w:val="center"/>
          </w:tcPr>
          <w:p w14:paraId="2A75FAF3"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-0.04</w:t>
            </w:r>
          </w:p>
        </w:tc>
      </w:tr>
      <w:tr w:rsidR="00743094" w:rsidRPr="000172CE" w14:paraId="6916B711" w14:textId="77777777" w:rsidTr="00BF3C61">
        <w:trPr>
          <w:gridAfter w:val="1"/>
          <w:wAfter w:w="30" w:type="dxa"/>
          <w:trHeight w:val="343"/>
        </w:trPr>
        <w:tc>
          <w:tcPr>
            <w:tcW w:w="4414" w:type="dxa"/>
            <w:vAlign w:val="bottom"/>
          </w:tcPr>
          <w:p w14:paraId="41061CCC" w14:textId="77777777" w:rsidR="00743094" w:rsidRPr="000172CE" w:rsidRDefault="00743094" w:rsidP="00BF3C61">
            <w:pPr>
              <w:rPr>
                <w:highlight w:val="yellow"/>
                <w:lang w:val="en-US"/>
              </w:rPr>
            </w:pPr>
            <w:r w:rsidRPr="000172CE">
              <w:rPr>
                <w:rFonts w:ascii="Calibri" w:hAnsi="Calibri" w:cs="Calibri"/>
                <w:color w:val="000000"/>
                <w:lang w:val="en-US"/>
              </w:rPr>
              <w:t>Report of physical and nonphysical exposure to violence and crime (VEX)</w:t>
            </w:r>
          </w:p>
        </w:tc>
        <w:tc>
          <w:tcPr>
            <w:tcW w:w="1591" w:type="dxa"/>
            <w:vAlign w:val="center"/>
          </w:tcPr>
          <w:p w14:paraId="228B9075" w14:textId="77777777" w:rsidR="00743094" w:rsidRPr="000172CE" w:rsidRDefault="00743094" w:rsidP="00BF3C61">
            <w:pPr>
              <w:jc w:val="center"/>
              <w:rPr>
                <w:highlight w:val="yellow"/>
                <w:lang w:val="en-US"/>
              </w:rPr>
            </w:pPr>
            <w:r w:rsidRPr="000172CE">
              <w:rPr>
                <w:rFonts w:ascii="Calibri" w:hAnsi="Calibri" w:cs="Calibri"/>
                <w:color w:val="000000"/>
                <w:lang w:val="en-US"/>
              </w:rPr>
              <w:t>-0.04</w:t>
            </w:r>
          </w:p>
        </w:tc>
        <w:tc>
          <w:tcPr>
            <w:tcW w:w="1705" w:type="dxa"/>
            <w:vAlign w:val="center"/>
          </w:tcPr>
          <w:p w14:paraId="5F31A3E1"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-0.06</w:t>
            </w:r>
          </w:p>
        </w:tc>
        <w:tc>
          <w:tcPr>
            <w:tcW w:w="1718" w:type="dxa"/>
            <w:vAlign w:val="center"/>
          </w:tcPr>
          <w:p w14:paraId="0E68E49B"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-0.05</w:t>
            </w:r>
          </w:p>
        </w:tc>
      </w:tr>
      <w:tr w:rsidR="00743094" w:rsidRPr="000172CE" w14:paraId="2C3B9878" w14:textId="77777777" w:rsidTr="00BF3C61">
        <w:trPr>
          <w:gridAfter w:val="1"/>
          <w:wAfter w:w="30" w:type="dxa"/>
          <w:trHeight w:val="343"/>
        </w:trPr>
        <w:tc>
          <w:tcPr>
            <w:tcW w:w="4414" w:type="dxa"/>
            <w:vAlign w:val="bottom"/>
          </w:tcPr>
          <w:p w14:paraId="277A0030" w14:textId="77777777" w:rsidR="00743094" w:rsidRPr="000172CE" w:rsidRDefault="00743094" w:rsidP="00BF3C61">
            <w:pPr>
              <w:rPr>
                <w:highlight w:val="yellow"/>
                <w:lang w:val="en-US"/>
              </w:rPr>
            </w:pPr>
            <w:r w:rsidRPr="000172CE">
              <w:rPr>
                <w:rFonts w:ascii="Calibri" w:hAnsi="Calibri" w:cs="Calibri"/>
                <w:color w:val="000000"/>
                <w:lang w:val="en-US"/>
              </w:rPr>
              <w:t>Emotion Comprehension: Reflective Capacities</w:t>
            </w:r>
          </w:p>
        </w:tc>
        <w:tc>
          <w:tcPr>
            <w:tcW w:w="1591" w:type="dxa"/>
            <w:vAlign w:val="center"/>
          </w:tcPr>
          <w:p w14:paraId="0E65F254" w14:textId="77777777" w:rsidR="00743094" w:rsidRPr="000172CE" w:rsidRDefault="00743094" w:rsidP="00BF3C61">
            <w:pPr>
              <w:jc w:val="center"/>
              <w:rPr>
                <w:highlight w:val="yellow"/>
                <w:lang w:val="en-US"/>
              </w:rPr>
            </w:pPr>
            <w:r w:rsidRPr="000172CE">
              <w:rPr>
                <w:rFonts w:ascii="Calibri" w:hAnsi="Calibri" w:cs="Calibri"/>
                <w:color w:val="000000"/>
                <w:lang w:val="en-US"/>
              </w:rPr>
              <w:t>-0.11</w:t>
            </w:r>
          </w:p>
        </w:tc>
        <w:tc>
          <w:tcPr>
            <w:tcW w:w="1705" w:type="dxa"/>
            <w:vAlign w:val="center"/>
          </w:tcPr>
          <w:p w14:paraId="780E3F87"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-0.11</w:t>
            </w:r>
          </w:p>
        </w:tc>
        <w:tc>
          <w:tcPr>
            <w:tcW w:w="1718" w:type="dxa"/>
            <w:vAlign w:val="center"/>
          </w:tcPr>
          <w:p w14:paraId="55A81507"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-0.09</w:t>
            </w:r>
          </w:p>
        </w:tc>
      </w:tr>
      <w:tr w:rsidR="00743094" w:rsidRPr="000172CE" w14:paraId="6993D966" w14:textId="77777777" w:rsidTr="00BF3C61">
        <w:trPr>
          <w:gridAfter w:val="1"/>
          <w:wAfter w:w="30" w:type="dxa"/>
          <w:trHeight w:val="353"/>
        </w:trPr>
        <w:tc>
          <w:tcPr>
            <w:tcW w:w="4414" w:type="dxa"/>
            <w:vAlign w:val="bottom"/>
          </w:tcPr>
          <w:p w14:paraId="0554EECA" w14:textId="77777777" w:rsidR="00743094" w:rsidRPr="000172CE" w:rsidRDefault="00743094" w:rsidP="00BF3C61">
            <w:pPr>
              <w:rPr>
                <w:highlight w:val="yellow"/>
                <w:lang w:val="en-US"/>
              </w:rPr>
            </w:pPr>
            <w:r w:rsidRPr="000172CE">
              <w:rPr>
                <w:rFonts w:ascii="Calibri" w:hAnsi="Calibri"/>
                <w:color w:val="000000"/>
                <w:lang w:val="en-US"/>
              </w:rPr>
              <w:t>Emotion Comprehension: External Emotions Understanding</w:t>
            </w:r>
          </w:p>
        </w:tc>
        <w:tc>
          <w:tcPr>
            <w:tcW w:w="1591" w:type="dxa"/>
            <w:vAlign w:val="center"/>
          </w:tcPr>
          <w:p w14:paraId="265981E4" w14:textId="77777777" w:rsidR="00743094" w:rsidRPr="000172CE" w:rsidRDefault="00743094" w:rsidP="00BF3C61">
            <w:pPr>
              <w:jc w:val="center"/>
              <w:rPr>
                <w:highlight w:val="yellow"/>
                <w:lang w:val="en-US"/>
              </w:rPr>
            </w:pPr>
            <w:r w:rsidRPr="000172CE">
              <w:rPr>
                <w:rFonts w:ascii="Calibri" w:hAnsi="Calibri" w:cs="Calibri"/>
                <w:color w:val="000000"/>
                <w:lang w:val="en-US"/>
              </w:rPr>
              <w:t>-0.12</w:t>
            </w:r>
          </w:p>
        </w:tc>
        <w:tc>
          <w:tcPr>
            <w:tcW w:w="1705" w:type="dxa"/>
            <w:vAlign w:val="center"/>
          </w:tcPr>
          <w:p w14:paraId="52D8DEBE"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-0.09</w:t>
            </w:r>
          </w:p>
        </w:tc>
        <w:tc>
          <w:tcPr>
            <w:tcW w:w="1718" w:type="dxa"/>
            <w:vAlign w:val="center"/>
          </w:tcPr>
          <w:p w14:paraId="64E613D6"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-0.10</w:t>
            </w:r>
          </w:p>
        </w:tc>
      </w:tr>
      <w:tr w:rsidR="00743094" w:rsidRPr="000172CE" w14:paraId="5C7B1D6E" w14:textId="77777777" w:rsidTr="00BF3C61">
        <w:trPr>
          <w:gridAfter w:val="1"/>
          <w:wAfter w:w="30" w:type="dxa"/>
          <w:trHeight w:val="167"/>
        </w:trPr>
        <w:tc>
          <w:tcPr>
            <w:tcW w:w="4414" w:type="dxa"/>
            <w:vAlign w:val="bottom"/>
          </w:tcPr>
          <w:p w14:paraId="68080408" w14:textId="77777777" w:rsidR="00743094" w:rsidRPr="000172CE" w:rsidRDefault="00743094" w:rsidP="00BF3C61">
            <w:pPr>
              <w:rPr>
                <w:highlight w:val="yellow"/>
                <w:lang w:val="en-US"/>
              </w:rPr>
            </w:pPr>
            <w:r w:rsidRPr="000172CE">
              <w:rPr>
                <w:rFonts w:ascii="Calibri" w:hAnsi="Calibri" w:cs="Calibri"/>
                <w:color w:val="000000"/>
                <w:lang w:val="en-US"/>
              </w:rPr>
              <w:t>MacArthur: Avoidance</w:t>
            </w:r>
          </w:p>
        </w:tc>
        <w:tc>
          <w:tcPr>
            <w:tcW w:w="1591" w:type="dxa"/>
            <w:vAlign w:val="center"/>
          </w:tcPr>
          <w:p w14:paraId="168F88EA" w14:textId="77777777" w:rsidR="00743094" w:rsidRPr="000172CE" w:rsidRDefault="00743094" w:rsidP="00BF3C61">
            <w:pPr>
              <w:jc w:val="center"/>
              <w:rPr>
                <w:highlight w:val="yellow"/>
                <w:lang w:val="en-US"/>
              </w:rPr>
            </w:pPr>
            <w:r w:rsidRPr="000172CE">
              <w:rPr>
                <w:rFonts w:ascii="Calibri" w:hAnsi="Calibri" w:cs="Calibri"/>
                <w:color w:val="000000"/>
                <w:lang w:val="en-US"/>
              </w:rPr>
              <w:t>-0.15</w:t>
            </w:r>
          </w:p>
        </w:tc>
        <w:tc>
          <w:tcPr>
            <w:tcW w:w="1705" w:type="dxa"/>
            <w:vAlign w:val="center"/>
          </w:tcPr>
          <w:p w14:paraId="1B8442F7"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-0.17</w:t>
            </w:r>
          </w:p>
        </w:tc>
        <w:tc>
          <w:tcPr>
            <w:tcW w:w="1718" w:type="dxa"/>
            <w:vAlign w:val="center"/>
          </w:tcPr>
          <w:p w14:paraId="3C09BBEC"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-0.22</w:t>
            </w:r>
          </w:p>
        </w:tc>
      </w:tr>
      <w:tr w:rsidR="00743094" w:rsidRPr="000172CE" w14:paraId="642A0658" w14:textId="77777777" w:rsidTr="00BF3C61">
        <w:trPr>
          <w:gridAfter w:val="1"/>
          <w:wAfter w:w="30" w:type="dxa"/>
          <w:trHeight w:val="176"/>
        </w:trPr>
        <w:tc>
          <w:tcPr>
            <w:tcW w:w="4414" w:type="dxa"/>
            <w:vAlign w:val="bottom"/>
          </w:tcPr>
          <w:p w14:paraId="7A24F6D9" w14:textId="77777777" w:rsidR="00743094" w:rsidRPr="000172CE" w:rsidRDefault="00743094" w:rsidP="00BF3C61">
            <w:pPr>
              <w:rPr>
                <w:highlight w:val="yellow"/>
                <w:lang w:val="en-US"/>
              </w:rPr>
            </w:pPr>
            <w:r w:rsidRPr="000172CE">
              <w:rPr>
                <w:rFonts w:ascii="Calibri" w:hAnsi="Calibri" w:cs="Calibri"/>
                <w:color w:val="000000"/>
                <w:lang w:val="en-US"/>
              </w:rPr>
              <w:t>MacArthur: Negative Endings</w:t>
            </w:r>
          </w:p>
        </w:tc>
        <w:tc>
          <w:tcPr>
            <w:tcW w:w="1591" w:type="dxa"/>
            <w:vAlign w:val="center"/>
          </w:tcPr>
          <w:p w14:paraId="771EE6A1" w14:textId="77777777" w:rsidR="00743094" w:rsidRPr="000172CE" w:rsidRDefault="00743094" w:rsidP="00BF3C61">
            <w:pPr>
              <w:jc w:val="center"/>
              <w:rPr>
                <w:highlight w:val="yellow"/>
                <w:lang w:val="en-US"/>
              </w:rPr>
            </w:pPr>
            <w:r w:rsidRPr="000172CE">
              <w:rPr>
                <w:rFonts w:ascii="Calibri" w:hAnsi="Calibri" w:cs="Calibri"/>
                <w:color w:val="000000"/>
                <w:lang w:val="en-US"/>
              </w:rPr>
              <w:t>-0.15</w:t>
            </w:r>
          </w:p>
        </w:tc>
        <w:tc>
          <w:tcPr>
            <w:tcW w:w="1705" w:type="dxa"/>
            <w:vAlign w:val="center"/>
          </w:tcPr>
          <w:p w14:paraId="77829BCE"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-0.24</w:t>
            </w:r>
          </w:p>
        </w:tc>
        <w:tc>
          <w:tcPr>
            <w:tcW w:w="1718" w:type="dxa"/>
            <w:vAlign w:val="center"/>
          </w:tcPr>
          <w:p w14:paraId="68A02EA3"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-0.15</w:t>
            </w:r>
          </w:p>
        </w:tc>
      </w:tr>
      <w:tr w:rsidR="00743094" w:rsidRPr="000172CE" w14:paraId="0D1DEB71" w14:textId="77777777" w:rsidTr="00BF3C61">
        <w:trPr>
          <w:gridAfter w:val="1"/>
          <w:wAfter w:w="30" w:type="dxa"/>
          <w:trHeight w:val="167"/>
        </w:trPr>
        <w:tc>
          <w:tcPr>
            <w:tcW w:w="4414" w:type="dxa"/>
            <w:vAlign w:val="bottom"/>
          </w:tcPr>
          <w:p w14:paraId="3B4243B9" w14:textId="77777777" w:rsidR="00743094" w:rsidRPr="000172CE" w:rsidRDefault="00743094" w:rsidP="00BF3C61">
            <w:pPr>
              <w:rPr>
                <w:highlight w:val="yellow"/>
                <w:lang w:val="en-US"/>
              </w:rPr>
            </w:pPr>
            <w:r w:rsidRPr="000172CE">
              <w:rPr>
                <w:rFonts w:ascii="Calibri" w:hAnsi="Calibri" w:cs="Calibri"/>
                <w:color w:val="000000"/>
                <w:lang w:val="en-US"/>
              </w:rPr>
              <w:t>MacArthur: Danger</w:t>
            </w:r>
          </w:p>
        </w:tc>
        <w:tc>
          <w:tcPr>
            <w:tcW w:w="1591" w:type="dxa"/>
            <w:vAlign w:val="center"/>
          </w:tcPr>
          <w:p w14:paraId="782CDD4E" w14:textId="77777777" w:rsidR="00743094" w:rsidRPr="000172CE" w:rsidRDefault="00743094" w:rsidP="00BF3C61">
            <w:pPr>
              <w:jc w:val="center"/>
              <w:rPr>
                <w:highlight w:val="yellow"/>
                <w:lang w:val="en-US"/>
              </w:rPr>
            </w:pPr>
            <w:r w:rsidRPr="000172CE">
              <w:rPr>
                <w:rFonts w:ascii="Calibri" w:hAnsi="Calibri" w:cs="Calibri"/>
                <w:color w:val="000000"/>
                <w:lang w:val="en-US"/>
              </w:rPr>
              <w:t>-0.16</w:t>
            </w:r>
          </w:p>
        </w:tc>
        <w:tc>
          <w:tcPr>
            <w:tcW w:w="1705" w:type="dxa"/>
            <w:vAlign w:val="center"/>
          </w:tcPr>
          <w:p w14:paraId="6C32F604"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-0.20</w:t>
            </w:r>
          </w:p>
        </w:tc>
        <w:tc>
          <w:tcPr>
            <w:tcW w:w="1718" w:type="dxa"/>
            <w:vAlign w:val="center"/>
          </w:tcPr>
          <w:p w14:paraId="7A14DAE1"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-0.18</w:t>
            </w:r>
          </w:p>
        </w:tc>
      </w:tr>
      <w:tr w:rsidR="00743094" w:rsidRPr="000172CE" w14:paraId="5B46969D" w14:textId="77777777" w:rsidTr="00BF3C61">
        <w:trPr>
          <w:gridAfter w:val="1"/>
          <w:wAfter w:w="30" w:type="dxa"/>
          <w:trHeight w:val="58"/>
        </w:trPr>
        <w:tc>
          <w:tcPr>
            <w:tcW w:w="4414" w:type="dxa"/>
            <w:vAlign w:val="bottom"/>
          </w:tcPr>
          <w:p w14:paraId="4FDE11B6" w14:textId="77777777" w:rsidR="00743094" w:rsidRPr="000172CE" w:rsidRDefault="00743094" w:rsidP="00BF3C61">
            <w:pPr>
              <w:jc w:val="both"/>
              <w:rPr>
                <w:highlight w:val="yellow"/>
                <w:lang w:val="en-US"/>
              </w:rPr>
            </w:pPr>
            <w:r w:rsidRPr="000172CE">
              <w:rPr>
                <w:rFonts w:ascii="Calibri" w:hAnsi="Calibri" w:cs="Calibri"/>
                <w:color w:val="000000"/>
                <w:lang w:val="en-US"/>
              </w:rPr>
              <w:t xml:space="preserve">MacArthur: Negative </w:t>
            </w:r>
            <w:proofErr w:type="gramStart"/>
            <w:r w:rsidRPr="000172CE">
              <w:rPr>
                <w:rFonts w:ascii="Calibri" w:hAnsi="Calibri" w:cs="Calibri"/>
                <w:color w:val="000000"/>
                <w:lang w:val="en-US"/>
              </w:rPr>
              <w:t>Parents :</w:t>
            </w:r>
            <w:proofErr w:type="gramEnd"/>
            <w:r w:rsidRPr="000172CE">
              <w:rPr>
                <w:rFonts w:ascii="Calibri" w:hAnsi="Calibri" w:cs="Calibri"/>
                <w:color w:val="000000"/>
                <w:lang w:val="en-US"/>
              </w:rPr>
              <w:t xml:space="preserve"> Ineffectual</w:t>
            </w:r>
          </w:p>
        </w:tc>
        <w:tc>
          <w:tcPr>
            <w:tcW w:w="1591" w:type="dxa"/>
            <w:vAlign w:val="center"/>
          </w:tcPr>
          <w:p w14:paraId="155A4DC9" w14:textId="77777777" w:rsidR="00743094" w:rsidRPr="000172CE" w:rsidRDefault="00743094" w:rsidP="00BF3C61">
            <w:pPr>
              <w:jc w:val="center"/>
              <w:rPr>
                <w:highlight w:val="yellow"/>
                <w:lang w:val="en-US"/>
              </w:rPr>
            </w:pPr>
            <w:r w:rsidRPr="000172CE">
              <w:rPr>
                <w:rFonts w:ascii="Calibri" w:hAnsi="Calibri" w:cs="Calibri"/>
                <w:color w:val="000000"/>
                <w:lang w:val="en-US"/>
              </w:rPr>
              <w:t>-0.19</w:t>
            </w:r>
          </w:p>
        </w:tc>
        <w:tc>
          <w:tcPr>
            <w:tcW w:w="1705" w:type="dxa"/>
            <w:vAlign w:val="center"/>
          </w:tcPr>
          <w:p w14:paraId="4466C341"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-0.22</w:t>
            </w:r>
          </w:p>
        </w:tc>
        <w:tc>
          <w:tcPr>
            <w:tcW w:w="1718" w:type="dxa"/>
            <w:vAlign w:val="center"/>
          </w:tcPr>
          <w:p w14:paraId="355D6709" w14:textId="77777777" w:rsidR="00743094" w:rsidRPr="000172CE" w:rsidRDefault="00743094" w:rsidP="00BF3C61">
            <w:pPr>
              <w:jc w:val="center"/>
              <w:rPr>
                <w:rFonts w:ascii="Calibri" w:hAnsi="Calibri" w:cs="Calibri"/>
                <w:color w:val="000000"/>
                <w:highlight w:val="yellow"/>
                <w:lang w:val="en-US"/>
              </w:rPr>
            </w:pPr>
            <w:r w:rsidRPr="000172CE">
              <w:rPr>
                <w:rFonts w:ascii="Calibri" w:hAnsi="Calibri" w:cs="Calibri"/>
                <w:color w:val="000000"/>
                <w:lang w:val="en-US"/>
              </w:rPr>
              <w:t>-0.17</w:t>
            </w:r>
          </w:p>
        </w:tc>
      </w:tr>
    </w:tbl>
    <w:p w14:paraId="3E0CF6C7" w14:textId="77777777" w:rsidR="00743094" w:rsidRPr="000172CE" w:rsidRDefault="00743094" w:rsidP="002F57D8">
      <w:pPr>
        <w:rPr>
          <w:lang w:val="en-US"/>
        </w:rPr>
      </w:pPr>
    </w:p>
    <w:p w14:paraId="1263FFCC" w14:textId="77777777" w:rsidR="00743094" w:rsidRPr="000172CE" w:rsidRDefault="00743094" w:rsidP="002F57D8">
      <w:pPr>
        <w:rPr>
          <w:lang w:val="en-US"/>
        </w:rPr>
      </w:pPr>
      <w:r w:rsidRPr="000172CE">
        <w:rPr>
          <w:lang w:val="en-US"/>
        </w:rPr>
        <w:t>Supplementary Figure 1. Reliability analyses for Moser’s RR-score (left) and cross validation (right) depicting distribution across 10’000 resampled subsamples for both analyses.</w:t>
      </w:r>
    </w:p>
    <w:p w14:paraId="2158DDDF" w14:textId="77777777" w:rsidR="00743094" w:rsidRPr="000172CE" w:rsidRDefault="00743094" w:rsidP="002F57D8">
      <w:pPr>
        <w:spacing w:line="480" w:lineRule="auto"/>
        <w:jc w:val="both"/>
        <w:rPr>
          <w:lang w:val="en-US"/>
        </w:rPr>
      </w:pPr>
      <w:r w:rsidRPr="00BF3C61">
        <w:rPr>
          <w:noProof/>
          <w:lang w:val="fr-FR"/>
        </w:rPr>
        <w:drawing>
          <wp:inline distT="0" distB="0" distL="0" distR="0" wp14:anchorId="47C6860C" wp14:editId="26115BFE">
            <wp:extent cx="5731510" cy="2446034"/>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446034"/>
                    </a:xfrm>
                    <a:prstGeom prst="rect">
                      <a:avLst/>
                    </a:prstGeom>
                    <a:noFill/>
                  </pic:spPr>
                </pic:pic>
              </a:graphicData>
            </a:graphic>
          </wp:inline>
        </w:drawing>
      </w:r>
    </w:p>
    <w:p w14:paraId="694486A8" w14:textId="77777777" w:rsidR="00743094" w:rsidRPr="000172CE" w:rsidRDefault="00743094" w:rsidP="002F57D8">
      <w:pPr>
        <w:spacing w:line="480" w:lineRule="auto"/>
        <w:jc w:val="both"/>
        <w:rPr>
          <w:b/>
          <w:bCs/>
          <w:lang w:val="en-US"/>
        </w:rPr>
      </w:pPr>
      <w:r w:rsidRPr="000172CE">
        <w:rPr>
          <w:b/>
          <w:bCs/>
          <w:lang w:val="en-US"/>
        </w:rPr>
        <w:lastRenderedPageBreak/>
        <w:t>Power Analysis and results:</w:t>
      </w:r>
    </w:p>
    <w:p w14:paraId="04EEC249" w14:textId="77777777" w:rsidR="00743094" w:rsidRPr="000172CE" w:rsidRDefault="00743094" w:rsidP="002F57D8">
      <w:pPr>
        <w:spacing w:line="480" w:lineRule="auto"/>
        <w:jc w:val="both"/>
        <w:rPr>
          <w:lang w:val="en-US"/>
        </w:rPr>
      </w:pPr>
      <w:proofErr w:type="gramStart"/>
      <w:r w:rsidRPr="000172CE">
        <w:rPr>
          <w:lang w:val="en-US"/>
        </w:rPr>
        <w:t>In order to</w:t>
      </w:r>
      <w:proofErr w:type="gramEnd"/>
      <w:r w:rsidRPr="000172CE">
        <w:rPr>
          <w:lang w:val="en-US"/>
        </w:rPr>
        <w:t xml:space="preserve"> assess statistical power, we performed Monte Carlo style power analysis creating two artificial datasets with 62 participants each and 21 and 19 variables, respectively (as in analysis 1) and 25 and 19 variables (as in analysis 2) Through use of an in-house </w:t>
      </w:r>
      <w:proofErr w:type="spellStart"/>
      <w:r w:rsidRPr="000172CE">
        <w:rPr>
          <w:lang w:val="en-US"/>
        </w:rPr>
        <w:t>matlab</w:t>
      </w:r>
      <w:proofErr w:type="spellEnd"/>
      <w:r w:rsidRPr="000172CE">
        <w:rPr>
          <w:lang w:val="en-US"/>
        </w:rPr>
        <w:t xml:space="preserve"> script. For said script we employed the “</w:t>
      </w:r>
      <w:proofErr w:type="spellStart"/>
      <w:r w:rsidRPr="000172CE">
        <w:rPr>
          <w:i/>
          <w:lang w:val="en-US"/>
        </w:rPr>
        <w:t>sde_correlate</w:t>
      </w:r>
      <w:proofErr w:type="spellEnd"/>
      <w:r w:rsidRPr="000172CE">
        <w:rPr>
          <w:lang w:val="en-US"/>
        </w:rPr>
        <w:t>” function of the SDE master toolbox</w:t>
      </w:r>
      <w:r>
        <w:rPr>
          <w:lang w:val="en-US"/>
        </w:rPr>
        <w:t xml:space="preserve">  </w:t>
      </w:r>
      <w:r w:rsidRPr="000172CE">
        <w:rPr>
          <w:lang w:val="en-US"/>
        </w:rPr>
        <w:t xml:space="preserve">for </w:t>
      </w:r>
      <w:proofErr w:type="spellStart"/>
      <w:r w:rsidRPr="000172CE">
        <w:rPr>
          <w:lang w:val="en-US"/>
        </w:rPr>
        <w:t>matlab</w:t>
      </w:r>
      <w:proofErr w:type="spellEnd"/>
      <w:r w:rsidRPr="000172CE">
        <w:rPr>
          <w:lang w:val="en-US"/>
        </w:rPr>
        <w:t xml:space="preserve"> </w:t>
      </w:r>
      <w:r w:rsidRPr="0079401C">
        <w:rPr>
          <w:noProof/>
          <w:vertAlign w:val="superscript"/>
          <w:lang w:val="en-US"/>
        </w:rPr>
        <w:t>27</w:t>
      </w:r>
      <w:r w:rsidRPr="000172CE">
        <w:rPr>
          <w:lang w:val="en-US"/>
        </w:rPr>
        <w:t xml:space="preserve">, to vary correlations between these datasets. We set some correlations between datasets to r=0.4, a bigger number to r=0.3 and yet another one to r=0.2; performed 9 sub analyses, that varied the percentage of said correlations from 0 (sanity check) to 12% for r=0.2 from 0 to 3.2% for correlations at r=0.3 (and from 0 to 0.8 % for correlations at r=0.4 (see also supplementary Table 2). For each of these sub analyses, we created 100 independent datasets with correlations, according to sub analysis randomly distributed, and with 1000 participants. We then drew ten times random subsamples of 62 participants leading to 1000 subsamples overall. We then performed sCCA with the same parameters as in the original analysis for each of the created subsamples. </w:t>
      </w:r>
      <w:r>
        <w:rPr>
          <w:lang w:val="en-US"/>
        </w:rPr>
        <w:t>We assessed e</w:t>
      </w:r>
      <w:r w:rsidRPr="000172CE">
        <w:rPr>
          <w:lang w:val="en-US"/>
        </w:rPr>
        <w:t>ach subsample for significance, using 1000 permutations. For each sub analysis, we report the percentage of datasets where the sCCA was significant at p&lt;0.05 and the average significance.</w:t>
      </w:r>
      <w:r>
        <w:rPr>
          <w:lang w:val="en-US"/>
        </w:rPr>
        <w:t xml:space="preserve">  </w:t>
      </w:r>
    </w:p>
    <w:p w14:paraId="56A02988" w14:textId="77777777" w:rsidR="00743094" w:rsidRPr="000172CE" w:rsidRDefault="00743094" w:rsidP="002F57D8">
      <w:pPr>
        <w:spacing w:line="480" w:lineRule="auto"/>
        <w:jc w:val="both"/>
        <w:rPr>
          <w:lang w:val="en-US"/>
        </w:rPr>
      </w:pPr>
      <w:r w:rsidRPr="000172CE">
        <w:rPr>
          <w:lang w:val="en-US"/>
        </w:rPr>
        <w:t>Power analysis indicated that 0 Correlations were just above 5% probability of reaching significance with sparse canonical correlation analysis (sCCA), which may be due to overfitting, which in turn was addressed appropriately here with additional reliability measures. Once 9% of associations between variables of the two datasets were at r=0.2, 1.8% at r=0.3 and 1.2% at r=0.4, 82%of results for analysis 1 (88% for analysis 2) would be significant with an average significance level of p= 0.033 for analysis 1 (</w:t>
      </w:r>
      <w:r>
        <w:rPr>
          <w:lang w:val="en-US"/>
        </w:rPr>
        <w:t xml:space="preserve">p = </w:t>
      </w:r>
      <w:r w:rsidRPr="000172CE">
        <w:rPr>
          <w:lang w:val="en-US"/>
        </w:rPr>
        <w:t>0.025 for analysis 2, see Supplementary Table 2). Given our data (where 0.7% of all correlations between datasets of analysis 1 were at r&gt;0.4, a further 3.5% were at r&gt;0.3 and another 13.8% at r&gt;0.2), we estimate that power was more than adequate to find an existing significant effect.</w:t>
      </w:r>
    </w:p>
    <w:p w14:paraId="59663D64" w14:textId="77777777" w:rsidR="00743094" w:rsidRDefault="00743094" w:rsidP="002F57D8">
      <w:pPr>
        <w:rPr>
          <w:lang w:val="en-US"/>
        </w:rPr>
      </w:pPr>
    </w:p>
    <w:p w14:paraId="424E1040" w14:textId="77777777" w:rsidR="00743094" w:rsidRDefault="00743094" w:rsidP="002F57D8">
      <w:pPr>
        <w:rPr>
          <w:lang w:val="en-US"/>
        </w:rPr>
      </w:pPr>
    </w:p>
    <w:p w14:paraId="47D248CE" w14:textId="77777777" w:rsidR="00743094" w:rsidRPr="000172CE" w:rsidRDefault="00743094" w:rsidP="002F57D8">
      <w:pPr>
        <w:rPr>
          <w:lang w:val="en-US"/>
        </w:rPr>
      </w:pPr>
      <w:r w:rsidRPr="000172CE">
        <w:rPr>
          <w:lang w:val="en-US"/>
        </w:rPr>
        <w:lastRenderedPageBreak/>
        <w:t>Supplementary Table 2. Power analysis following Monte Carlo style simulation.</w:t>
      </w:r>
    </w:p>
    <w:tbl>
      <w:tblPr>
        <w:tblStyle w:val="GridTable5Dark"/>
        <w:tblW w:w="0" w:type="auto"/>
        <w:tblLook w:val="04A0" w:firstRow="1" w:lastRow="0" w:firstColumn="1" w:lastColumn="0" w:noHBand="0" w:noVBand="1"/>
      </w:tblPr>
      <w:tblGrid>
        <w:gridCol w:w="2080"/>
        <w:gridCol w:w="718"/>
        <w:gridCol w:w="718"/>
        <w:gridCol w:w="718"/>
        <w:gridCol w:w="718"/>
        <w:gridCol w:w="718"/>
        <w:gridCol w:w="718"/>
        <w:gridCol w:w="718"/>
        <w:gridCol w:w="718"/>
        <w:gridCol w:w="718"/>
      </w:tblGrid>
      <w:tr w:rsidR="00743094" w:rsidRPr="000172CE" w14:paraId="0740C990" w14:textId="77777777" w:rsidTr="00BF3C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93FF3B4" w14:textId="77777777" w:rsidR="00743094" w:rsidRPr="000172CE" w:rsidRDefault="00743094" w:rsidP="00BF3C61">
            <w:pPr>
              <w:jc w:val="center"/>
              <w:rPr>
                <w:b w:val="0"/>
                <w:bCs w:val="0"/>
                <w:lang w:val="en-US"/>
              </w:rPr>
            </w:pPr>
            <w:r w:rsidRPr="000172CE">
              <w:rPr>
                <w:lang w:val="en-US"/>
              </w:rPr>
              <w:t xml:space="preserve">Percent </w:t>
            </w:r>
          </w:p>
          <w:p w14:paraId="55753DAB" w14:textId="77777777" w:rsidR="00743094" w:rsidRPr="000172CE" w:rsidRDefault="00743094" w:rsidP="00BF3C61">
            <w:pPr>
              <w:jc w:val="center"/>
              <w:rPr>
                <w:b w:val="0"/>
                <w:bCs w:val="0"/>
                <w:lang w:val="en-US"/>
              </w:rPr>
            </w:pPr>
            <w:r w:rsidRPr="000172CE">
              <w:rPr>
                <w:lang w:val="en-US"/>
              </w:rPr>
              <w:t>r&gt;0.2</w:t>
            </w:r>
          </w:p>
          <w:p w14:paraId="0DCBBDF0" w14:textId="77777777" w:rsidR="00743094" w:rsidRPr="000172CE" w:rsidRDefault="00743094" w:rsidP="00BF3C61">
            <w:pPr>
              <w:jc w:val="center"/>
              <w:rPr>
                <w:b w:val="0"/>
                <w:bCs w:val="0"/>
                <w:lang w:val="en-US"/>
              </w:rPr>
            </w:pPr>
            <w:r w:rsidRPr="000172CE">
              <w:rPr>
                <w:lang w:val="en-US"/>
              </w:rPr>
              <w:t>r&gt;0.3</w:t>
            </w:r>
          </w:p>
          <w:p w14:paraId="5C425A7B" w14:textId="77777777" w:rsidR="00743094" w:rsidRPr="000172CE" w:rsidRDefault="00743094" w:rsidP="00BF3C61">
            <w:pPr>
              <w:jc w:val="center"/>
              <w:rPr>
                <w:lang w:val="en-US"/>
              </w:rPr>
            </w:pPr>
            <w:r w:rsidRPr="000172CE">
              <w:rPr>
                <w:lang w:val="en-US"/>
              </w:rPr>
              <w:t>r&gt;0.4</w:t>
            </w:r>
          </w:p>
        </w:tc>
        <w:tc>
          <w:tcPr>
            <w:tcW w:w="0" w:type="auto"/>
            <w:vAlign w:val="center"/>
          </w:tcPr>
          <w:p w14:paraId="789606A8"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sidRPr="000172CE">
              <w:rPr>
                <w:lang w:val="en-US"/>
              </w:rPr>
              <w:t>0</w:t>
            </w:r>
          </w:p>
          <w:p w14:paraId="2E8A6367"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sidRPr="000172CE">
              <w:rPr>
                <w:lang w:val="en-US"/>
              </w:rPr>
              <w:t>0</w:t>
            </w:r>
          </w:p>
          <w:p w14:paraId="0E143060"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lang w:val="en-US"/>
              </w:rPr>
            </w:pPr>
            <w:r w:rsidRPr="000172CE">
              <w:rPr>
                <w:lang w:val="en-US"/>
              </w:rPr>
              <w:t>0</w:t>
            </w:r>
          </w:p>
        </w:tc>
        <w:tc>
          <w:tcPr>
            <w:tcW w:w="0" w:type="auto"/>
            <w:vAlign w:val="center"/>
          </w:tcPr>
          <w:p w14:paraId="37909111"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sidRPr="000172CE">
              <w:rPr>
                <w:lang w:val="en-US"/>
              </w:rPr>
              <w:t>1.5</w:t>
            </w:r>
          </w:p>
          <w:p w14:paraId="401A09E0"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sidRPr="000172CE">
              <w:rPr>
                <w:lang w:val="en-US"/>
              </w:rPr>
              <w:t>0.4</w:t>
            </w:r>
          </w:p>
          <w:p w14:paraId="41F9A1E7"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sidRPr="000172CE">
              <w:rPr>
                <w:lang w:val="en-US"/>
              </w:rPr>
              <w:t>0.1</w:t>
            </w:r>
          </w:p>
        </w:tc>
        <w:tc>
          <w:tcPr>
            <w:tcW w:w="0" w:type="auto"/>
            <w:vAlign w:val="center"/>
          </w:tcPr>
          <w:p w14:paraId="20C4F85B"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lang w:val="en-US"/>
              </w:rPr>
            </w:pPr>
            <w:r w:rsidRPr="000172CE">
              <w:rPr>
                <w:lang w:val="en-US"/>
              </w:rPr>
              <w:t>3</w:t>
            </w:r>
          </w:p>
          <w:p w14:paraId="3F7881F1"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lang w:val="en-US"/>
              </w:rPr>
            </w:pPr>
            <w:r w:rsidRPr="000172CE">
              <w:rPr>
                <w:lang w:val="en-US"/>
              </w:rPr>
              <w:t>0.8</w:t>
            </w:r>
          </w:p>
          <w:p w14:paraId="0D1DCDF3"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lang w:val="en-US"/>
              </w:rPr>
            </w:pPr>
            <w:r w:rsidRPr="000172CE">
              <w:rPr>
                <w:lang w:val="en-US"/>
              </w:rPr>
              <w:t>0.2</w:t>
            </w:r>
          </w:p>
        </w:tc>
        <w:tc>
          <w:tcPr>
            <w:tcW w:w="0" w:type="auto"/>
            <w:vAlign w:val="center"/>
          </w:tcPr>
          <w:p w14:paraId="4B729D1F"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lang w:val="en-US"/>
              </w:rPr>
            </w:pPr>
            <w:r w:rsidRPr="000172CE">
              <w:rPr>
                <w:lang w:val="en-US"/>
              </w:rPr>
              <w:t>4.5</w:t>
            </w:r>
          </w:p>
          <w:p w14:paraId="070290CC"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lang w:val="en-US"/>
              </w:rPr>
            </w:pPr>
            <w:r w:rsidRPr="000172CE">
              <w:rPr>
                <w:lang w:val="en-US"/>
              </w:rPr>
              <w:t>1.2</w:t>
            </w:r>
          </w:p>
          <w:p w14:paraId="0879901E"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lang w:val="en-US"/>
              </w:rPr>
            </w:pPr>
            <w:r w:rsidRPr="000172CE">
              <w:rPr>
                <w:lang w:val="en-US"/>
              </w:rPr>
              <w:t>0.3</w:t>
            </w:r>
          </w:p>
        </w:tc>
        <w:tc>
          <w:tcPr>
            <w:tcW w:w="0" w:type="auto"/>
            <w:vAlign w:val="center"/>
          </w:tcPr>
          <w:p w14:paraId="3A9A969B"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lang w:val="en-US"/>
              </w:rPr>
            </w:pPr>
            <w:r w:rsidRPr="000172CE">
              <w:rPr>
                <w:lang w:val="en-US"/>
              </w:rPr>
              <w:t>6</w:t>
            </w:r>
          </w:p>
          <w:p w14:paraId="57908BA1"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lang w:val="en-US"/>
              </w:rPr>
            </w:pPr>
            <w:r w:rsidRPr="000172CE">
              <w:rPr>
                <w:lang w:val="en-US"/>
              </w:rPr>
              <w:t>1.6</w:t>
            </w:r>
          </w:p>
          <w:p w14:paraId="5F4978BA"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lang w:val="en-US"/>
              </w:rPr>
            </w:pPr>
            <w:r w:rsidRPr="000172CE">
              <w:rPr>
                <w:lang w:val="en-US"/>
              </w:rPr>
              <w:t>0.4</w:t>
            </w:r>
          </w:p>
        </w:tc>
        <w:tc>
          <w:tcPr>
            <w:tcW w:w="0" w:type="auto"/>
            <w:vAlign w:val="center"/>
          </w:tcPr>
          <w:p w14:paraId="20A95E39"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sidRPr="000172CE">
              <w:rPr>
                <w:lang w:val="en-US"/>
              </w:rPr>
              <w:t>7.5</w:t>
            </w:r>
          </w:p>
          <w:p w14:paraId="1C9084B4"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sidRPr="000172CE">
              <w:rPr>
                <w:lang w:val="en-US"/>
              </w:rPr>
              <w:t>2.0</w:t>
            </w:r>
          </w:p>
          <w:p w14:paraId="6F3FB89E"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lang w:val="en-US"/>
              </w:rPr>
            </w:pPr>
            <w:r w:rsidRPr="000172CE">
              <w:rPr>
                <w:lang w:val="en-US"/>
              </w:rPr>
              <w:t>0.5</w:t>
            </w:r>
          </w:p>
        </w:tc>
        <w:tc>
          <w:tcPr>
            <w:tcW w:w="0" w:type="auto"/>
            <w:vAlign w:val="center"/>
          </w:tcPr>
          <w:p w14:paraId="7A9A6D52"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sidRPr="000172CE">
              <w:rPr>
                <w:lang w:val="en-US"/>
              </w:rPr>
              <w:t>9</w:t>
            </w:r>
          </w:p>
          <w:p w14:paraId="1160E099"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sidRPr="000172CE">
              <w:rPr>
                <w:lang w:val="en-US"/>
              </w:rPr>
              <w:t>2.4</w:t>
            </w:r>
          </w:p>
          <w:p w14:paraId="4C950028"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lang w:val="en-US"/>
              </w:rPr>
            </w:pPr>
            <w:r w:rsidRPr="000172CE">
              <w:rPr>
                <w:lang w:val="en-US"/>
              </w:rPr>
              <w:t>0.6</w:t>
            </w:r>
          </w:p>
        </w:tc>
        <w:tc>
          <w:tcPr>
            <w:tcW w:w="0" w:type="auto"/>
            <w:vAlign w:val="center"/>
          </w:tcPr>
          <w:p w14:paraId="0B33EFAD"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sidRPr="000172CE">
              <w:rPr>
                <w:lang w:val="en-US"/>
              </w:rPr>
              <w:t>10.5</w:t>
            </w:r>
          </w:p>
          <w:p w14:paraId="627E7DF6"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sidRPr="000172CE">
              <w:rPr>
                <w:b w:val="0"/>
                <w:bCs w:val="0"/>
                <w:lang w:val="en-US"/>
              </w:rPr>
              <w:t>2.8</w:t>
            </w:r>
          </w:p>
          <w:p w14:paraId="29B33676"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lang w:val="en-US"/>
              </w:rPr>
            </w:pPr>
            <w:r w:rsidRPr="000172CE">
              <w:rPr>
                <w:lang w:val="en-US"/>
              </w:rPr>
              <w:t>0.7</w:t>
            </w:r>
          </w:p>
        </w:tc>
        <w:tc>
          <w:tcPr>
            <w:tcW w:w="0" w:type="auto"/>
            <w:vAlign w:val="center"/>
          </w:tcPr>
          <w:p w14:paraId="5B3D1C84"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sidRPr="000172CE">
              <w:rPr>
                <w:lang w:val="en-US"/>
              </w:rPr>
              <w:t>12</w:t>
            </w:r>
          </w:p>
          <w:p w14:paraId="527BD103"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sidRPr="000172CE">
              <w:rPr>
                <w:lang w:val="en-US"/>
              </w:rPr>
              <w:t>3.2</w:t>
            </w:r>
          </w:p>
          <w:p w14:paraId="730E50DB" w14:textId="77777777" w:rsidR="00743094" w:rsidRPr="000172CE" w:rsidRDefault="00743094" w:rsidP="00BF3C61">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sidRPr="000172CE">
              <w:rPr>
                <w:lang w:val="en-US"/>
              </w:rPr>
              <w:t>0.8</w:t>
            </w:r>
          </w:p>
        </w:tc>
      </w:tr>
      <w:tr w:rsidR="00743094" w:rsidRPr="000172CE" w14:paraId="681710D2" w14:textId="77777777" w:rsidTr="00BF3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815148" w14:textId="77777777" w:rsidR="00743094" w:rsidRPr="000172CE" w:rsidRDefault="00743094" w:rsidP="00BF3C61">
            <w:pPr>
              <w:rPr>
                <w:b w:val="0"/>
                <w:bCs w:val="0"/>
                <w:lang w:val="en-US"/>
              </w:rPr>
            </w:pPr>
            <w:r w:rsidRPr="000172CE">
              <w:rPr>
                <w:lang w:val="en-US"/>
              </w:rPr>
              <w:t>Analysis 1</w:t>
            </w:r>
          </w:p>
          <w:p w14:paraId="0B182B4C" w14:textId="77777777" w:rsidR="00743094" w:rsidRPr="000172CE" w:rsidRDefault="00743094" w:rsidP="00BF3C61">
            <w:pPr>
              <w:rPr>
                <w:lang w:val="en-US"/>
              </w:rPr>
            </w:pPr>
            <w:r w:rsidRPr="000172CE">
              <w:rPr>
                <w:lang w:val="en-US"/>
              </w:rPr>
              <w:t xml:space="preserve">Percent Significant </w:t>
            </w:r>
          </w:p>
        </w:tc>
        <w:tc>
          <w:tcPr>
            <w:tcW w:w="0" w:type="auto"/>
            <w:vAlign w:val="center"/>
          </w:tcPr>
          <w:p w14:paraId="3941CAEA" w14:textId="77777777" w:rsidR="00743094" w:rsidRPr="000172CE" w:rsidRDefault="00743094" w:rsidP="00BF3C61">
            <w:pPr>
              <w:jc w:val="center"/>
              <w:cnfStyle w:val="000000100000" w:firstRow="0" w:lastRow="0" w:firstColumn="0" w:lastColumn="0" w:oddVBand="0" w:evenVBand="0" w:oddHBand="1" w:evenHBand="0" w:firstRowFirstColumn="0" w:firstRowLastColumn="0" w:lastRowFirstColumn="0" w:lastRowLastColumn="0"/>
              <w:rPr>
                <w:lang w:val="en-US"/>
              </w:rPr>
            </w:pPr>
            <w:r w:rsidRPr="000172CE">
              <w:rPr>
                <w:lang w:val="en-US"/>
              </w:rPr>
              <w:t>7.1</w:t>
            </w:r>
          </w:p>
        </w:tc>
        <w:tc>
          <w:tcPr>
            <w:tcW w:w="0" w:type="auto"/>
            <w:vAlign w:val="center"/>
          </w:tcPr>
          <w:p w14:paraId="2C1257B7" w14:textId="77777777" w:rsidR="00743094" w:rsidRPr="000172CE" w:rsidRDefault="00743094" w:rsidP="00BF3C61">
            <w:pPr>
              <w:jc w:val="center"/>
              <w:cnfStyle w:val="000000100000" w:firstRow="0" w:lastRow="0" w:firstColumn="0" w:lastColumn="0" w:oddVBand="0" w:evenVBand="0" w:oddHBand="1" w:evenHBand="0" w:firstRowFirstColumn="0" w:firstRowLastColumn="0" w:lastRowFirstColumn="0" w:lastRowLastColumn="0"/>
              <w:rPr>
                <w:lang w:val="en-US"/>
              </w:rPr>
            </w:pPr>
            <w:r w:rsidRPr="000172CE">
              <w:rPr>
                <w:lang w:val="en-US"/>
              </w:rPr>
              <w:t>15.9</w:t>
            </w:r>
          </w:p>
        </w:tc>
        <w:tc>
          <w:tcPr>
            <w:tcW w:w="0" w:type="auto"/>
            <w:vAlign w:val="center"/>
          </w:tcPr>
          <w:p w14:paraId="56BBBFC0" w14:textId="77777777" w:rsidR="00743094" w:rsidRPr="000172CE" w:rsidRDefault="00743094" w:rsidP="00BF3C61">
            <w:pPr>
              <w:jc w:val="center"/>
              <w:cnfStyle w:val="000000100000" w:firstRow="0" w:lastRow="0" w:firstColumn="0" w:lastColumn="0" w:oddVBand="0" w:evenVBand="0" w:oddHBand="1" w:evenHBand="0" w:firstRowFirstColumn="0" w:firstRowLastColumn="0" w:lastRowFirstColumn="0" w:lastRowLastColumn="0"/>
              <w:rPr>
                <w:lang w:val="en-US"/>
              </w:rPr>
            </w:pPr>
            <w:r w:rsidRPr="000172CE">
              <w:rPr>
                <w:lang w:val="en-US"/>
              </w:rPr>
              <w:t>27.6</w:t>
            </w:r>
          </w:p>
        </w:tc>
        <w:tc>
          <w:tcPr>
            <w:tcW w:w="0" w:type="auto"/>
            <w:vAlign w:val="center"/>
          </w:tcPr>
          <w:p w14:paraId="7BB81265" w14:textId="77777777" w:rsidR="00743094" w:rsidRPr="000172CE" w:rsidRDefault="00743094" w:rsidP="00BF3C61">
            <w:pPr>
              <w:jc w:val="center"/>
              <w:cnfStyle w:val="000000100000" w:firstRow="0" w:lastRow="0" w:firstColumn="0" w:lastColumn="0" w:oddVBand="0" w:evenVBand="0" w:oddHBand="1" w:evenHBand="0" w:firstRowFirstColumn="0" w:firstRowLastColumn="0" w:lastRowFirstColumn="0" w:lastRowLastColumn="0"/>
              <w:rPr>
                <w:lang w:val="en-US"/>
              </w:rPr>
            </w:pPr>
            <w:r w:rsidRPr="000172CE">
              <w:rPr>
                <w:lang w:val="en-US"/>
              </w:rPr>
              <w:t>42.1</w:t>
            </w:r>
          </w:p>
        </w:tc>
        <w:tc>
          <w:tcPr>
            <w:tcW w:w="0" w:type="auto"/>
            <w:vAlign w:val="center"/>
          </w:tcPr>
          <w:p w14:paraId="5FA6B13D" w14:textId="77777777" w:rsidR="00743094" w:rsidRPr="000172CE" w:rsidRDefault="00743094" w:rsidP="00BF3C61">
            <w:pPr>
              <w:jc w:val="center"/>
              <w:cnfStyle w:val="000000100000" w:firstRow="0" w:lastRow="0" w:firstColumn="0" w:lastColumn="0" w:oddVBand="0" w:evenVBand="0" w:oddHBand="1" w:evenHBand="0" w:firstRowFirstColumn="0" w:firstRowLastColumn="0" w:lastRowFirstColumn="0" w:lastRowLastColumn="0"/>
              <w:rPr>
                <w:lang w:val="en-US"/>
              </w:rPr>
            </w:pPr>
            <w:r w:rsidRPr="000172CE">
              <w:rPr>
                <w:lang w:val="en-US"/>
              </w:rPr>
              <w:t>60.8</w:t>
            </w:r>
          </w:p>
        </w:tc>
        <w:tc>
          <w:tcPr>
            <w:tcW w:w="0" w:type="auto"/>
            <w:vAlign w:val="center"/>
          </w:tcPr>
          <w:p w14:paraId="18EA5771" w14:textId="77777777" w:rsidR="00743094" w:rsidRPr="000172CE" w:rsidRDefault="00743094" w:rsidP="00BF3C61">
            <w:pPr>
              <w:jc w:val="center"/>
              <w:cnfStyle w:val="000000100000" w:firstRow="0" w:lastRow="0" w:firstColumn="0" w:lastColumn="0" w:oddVBand="0" w:evenVBand="0" w:oddHBand="1" w:evenHBand="0" w:firstRowFirstColumn="0" w:firstRowLastColumn="0" w:lastRowFirstColumn="0" w:lastRowLastColumn="0"/>
              <w:rPr>
                <w:lang w:val="en-US"/>
              </w:rPr>
            </w:pPr>
            <w:r w:rsidRPr="000172CE">
              <w:rPr>
                <w:lang w:val="en-US"/>
              </w:rPr>
              <w:t>72.1</w:t>
            </w:r>
          </w:p>
        </w:tc>
        <w:tc>
          <w:tcPr>
            <w:tcW w:w="0" w:type="auto"/>
            <w:vAlign w:val="center"/>
          </w:tcPr>
          <w:p w14:paraId="71293B33" w14:textId="77777777" w:rsidR="00743094" w:rsidRPr="000172CE" w:rsidRDefault="00743094" w:rsidP="00BF3C61">
            <w:pPr>
              <w:jc w:val="center"/>
              <w:cnfStyle w:val="000000100000" w:firstRow="0" w:lastRow="0" w:firstColumn="0" w:lastColumn="0" w:oddVBand="0" w:evenVBand="0" w:oddHBand="1" w:evenHBand="0" w:firstRowFirstColumn="0" w:firstRowLastColumn="0" w:lastRowFirstColumn="0" w:lastRowLastColumn="0"/>
              <w:rPr>
                <w:lang w:val="en-US"/>
              </w:rPr>
            </w:pPr>
            <w:r w:rsidRPr="000172CE">
              <w:rPr>
                <w:lang w:val="en-US"/>
              </w:rPr>
              <w:t>81.9</w:t>
            </w:r>
          </w:p>
        </w:tc>
        <w:tc>
          <w:tcPr>
            <w:tcW w:w="0" w:type="auto"/>
            <w:vAlign w:val="center"/>
          </w:tcPr>
          <w:p w14:paraId="55D119B9" w14:textId="77777777" w:rsidR="00743094" w:rsidRPr="000172CE" w:rsidRDefault="00743094" w:rsidP="00BF3C61">
            <w:pPr>
              <w:jc w:val="center"/>
              <w:cnfStyle w:val="000000100000" w:firstRow="0" w:lastRow="0" w:firstColumn="0" w:lastColumn="0" w:oddVBand="0" w:evenVBand="0" w:oddHBand="1" w:evenHBand="0" w:firstRowFirstColumn="0" w:firstRowLastColumn="0" w:lastRowFirstColumn="0" w:lastRowLastColumn="0"/>
              <w:rPr>
                <w:lang w:val="en-US"/>
              </w:rPr>
            </w:pPr>
            <w:r w:rsidRPr="000172CE">
              <w:rPr>
                <w:lang w:val="en-US"/>
              </w:rPr>
              <w:t>91.6</w:t>
            </w:r>
          </w:p>
        </w:tc>
        <w:tc>
          <w:tcPr>
            <w:tcW w:w="0" w:type="auto"/>
            <w:vAlign w:val="center"/>
          </w:tcPr>
          <w:p w14:paraId="51D4B455" w14:textId="77777777" w:rsidR="00743094" w:rsidRPr="000172CE" w:rsidRDefault="00743094" w:rsidP="00BF3C61">
            <w:pPr>
              <w:jc w:val="center"/>
              <w:cnfStyle w:val="000000100000" w:firstRow="0" w:lastRow="0" w:firstColumn="0" w:lastColumn="0" w:oddVBand="0" w:evenVBand="0" w:oddHBand="1" w:evenHBand="0" w:firstRowFirstColumn="0" w:firstRowLastColumn="0" w:lastRowFirstColumn="0" w:lastRowLastColumn="0"/>
              <w:rPr>
                <w:lang w:val="en-US"/>
              </w:rPr>
            </w:pPr>
            <w:r w:rsidRPr="000172CE">
              <w:rPr>
                <w:lang w:val="en-US"/>
              </w:rPr>
              <w:t>94.4</w:t>
            </w:r>
          </w:p>
        </w:tc>
      </w:tr>
      <w:tr w:rsidR="00743094" w:rsidRPr="000172CE" w14:paraId="3F65EF72" w14:textId="77777777" w:rsidTr="00BF3C61">
        <w:tc>
          <w:tcPr>
            <w:cnfStyle w:val="001000000000" w:firstRow="0" w:lastRow="0" w:firstColumn="1" w:lastColumn="0" w:oddVBand="0" w:evenVBand="0" w:oddHBand="0" w:evenHBand="0" w:firstRowFirstColumn="0" w:firstRowLastColumn="0" w:lastRowFirstColumn="0" w:lastRowLastColumn="0"/>
            <w:tcW w:w="0" w:type="auto"/>
          </w:tcPr>
          <w:p w14:paraId="57ED305D" w14:textId="77777777" w:rsidR="00743094" w:rsidRPr="000172CE" w:rsidRDefault="00743094" w:rsidP="00BF3C61">
            <w:pPr>
              <w:rPr>
                <w:lang w:val="en-US"/>
              </w:rPr>
            </w:pPr>
            <w:r w:rsidRPr="000172CE">
              <w:rPr>
                <w:lang w:val="en-US"/>
              </w:rPr>
              <w:t>Average significance</w:t>
            </w:r>
          </w:p>
        </w:tc>
        <w:tc>
          <w:tcPr>
            <w:tcW w:w="0" w:type="auto"/>
            <w:vAlign w:val="center"/>
          </w:tcPr>
          <w:p w14:paraId="41654517" w14:textId="77777777" w:rsidR="00743094" w:rsidRPr="000172CE" w:rsidRDefault="00743094" w:rsidP="00BF3C61">
            <w:pPr>
              <w:jc w:val="center"/>
              <w:cnfStyle w:val="000000000000" w:firstRow="0" w:lastRow="0" w:firstColumn="0" w:lastColumn="0" w:oddVBand="0" w:evenVBand="0" w:oddHBand="0" w:evenHBand="0" w:firstRowFirstColumn="0" w:firstRowLastColumn="0" w:lastRowFirstColumn="0" w:lastRowLastColumn="0"/>
              <w:rPr>
                <w:lang w:val="en-US"/>
              </w:rPr>
            </w:pPr>
            <w:r w:rsidRPr="000172CE">
              <w:rPr>
                <w:lang w:val="en-US"/>
              </w:rPr>
              <w:t>0.426</w:t>
            </w:r>
          </w:p>
        </w:tc>
        <w:tc>
          <w:tcPr>
            <w:tcW w:w="0" w:type="auto"/>
            <w:vAlign w:val="center"/>
          </w:tcPr>
          <w:p w14:paraId="65184D02" w14:textId="77777777" w:rsidR="00743094" w:rsidRPr="000172CE" w:rsidRDefault="00743094" w:rsidP="00BF3C61">
            <w:pPr>
              <w:jc w:val="center"/>
              <w:cnfStyle w:val="000000000000" w:firstRow="0" w:lastRow="0" w:firstColumn="0" w:lastColumn="0" w:oddVBand="0" w:evenVBand="0" w:oddHBand="0" w:evenHBand="0" w:firstRowFirstColumn="0" w:firstRowLastColumn="0" w:lastRowFirstColumn="0" w:lastRowLastColumn="0"/>
              <w:rPr>
                <w:lang w:val="en-US"/>
              </w:rPr>
            </w:pPr>
            <w:r w:rsidRPr="000172CE">
              <w:rPr>
                <w:lang w:val="en-US"/>
              </w:rPr>
              <w:t>0.311</w:t>
            </w:r>
          </w:p>
        </w:tc>
        <w:tc>
          <w:tcPr>
            <w:tcW w:w="0" w:type="auto"/>
            <w:vAlign w:val="center"/>
          </w:tcPr>
          <w:p w14:paraId="704F34C5" w14:textId="77777777" w:rsidR="00743094" w:rsidRPr="000172CE" w:rsidRDefault="00743094" w:rsidP="00BF3C61">
            <w:pPr>
              <w:jc w:val="center"/>
              <w:cnfStyle w:val="000000000000" w:firstRow="0" w:lastRow="0" w:firstColumn="0" w:lastColumn="0" w:oddVBand="0" w:evenVBand="0" w:oddHBand="0" w:evenHBand="0" w:firstRowFirstColumn="0" w:firstRowLastColumn="0" w:lastRowFirstColumn="0" w:lastRowLastColumn="0"/>
              <w:rPr>
                <w:lang w:val="en-US"/>
              </w:rPr>
            </w:pPr>
            <w:r w:rsidRPr="000172CE">
              <w:rPr>
                <w:lang w:val="en-US"/>
              </w:rPr>
              <w:t>0.223</w:t>
            </w:r>
          </w:p>
        </w:tc>
        <w:tc>
          <w:tcPr>
            <w:tcW w:w="0" w:type="auto"/>
            <w:vAlign w:val="center"/>
          </w:tcPr>
          <w:p w14:paraId="29A84AC0" w14:textId="77777777" w:rsidR="00743094" w:rsidRPr="000172CE" w:rsidRDefault="00743094" w:rsidP="00BF3C61">
            <w:pPr>
              <w:jc w:val="center"/>
              <w:cnfStyle w:val="000000000000" w:firstRow="0" w:lastRow="0" w:firstColumn="0" w:lastColumn="0" w:oddVBand="0" w:evenVBand="0" w:oddHBand="0" w:evenHBand="0" w:firstRowFirstColumn="0" w:firstRowLastColumn="0" w:lastRowFirstColumn="0" w:lastRowLastColumn="0"/>
              <w:rPr>
                <w:lang w:val="en-US"/>
              </w:rPr>
            </w:pPr>
            <w:r w:rsidRPr="000172CE">
              <w:rPr>
                <w:lang w:val="en-US"/>
              </w:rPr>
              <w:t>0.147</w:t>
            </w:r>
          </w:p>
        </w:tc>
        <w:tc>
          <w:tcPr>
            <w:tcW w:w="0" w:type="auto"/>
            <w:vAlign w:val="center"/>
          </w:tcPr>
          <w:p w14:paraId="384871DB" w14:textId="77777777" w:rsidR="00743094" w:rsidRPr="000172CE" w:rsidRDefault="00743094" w:rsidP="00BF3C61">
            <w:pPr>
              <w:jc w:val="center"/>
              <w:cnfStyle w:val="000000000000" w:firstRow="0" w:lastRow="0" w:firstColumn="0" w:lastColumn="0" w:oddVBand="0" w:evenVBand="0" w:oddHBand="0" w:evenHBand="0" w:firstRowFirstColumn="0" w:firstRowLastColumn="0" w:lastRowFirstColumn="0" w:lastRowLastColumn="0"/>
              <w:rPr>
                <w:lang w:val="en-US"/>
              </w:rPr>
            </w:pPr>
            <w:r w:rsidRPr="000172CE">
              <w:rPr>
                <w:lang w:val="en-US"/>
              </w:rPr>
              <w:t>0.088</w:t>
            </w:r>
          </w:p>
        </w:tc>
        <w:tc>
          <w:tcPr>
            <w:tcW w:w="0" w:type="auto"/>
            <w:vAlign w:val="center"/>
          </w:tcPr>
          <w:p w14:paraId="4E44AAAF" w14:textId="77777777" w:rsidR="00743094" w:rsidRPr="000172CE" w:rsidRDefault="00743094" w:rsidP="00BF3C61">
            <w:pPr>
              <w:jc w:val="center"/>
              <w:cnfStyle w:val="000000000000" w:firstRow="0" w:lastRow="0" w:firstColumn="0" w:lastColumn="0" w:oddVBand="0" w:evenVBand="0" w:oddHBand="0" w:evenHBand="0" w:firstRowFirstColumn="0" w:firstRowLastColumn="0" w:lastRowFirstColumn="0" w:lastRowLastColumn="0"/>
              <w:rPr>
                <w:lang w:val="en-US"/>
              </w:rPr>
            </w:pPr>
            <w:r w:rsidRPr="000172CE">
              <w:rPr>
                <w:lang w:val="en-US"/>
              </w:rPr>
              <w:t>0.060</w:t>
            </w:r>
          </w:p>
        </w:tc>
        <w:tc>
          <w:tcPr>
            <w:tcW w:w="0" w:type="auto"/>
            <w:vAlign w:val="center"/>
          </w:tcPr>
          <w:p w14:paraId="3B54EA65" w14:textId="77777777" w:rsidR="00743094" w:rsidRPr="000172CE" w:rsidRDefault="00743094" w:rsidP="00BF3C61">
            <w:pPr>
              <w:jc w:val="center"/>
              <w:cnfStyle w:val="000000000000" w:firstRow="0" w:lastRow="0" w:firstColumn="0" w:lastColumn="0" w:oddVBand="0" w:evenVBand="0" w:oddHBand="0" w:evenHBand="0" w:firstRowFirstColumn="0" w:firstRowLastColumn="0" w:lastRowFirstColumn="0" w:lastRowLastColumn="0"/>
              <w:rPr>
                <w:lang w:val="en-US"/>
              </w:rPr>
            </w:pPr>
            <w:r w:rsidRPr="000172CE">
              <w:rPr>
                <w:lang w:val="en-US"/>
              </w:rPr>
              <w:t>0.033</w:t>
            </w:r>
          </w:p>
        </w:tc>
        <w:tc>
          <w:tcPr>
            <w:tcW w:w="0" w:type="auto"/>
            <w:vAlign w:val="center"/>
          </w:tcPr>
          <w:p w14:paraId="43B0F0F8" w14:textId="77777777" w:rsidR="00743094" w:rsidRPr="000172CE" w:rsidRDefault="00743094" w:rsidP="00BF3C61">
            <w:pPr>
              <w:jc w:val="center"/>
              <w:cnfStyle w:val="000000000000" w:firstRow="0" w:lastRow="0" w:firstColumn="0" w:lastColumn="0" w:oddVBand="0" w:evenVBand="0" w:oddHBand="0" w:evenHBand="0" w:firstRowFirstColumn="0" w:firstRowLastColumn="0" w:lastRowFirstColumn="0" w:lastRowLastColumn="0"/>
              <w:rPr>
                <w:lang w:val="en-US"/>
              </w:rPr>
            </w:pPr>
            <w:r w:rsidRPr="000172CE">
              <w:rPr>
                <w:lang w:val="en-US"/>
              </w:rPr>
              <w:t>0.016</w:t>
            </w:r>
          </w:p>
        </w:tc>
        <w:tc>
          <w:tcPr>
            <w:tcW w:w="0" w:type="auto"/>
            <w:vAlign w:val="center"/>
          </w:tcPr>
          <w:p w14:paraId="7619307C" w14:textId="77777777" w:rsidR="00743094" w:rsidRPr="000172CE" w:rsidRDefault="00743094" w:rsidP="00BF3C61">
            <w:pPr>
              <w:jc w:val="center"/>
              <w:cnfStyle w:val="000000000000" w:firstRow="0" w:lastRow="0" w:firstColumn="0" w:lastColumn="0" w:oddVBand="0" w:evenVBand="0" w:oddHBand="0" w:evenHBand="0" w:firstRowFirstColumn="0" w:firstRowLastColumn="0" w:lastRowFirstColumn="0" w:lastRowLastColumn="0"/>
              <w:rPr>
                <w:lang w:val="en-US"/>
              </w:rPr>
            </w:pPr>
            <w:r w:rsidRPr="000172CE">
              <w:rPr>
                <w:lang w:val="en-US"/>
              </w:rPr>
              <w:t>0.011</w:t>
            </w:r>
          </w:p>
        </w:tc>
      </w:tr>
      <w:tr w:rsidR="00743094" w:rsidRPr="000172CE" w14:paraId="42AEC023" w14:textId="77777777" w:rsidTr="00BF3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9FBF8E" w14:textId="77777777" w:rsidR="00743094" w:rsidRPr="000172CE" w:rsidRDefault="00743094" w:rsidP="00BF3C61">
            <w:pPr>
              <w:rPr>
                <w:b w:val="0"/>
                <w:bCs w:val="0"/>
                <w:lang w:val="en-US"/>
              </w:rPr>
            </w:pPr>
            <w:r w:rsidRPr="000172CE">
              <w:rPr>
                <w:lang w:val="en-US"/>
              </w:rPr>
              <w:t>Analysis 2</w:t>
            </w:r>
          </w:p>
          <w:p w14:paraId="3F848DF1" w14:textId="77777777" w:rsidR="00743094" w:rsidRPr="000172CE" w:rsidRDefault="00743094" w:rsidP="00BF3C61">
            <w:pPr>
              <w:rPr>
                <w:lang w:val="en-US"/>
              </w:rPr>
            </w:pPr>
            <w:r w:rsidRPr="000172CE">
              <w:rPr>
                <w:lang w:val="en-US"/>
              </w:rPr>
              <w:t xml:space="preserve">Percent Significant </w:t>
            </w:r>
          </w:p>
        </w:tc>
        <w:tc>
          <w:tcPr>
            <w:tcW w:w="0" w:type="auto"/>
            <w:vAlign w:val="center"/>
          </w:tcPr>
          <w:p w14:paraId="5B462AD8" w14:textId="77777777" w:rsidR="00743094" w:rsidRPr="000172CE" w:rsidRDefault="00743094" w:rsidP="00BF3C61">
            <w:pPr>
              <w:jc w:val="center"/>
              <w:cnfStyle w:val="000000100000" w:firstRow="0" w:lastRow="0" w:firstColumn="0" w:lastColumn="0" w:oddVBand="0" w:evenVBand="0" w:oddHBand="1" w:evenHBand="0" w:firstRowFirstColumn="0" w:firstRowLastColumn="0" w:lastRowFirstColumn="0" w:lastRowLastColumn="0"/>
              <w:rPr>
                <w:lang w:val="en-US"/>
              </w:rPr>
            </w:pPr>
            <w:r w:rsidRPr="000172CE">
              <w:rPr>
                <w:lang w:val="en-US"/>
              </w:rPr>
              <w:t>6.3</w:t>
            </w:r>
          </w:p>
        </w:tc>
        <w:tc>
          <w:tcPr>
            <w:tcW w:w="0" w:type="auto"/>
            <w:vAlign w:val="center"/>
          </w:tcPr>
          <w:p w14:paraId="2DE68792" w14:textId="77777777" w:rsidR="00743094" w:rsidRPr="000172CE" w:rsidRDefault="00743094" w:rsidP="00BF3C61">
            <w:pPr>
              <w:jc w:val="center"/>
              <w:cnfStyle w:val="000000100000" w:firstRow="0" w:lastRow="0" w:firstColumn="0" w:lastColumn="0" w:oddVBand="0" w:evenVBand="0" w:oddHBand="1" w:evenHBand="0" w:firstRowFirstColumn="0" w:firstRowLastColumn="0" w:lastRowFirstColumn="0" w:lastRowLastColumn="0"/>
              <w:rPr>
                <w:lang w:val="en-US"/>
              </w:rPr>
            </w:pPr>
            <w:r w:rsidRPr="000172CE">
              <w:rPr>
                <w:lang w:val="en-US"/>
              </w:rPr>
              <w:t>16.5</w:t>
            </w:r>
          </w:p>
        </w:tc>
        <w:tc>
          <w:tcPr>
            <w:tcW w:w="0" w:type="auto"/>
            <w:vAlign w:val="center"/>
          </w:tcPr>
          <w:p w14:paraId="7FEBC37A" w14:textId="77777777" w:rsidR="00743094" w:rsidRPr="000172CE" w:rsidRDefault="00743094" w:rsidP="00BF3C61">
            <w:pPr>
              <w:jc w:val="center"/>
              <w:cnfStyle w:val="000000100000" w:firstRow="0" w:lastRow="0" w:firstColumn="0" w:lastColumn="0" w:oddVBand="0" w:evenVBand="0" w:oddHBand="1" w:evenHBand="0" w:firstRowFirstColumn="0" w:firstRowLastColumn="0" w:lastRowFirstColumn="0" w:lastRowLastColumn="0"/>
              <w:rPr>
                <w:lang w:val="en-US"/>
              </w:rPr>
            </w:pPr>
            <w:r w:rsidRPr="000172CE">
              <w:rPr>
                <w:lang w:val="en-US"/>
              </w:rPr>
              <w:t>29.6</w:t>
            </w:r>
          </w:p>
        </w:tc>
        <w:tc>
          <w:tcPr>
            <w:tcW w:w="0" w:type="auto"/>
            <w:vAlign w:val="center"/>
          </w:tcPr>
          <w:p w14:paraId="12B71E8D" w14:textId="77777777" w:rsidR="00743094" w:rsidRPr="000172CE" w:rsidRDefault="00743094" w:rsidP="00BF3C61">
            <w:pPr>
              <w:jc w:val="center"/>
              <w:cnfStyle w:val="000000100000" w:firstRow="0" w:lastRow="0" w:firstColumn="0" w:lastColumn="0" w:oddVBand="0" w:evenVBand="0" w:oddHBand="1" w:evenHBand="0" w:firstRowFirstColumn="0" w:firstRowLastColumn="0" w:lastRowFirstColumn="0" w:lastRowLastColumn="0"/>
              <w:rPr>
                <w:lang w:val="en-US"/>
              </w:rPr>
            </w:pPr>
            <w:r w:rsidRPr="000172CE">
              <w:rPr>
                <w:lang w:val="en-US"/>
              </w:rPr>
              <w:t>46.5</w:t>
            </w:r>
          </w:p>
        </w:tc>
        <w:tc>
          <w:tcPr>
            <w:tcW w:w="0" w:type="auto"/>
            <w:vAlign w:val="center"/>
          </w:tcPr>
          <w:p w14:paraId="161BCB2F" w14:textId="77777777" w:rsidR="00743094" w:rsidRPr="000172CE" w:rsidRDefault="00743094" w:rsidP="00BF3C61">
            <w:pPr>
              <w:jc w:val="center"/>
              <w:cnfStyle w:val="000000100000" w:firstRow="0" w:lastRow="0" w:firstColumn="0" w:lastColumn="0" w:oddVBand="0" w:evenVBand="0" w:oddHBand="1" w:evenHBand="0" w:firstRowFirstColumn="0" w:firstRowLastColumn="0" w:lastRowFirstColumn="0" w:lastRowLastColumn="0"/>
              <w:rPr>
                <w:lang w:val="en-US"/>
              </w:rPr>
            </w:pPr>
            <w:r w:rsidRPr="000172CE">
              <w:rPr>
                <w:lang w:val="en-US"/>
              </w:rPr>
              <w:t>63.9</w:t>
            </w:r>
          </w:p>
        </w:tc>
        <w:tc>
          <w:tcPr>
            <w:tcW w:w="0" w:type="auto"/>
            <w:vAlign w:val="center"/>
          </w:tcPr>
          <w:p w14:paraId="434E9A3F" w14:textId="77777777" w:rsidR="00743094" w:rsidRPr="000172CE" w:rsidRDefault="00743094" w:rsidP="00BF3C61">
            <w:pPr>
              <w:jc w:val="center"/>
              <w:cnfStyle w:val="000000100000" w:firstRow="0" w:lastRow="0" w:firstColumn="0" w:lastColumn="0" w:oddVBand="0" w:evenVBand="0" w:oddHBand="1" w:evenHBand="0" w:firstRowFirstColumn="0" w:firstRowLastColumn="0" w:lastRowFirstColumn="0" w:lastRowLastColumn="0"/>
              <w:rPr>
                <w:lang w:val="en-US"/>
              </w:rPr>
            </w:pPr>
            <w:r w:rsidRPr="000172CE">
              <w:rPr>
                <w:lang w:val="en-US"/>
              </w:rPr>
              <w:t>77.4</w:t>
            </w:r>
          </w:p>
        </w:tc>
        <w:tc>
          <w:tcPr>
            <w:tcW w:w="0" w:type="auto"/>
            <w:vAlign w:val="center"/>
          </w:tcPr>
          <w:p w14:paraId="39804A5D" w14:textId="77777777" w:rsidR="00743094" w:rsidRPr="000172CE" w:rsidRDefault="00743094" w:rsidP="00BF3C61">
            <w:pPr>
              <w:jc w:val="center"/>
              <w:cnfStyle w:val="000000100000" w:firstRow="0" w:lastRow="0" w:firstColumn="0" w:lastColumn="0" w:oddVBand="0" w:evenVBand="0" w:oddHBand="1" w:evenHBand="0" w:firstRowFirstColumn="0" w:firstRowLastColumn="0" w:lastRowFirstColumn="0" w:lastRowLastColumn="0"/>
              <w:rPr>
                <w:lang w:val="en-US"/>
              </w:rPr>
            </w:pPr>
            <w:r w:rsidRPr="000172CE">
              <w:rPr>
                <w:lang w:val="en-US"/>
              </w:rPr>
              <w:t>87.7</w:t>
            </w:r>
          </w:p>
        </w:tc>
        <w:tc>
          <w:tcPr>
            <w:tcW w:w="0" w:type="auto"/>
            <w:vAlign w:val="center"/>
          </w:tcPr>
          <w:p w14:paraId="09B1A5B5" w14:textId="77777777" w:rsidR="00743094" w:rsidRPr="000172CE" w:rsidRDefault="00743094" w:rsidP="00BF3C61">
            <w:pPr>
              <w:jc w:val="center"/>
              <w:cnfStyle w:val="000000100000" w:firstRow="0" w:lastRow="0" w:firstColumn="0" w:lastColumn="0" w:oddVBand="0" w:evenVBand="0" w:oddHBand="1" w:evenHBand="0" w:firstRowFirstColumn="0" w:firstRowLastColumn="0" w:lastRowFirstColumn="0" w:lastRowLastColumn="0"/>
              <w:rPr>
                <w:lang w:val="en-US"/>
              </w:rPr>
            </w:pPr>
            <w:r w:rsidRPr="000172CE">
              <w:rPr>
                <w:lang w:val="en-US"/>
              </w:rPr>
              <w:t>90.5</w:t>
            </w:r>
          </w:p>
        </w:tc>
        <w:tc>
          <w:tcPr>
            <w:tcW w:w="0" w:type="auto"/>
            <w:vAlign w:val="center"/>
          </w:tcPr>
          <w:p w14:paraId="7F2ED503" w14:textId="77777777" w:rsidR="00743094" w:rsidRPr="000172CE" w:rsidRDefault="00743094" w:rsidP="00BF3C61">
            <w:pPr>
              <w:jc w:val="center"/>
              <w:cnfStyle w:val="000000100000" w:firstRow="0" w:lastRow="0" w:firstColumn="0" w:lastColumn="0" w:oddVBand="0" w:evenVBand="0" w:oddHBand="1" w:evenHBand="0" w:firstRowFirstColumn="0" w:firstRowLastColumn="0" w:lastRowFirstColumn="0" w:lastRowLastColumn="0"/>
              <w:rPr>
                <w:lang w:val="en-US"/>
              </w:rPr>
            </w:pPr>
            <w:r w:rsidRPr="000172CE">
              <w:rPr>
                <w:lang w:val="en-US"/>
              </w:rPr>
              <w:t>95.1</w:t>
            </w:r>
          </w:p>
        </w:tc>
      </w:tr>
      <w:tr w:rsidR="00743094" w:rsidRPr="000172CE" w14:paraId="66F762DB" w14:textId="77777777" w:rsidTr="00BF3C61">
        <w:tc>
          <w:tcPr>
            <w:cnfStyle w:val="001000000000" w:firstRow="0" w:lastRow="0" w:firstColumn="1" w:lastColumn="0" w:oddVBand="0" w:evenVBand="0" w:oddHBand="0" w:evenHBand="0" w:firstRowFirstColumn="0" w:firstRowLastColumn="0" w:lastRowFirstColumn="0" w:lastRowLastColumn="0"/>
            <w:tcW w:w="0" w:type="auto"/>
          </w:tcPr>
          <w:p w14:paraId="450DD5DB" w14:textId="77777777" w:rsidR="00743094" w:rsidRPr="000172CE" w:rsidRDefault="00743094" w:rsidP="00BF3C61">
            <w:pPr>
              <w:rPr>
                <w:lang w:val="en-US"/>
              </w:rPr>
            </w:pPr>
            <w:r w:rsidRPr="000172CE">
              <w:rPr>
                <w:lang w:val="en-US"/>
              </w:rPr>
              <w:t>Average significance</w:t>
            </w:r>
          </w:p>
        </w:tc>
        <w:tc>
          <w:tcPr>
            <w:tcW w:w="0" w:type="auto"/>
            <w:vAlign w:val="center"/>
          </w:tcPr>
          <w:p w14:paraId="3ED215EA" w14:textId="77777777" w:rsidR="00743094" w:rsidRPr="000172CE" w:rsidRDefault="00743094" w:rsidP="00BF3C61">
            <w:pPr>
              <w:jc w:val="center"/>
              <w:cnfStyle w:val="000000000000" w:firstRow="0" w:lastRow="0" w:firstColumn="0" w:lastColumn="0" w:oddVBand="0" w:evenVBand="0" w:oddHBand="0" w:evenHBand="0" w:firstRowFirstColumn="0" w:firstRowLastColumn="0" w:lastRowFirstColumn="0" w:lastRowLastColumn="0"/>
              <w:rPr>
                <w:lang w:val="en-US"/>
              </w:rPr>
            </w:pPr>
            <w:r w:rsidRPr="000172CE">
              <w:rPr>
                <w:lang w:val="en-US"/>
              </w:rPr>
              <w:t>0.430</w:t>
            </w:r>
          </w:p>
        </w:tc>
        <w:tc>
          <w:tcPr>
            <w:tcW w:w="0" w:type="auto"/>
            <w:vAlign w:val="center"/>
          </w:tcPr>
          <w:p w14:paraId="1C9F864E" w14:textId="77777777" w:rsidR="00743094" w:rsidRPr="000172CE" w:rsidRDefault="00743094" w:rsidP="00BF3C61">
            <w:pPr>
              <w:jc w:val="center"/>
              <w:cnfStyle w:val="000000000000" w:firstRow="0" w:lastRow="0" w:firstColumn="0" w:lastColumn="0" w:oddVBand="0" w:evenVBand="0" w:oddHBand="0" w:evenHBand="0" w:firstRowFirstColumn="0" w:firstRowLastColumn="0" w:lastRowFirstColumn="0" w:lastRowLastColumn="0"/>
              <w:rPr>
                <w:lang w:val="en-US"/>
              </w:rPr>
            </w:pPr>
            <w:r w:rsidRPr="000172CE">
              <w:rPr>
                <w:lang w:val="en-US"/>
              </w:rPr>
              <w:t>0.311</w:t>
            </w:r>
          </w:p>
        </w:tc>
        <w:tc>
          <w:tcPr>
            <w:tcW w:w="0" w:type="auto"/>
            <w:vAlign w:val="center"/>
          </w:tcPr>
          <w:p w14:paraId="2EF01F13" w14:textId="77777777" w:rsidR="00743094" w:rsidRPr="000172CE" w:rsidRDefault="00743094" w:rsidP="00BF3C61">
            <w:pPr>
              <w:jc w:val="center"/>
              <w:cnfStyle w:val="000000000000" w:firstRow="0" w:lastRow="0" w:firstColumn="0" w:lastColumn="0" w:oddVBand="0" w:evenVBand="0" w:oddHBand="0" w:evenHBand="0" w:firstRowFirstColumn="0" w:firstRowLastColumn="0" w:lastRowFirstColumn="0" w:lastRowLastColumn="0"/>
              <w:rPr>
                <w:lang w:val="en-US"/>
              </w:rPr>
            </w:pPr>
            <w:r w:rsidRPr="000172CE">
              <w:rPr>
                <w:lang w:val="en-US"/>
              </w:rPr>
              <w:t>0.216</w:t>
            </w:r>
          </w:p>
        </w:tc>
        <w:tc>
          <w:tcPr>
            <w:tcW w:w="0" w:type="auto"/>
            <w:vAlign w:val="center"/>
          </w:tcPr>
          <w:p w14:paraId="4CE4F358" w14:textId="77777777" w:rsidR="00743094" w:rsidRPr="000172CE" w:rsidRDefault="00743094" w:rsidP="00BF3C61">
            <w:pPr>
              <w:jc w:val="center"/>
              <w:cnfStyle w:val="000000000000" w:firstRow="0" w:lastRow="0" w:firstColumn="0" w:lastColumn="0" w:oddVBand="0" w:evenVBand="0" w:oddHBand="0" w:evenHBand="0" w:firstRowFirstColumn="0" w:firstRowLastColumn="0" w:lastRowFirstColumn="0" w:lastRowLastColumn="0"/>
              <w:rPr>
                <w:lang w:val="en-US"/>
              </w:rPr>
            </w:pPr>
            <w:r w:rsidRPr="000172CE">
              <w:rPr>
                <w:lang w:val="en-US"/>
              </w:rPr>
              <w:t>0.138</w:t>
            </w:r>
          </w:p>
        </w:tc>
        <w:tc>
          <w:tcPr>
            <w:tcW w:w="0" w:type="auto"/>
            <w:vAlign w:val="center"/>
          </w:tcPr>
          <w:p w14:paraId="06584FD6" w14:textId="77777777" w:rsidR="00743094" w:rsidRPr="000172CE" w:rsidRDefault="00743094" w:rsidP="00BF3C61">
            <w:pPr>
              <w:jc w:val="center"/>
              <w:cnfStyle w:val="000000000000" w:firstRow="0" w:lastRow="0" w:firstColumn="0" w:lastColumn="0" w:oddVBand="0" w:evenVBand="0" w:oddHBand="0" w:evenHBand="0" w:firstRowFirstColumn="0" w:firstRowLastColumn="0" w:lastRowFirstColumn="0" w:lastRowLastColumn="0"/>
              <w:rPr>
                <w:lang w:val="en-US"/>
              </w:rPr>
            </w:pPr>
            <w:r w:rsidRPr="000172CE">
              <w:rPr>
                <w:lang w:val="en-US"/>
              </w:rPr>
              <w:t>0.079</w:t>
            </w:r>
          </w:p>
        </w:tc>
        <w:tc>
          <w:tcPr>
            <w:tcW w:w="0" w:type="auto"/>
            <w:vAlign w:val="center"/>
          </w:tcPr>
          <w:p w14:paraId="04FB888E" w14:textId="77777777" w:rsidR="00743094" w:rsidRPr="000172CE" w:rsidRDefault="00743094" w:rsidP="00BF3C61">
            <w:pPr>
              <w:jc w:val="center"/>
              <w:cnfStyle w:val="000000000000" w:firstRow="0" w:lastRow="0" w:firstColumn="0" w:lastColumn="0" w:oddVBand="0" w:evenVBand="0" w:oddHBand="0" w:evenHBand="0" w:firstRowFirstColumn="0" w:firstRowLastColumn="0" w:lastRowFirstColumn="0" w:lastRowLastColumn="0"/>
              <w:rPr>
                <w:lang w:val="en-US"/>
              </w:rPr>
            </w:pPr>
            <w:r w:rsidRPr="000172CE">
              <w:rPr>
                <w:lang w:val="en-US"/>
              </w:rPr>
              <w:t>0.045</w:t>
            </w:r>
          </w:p>
        </w:tc>
        <w:tc>
          <w:tcPr>
            <w:tcW w:w="0" w:type="auto"/>
            <w:vAlign w:val="center"/>
          </w:tcPr>
          <w:p w14:paraId="40B271D3" w14:textId="77777777" w:rsidR="00743094" w:rsidRPr="000172CE" w:rsidRDefault="00743094" w:rsidP="00BF3C61">
            <w:pPr>
              <w:jc w:val="center"/>
              <w:cnfStyle w:val="000000000000" w:firstRow="0" w:lastRow="0" w:firstColumn="0" w:lastColumn="0" w:oddVBand="0" w:evenVBand="0" w:oddHBand="0" w:evenHBand="0" w:firstRowFirstColumn="0" w:firstRowLastColumn="0" w:lastRowFirstColumn="0" w:lastRowLastColumn="0"/>
              <w:rPr>
                <w:lang w:val="en-US"/>
              </w:rPr>
            </w:pPr>
            <w:r w:rsidRPr="000172CE">
              <w:rPr>
                <w:lang w:val="en-US"/>
              </w:rPr>
              <w:t>0.025</w:t>
            </w:r>
          </w:p>
        </w:tc>
        <w:tc>
          <w:tcPr>
            <w:tcW w:w="0" w:type="auto"/>
            <w:vAlign w:val="center"/>
          </w:tcPr>
          <w:p w14:paraId="18C57503" w14:textId="77777777" w:rsidR="00743094" w:rsidRPr="000172CE" w:rsidRDefault="00743094" w:rsidP="00BF3C61">
            <w:pPr>
              <w:jc w:val="center"/>
              <w:cnfStyle w:val="000000000000" w:firstRow="0" w:lastRow="0" w:firstColumn="0" w:lastColumn="0" w:oddVBand="0" w:evenVBand="0" w:oddHBand="0" w:evenHBand="0" w:firstRowFirstColumn="0" w:firstRowLastColumn="0" w:lastRowFirstColumn="0" w:lastRowLastColumn="0"/>
              <w:rPr>
                <w:lang w:val="en-US"/>
              </w:rPr>
            </w:pPr>
            <w:r w:rsidRPr="000172CE">
              <w:rPr>
                <w:lang w:val="en-US"/>
              </w:rPr>
              <w:t>0.017</w:t>
            </w:r>
          </w:p>
        </w:tc>
        <w:tc>
          <w:tcPr>
            <w:tcW w:w="0" w:type="auto"/>
            <w:vAlign w:val="center"/>
          </w:tcPr>
          <w:p w14:paraId="6A26A0E5" w14:textId="77777777" w:rsidR="00743094" w:rsidRPr="000172CE" w:rsidRDefault="00743094" w:rsidP="00BF3C61">
            <w:pPr>
              <w:jc w:val="center"/>
              <w:cnfStyle w:val="000000000000" w:firstRow="0" w:lastRow="0" w:firstColumn="0" w:lastColumn="0" w:oddVBand="0" w:evenVBand="0" w:oddHBand="0" w:evenHBand="0" w:firstRowFirstColumn="0" w:firstRowLastColumn="0" w:lastRowFirstColumn="0" w:lastRowLastColumn="0"/>
              <w:rPr>
                <w:lang w:val="en-US"/>
              </w:rPr>
            </w:pPr>
            <w:r w:rsidRPr="000172CE">
              <w:rPr>
                <w:lang w:val="en-US"/>
              </w:rPr>
              <w:t>0.010</w:t>
            </w:r>
          </w:p>
        </w:tc>
      </w:tr>
    </w:tbl>
    <w:p w14:paraId="3B985A74" w14:textId="77777777" w:rsidR="00743094" w:rsidRPr="000172CE" w:rsidRDefault="00743094" w:rsidP="002F57D8">
      <w:pPr>
        <w:rPr>
          <w:lang w:val="en-US"/>
        </w:rPr>
      </w:pPr>
    </w:p>
    <w:p w14:paraId="5ED2E762" w14:textId="77777777" w:rsidR="00743094" w:rsidRPr="000172CE" w:rsidRDefault="00743094" w:rsidP="002F57D8">
      <w:pPr>
        <w:rPr>
          <w:lang w:val="en-US"/>
        </w:rPr>
      </w:pPr>
    </w:p>
    <w:p w14:paraId="5C03933C" w14:textId="77777777" w:rsidR="00743094" w:rsidRPr="00F408D9" w:rsidRDefault="00743094">
      <w:pPr>
        <w:rPr>
          <w:b/>
          <w:bCs/>
          <w:lang w:val="en-US"/>
        </w:rPr>
      </w:pPr>
      <w:r w:rsidRPr="00F408D9">
        <w:rPr>
          <w:b/>
          <w:bCs/>
          <w:lang w:val="en-US"/>
        </w:rPr>
        <w:t>Supplementary Discussion:</w:t>
      </w:r>
    </w:p>
    <w:p w14:paraId="10344F93" w14:textId="77777777" w:rsidR="00743094" w:rsidRPr="006F310B" w:rsidRDefault="00743094" w:rsidP="00F408D9">
      <w:pPr>
        <w:spacing w:line="360" w:lineRule="auto"/>
        <w:jc w:val="both"/>
        <w:rPr>
          <w:lang w:val="en-US"/>
        </w:rPr>
      </w:pPr>
      <w:r>
        <w:rPr>
          <w:noProof/>
          <w:lang w:val="en-US"/>
        </w:rPr>
        <w:t xml:space="preserve">Morelen, Shaffer, Suveg </w:t>
      </w:r>
      <w:r w:rsidRPr="0079401C">
        <w:rPr>
          <w:noProof/>
          <w:vertAlign w:val="superscript"/>
          <w:lang w:val="en-US"/>
        </w:rPr>
        <w:t>28</w:t>
      </w:r>
      <w:r w:rsidRPr="006F310B">
        <w:rPr>
          <w:lang w:val="en-US"/>
        </w:rPr>
        <w:t xml:space="preserve"> found that poor maternal emotion regulation in the context of a history of maltreatment was associated with insufficiently sensitive parenting and impaired development of child emotion regulation. </w:t>
      </w:r>
      <w:r>
        <w:rPr>
          <w:lang w:val="en-US"/>
        </w:rPr>
        <w:t>Another study</w:t>
      </w:r>
      <w:r w:rsidRPr="0079401C">
        <w:rPr>
          <w:noProof/>
          <w:vertAlign w:val="superscript"/>
          <w:lang w:val="en-US"/>
        </w:rPr>
        <w:t>29</w:t>
      </w:r>
      <w:r w:rsidRPr="006F310B">
        <w:rPr>
          <w:lang w:val="en-US"/>
        </w:rPr>
        <w:t xml:space="preserve"> showed that the maternal PTSD symptom severity was positively associated with child PTSD symptom severity within-dyads. </w:t>
      </w:r>
      <w:proofErr w:type="gramStart"/>
      <w:r w:rsidRPr="006F310B">
        <w:rPr>
          <w:lang w:val="en-US"/>
        </w:rPr>
        <w:t>Both of these</w:t>
      </w:r>
      <w:proofErr w:type="gramEnd"/>
      <w:r w:rsidRPr="006F310B">
        <w:rPr>
          <w:lang w:val="en-US"/>
        </w:rPr>
        <w:t xml:space="preserve"> studies focused on how maternal PTSD potentially impacted discrete, selected child outcomes. The present study, by contrast, examined the potential influence of a group of several different maternal measures on a group of several different child outcomes simultaneously. This study took into consideration the multivariate complexity of the association(s) between </w:t>
      </w:r>
      <w:r>
        <w:rPr>
          <w:lang w:val="en-US"/>
        </w:rPr>
        <w:t>IPV</w:t>
      </w:r>
      <w:r w:rsidRPr="006F310B">
        <w:rPr>
          <w:lang w:val="en-US"/>
        </w:rPr>
        <w:t>-exposed mothers’ psychopathology and the latter’s consequences on the caregiving environment and thus on their offspring beginning during early sensitive periods of social-emotional development. The results showed important links between maternal and child measures emphasiz</w:t>
      </w:r>
      <w:r>
        <w:rPr>
          <w:lang w:val="en-US"/>
        </w:rPr>
        <w:t>ing</w:t>
      </w:r>
      <w:r w:rsidRPr="006F310B">
        <w:rPr>
          <w:lang w:val="en-US"/>
        </w:rPr>
        <w:t xml:space="preserve"> and demonstrat</w:t>
      </w:r>
      <w:r>
        <w:rPr>
          <w:lang w:val="en-US"/>
        </w:rPr>
        <w:t>ing</w:t>
      </w:r>
      <w:r w:rsidRPr="006F310B">
        <w:rPr>
          <w:lang w:val="en-US"/>
        </w:rPr>
        <w:t xml:space="preserve"> the value of applying integrative statistical approaches</w:t>
      </w:r>
      <w:r>
        <w:rPr>
          <w:lang w:val="en-US"/>
        </w:rPr>
        <w:t>,</w:t>
      </w:r>
      <w:r w:rsidRPr="006F310B">
        <w:rPr>
          <w:lang w:val="en-US"/>
        </w:rPr>
        <w:t xml:space="preserve"> such as canonical correlation analyses that focus both on parents and children simultaneously. </w:t>
      </w:r>
    </w:p>
    <w:p w14:paraId="41DD67A9" w14:textId="77777777" w:rsidR="00743094" w:rsidRDefault="00743094" w:rsidP="00B55B95">
      <w:pPr>
        <w:spacing w:line="360" w:lineRule="auto"/>
        <w:jc w:val="both"/>
        <w:rPr>
          <w:lang w:val="en-US"/>
        </w:rPr>
      </w:pPr>
      <w:r>
        <w:rPr>
          <w:lang w:val="en-US"/>
        </w:rPr>
        <w:t xml:space="preserve">We found that harsh parental responses to challenges represented in children’s story-stems was also on the dimension of child outcomes in analysis 1, together with clinician-rated child bullying and psychopathology. This finding corroborates disturbances in parent-child interaction that we observed in Phase I </w:t>
      </w:r>
      <w:r w:rsidRPr="0079401C">
        <w:rPr>
          <w:noProof/>
          <w:vertAlign w:val="superscript"/>
          <w:lang w:val="en-US"/>
        </w:rPr>
        <w:t>30</w:t>
      </w:r>
      <w:r>
        <w:rPr>
          <w:lang w:val="en-US"/>
        </w:rPr>
        <w:t xml:space="preserve">. It is possible that such representations in children’s stories are an indicator of children seeing harsh behaviors as part of an over-generalized response by self and others to particularly stressful moments. In the present sample, parental pathology that was associated with interpersonal violence appears to predispose parents to behaving harshly, to bullying and victimizing both within the parental couple as well as behaving insensitively toward their child. Such challenging moments provide frequent opportunities for the child to develop social emotional representations of addressing conflict tinged with these behaviors. </w:t>
      </w:r>
    </w:p>
    <w:p w14:paraId="65DE8D24" w14:textId="77777777" w:rsidR="00743094" w:rsidRPr="006F310B" w:rsidRDefault="00743094" w:rsidP="00B55B95">
      <w:pPr>
        <w:spacing w:line="360" w:lineRule="auto"/>
        <w:jc w:val="both"/>
        <w:rPr>
          <w:lang w:val="en-US"/>
        </w:rPr>
      </w:pPr>
      <w:r w:rsidRPr="00411B49">
        <w:rPr>
          <w:lang w:val="en-US"/>
        </w:rPr>
        <w:lastRenderedPageBreak/>
        <w:t>We believe that one strength of our study is that</w:t>
      </w:r>
      <w:r>
        <w:rPr>
          <w:lang w:val="en-US"/>
        </w:rPr>
        <w:t xml:space="preserve"> we did not regress out</w:t>
      </w:r>
      <w:r w:rsidRPr="00411B49">
        <w:rPr>
          <w:lang w:val="en-US"/>
        </w:rPr>
        <w:t xml:space="preserve"> potential confounders, such as SES, chil</w:t>
      </w:r>
      <w:r>
        <w:rPr>
          <w:lang w:val="en-US"/>
        </w:rPr>
        <w:t xml:space="preserve">d sex and exposure to violence; </w:t>
      </w:r>
      <w:r w:rsidRPr="00411B49">
        <w:rPr>
          <w:lang w:val="en-US"/>
        </w:rPr>
        <w:t>but rather</w:t>
      </w:r>
      <w:r>
        <w:rPr>
          <w:lang w:val="en-US"/>
        </w:rPr>
        <w:t>, we</w:t>
      </w:r>
      <w:r w:rsidRPr="00411B49">
        <w:rPr>
          <w:lang w:val="en-US"/>
        </w:rPr>
        <w:t xml:space="preserve"> introduced</w:t>
      </w:r>
      <w:r>
        <w:rPr>
          <w:lang w:val="en-US"/>
        </w:rPr>
        <w:t xml:space="preserve"> them</w:t>
      </w:r>
      <w:r w:rsidRPr="00411B49">
        <w:rPr>
          <w:lang w:val="en-US"/>
        </w:rPr>
        <w:t xml:space="preserve"> into the general model.</w:t>
      </w:r>
      <w:r>
        <w:rPr>
          <w:lang w:val="en-US"/>
        </w:rPr>
        <w:t xml:space="preserve">  </w:t>
      </w:r>
      <w:r w:rsidRPr="00411B49">
        <w:rPr>
          <w:lang w:val="en-US"/>
        </w:rPr>
        <w:t>The latter allowed us to quantify their importance in the model and contribution to the overall dimension. Depending on the analysis, potential confounders such as SES, child sex and the child’s exposure to vi</w:t>
      </w:r>
      <w:r w:rsidRPr="0086467B">
        <w:rPr>
          <w:lang w:val="en-US"/>
        </w:rPr>
        <w:t>olence</w:t>
      </w:r>
      <w:r w:rsidRPr="00411B49">
        <w:rPr>
          <w:lang w:val="en-US"/>
        </w:rPr>
        <w:t xml:space="preserve"> indeed </w:t>
      </w:r>
      <w:r>
        <w:rPr>
          <w:lang w:val="en-US"/>
        </w:rPr>
        <w:t>make</w:t>
      </w:r>
      <w:r w:rsidRPr="00411B49">
        <w:rPr>
          <w:lang w:val="en-US"/>
        </w:rPr>
        <w:t xml:space="preserve"> an important contribution</w:t>
      </w:r>
      <w:r>
        <w:rPr>
          <w:lang w:val="en-US"/>
        </w:rPr>
        <w:t xml:space="preserve"> to the model</w:t>
      </w:r>
      <w:r w:rsidRPr="00411B49">
        <w:rPr>
          <w:lang w:val="en-US"/>
        </w:rPr>
        <w:t xml:space="preserve">; yet this contribution is </w:t>
      </w:r>
      <w:r>
        <w:rPr>
          <w:lang w:val="en-US"/>
        </w:rPr>
        <w:t>relatively less</w:t>
      </w:r>
      <w:r w:rsidRPr="00411B49">
        <w:rPr>
          <w:lang w:val="en-US"/>
        </w:rPr>
        <w:t xml:space="preserve"> than that of maternal overall psychopathology, stress, and</w:t>
      </w:r>
      <w:r>
        <w:rPr>
          <w:lang w:val="en-US"/>
        </w:rPr>
        <w:t xml:space="preserve"> of</w:t>
      </w:r>
      <w:r w:rsidRPr="00411B49">
        <w:rPr>
          <w:lang w:val="en-US"/>
        </w:rPr>
        <w:t xml:space="preserve"> maternal exposure</w:t>
      </w:r>
      <w:r w:rsidRPr="0086467B">
        <w:rPr>
          <w:lang w:val="en-US"/>
        </w:rPr>
        <w:t xml:space="preserve"> to violence</w:t>
      </w:r>
      <w:r w:rsidRPr="00411B49">
        <w:rPr>
          <w:lang w:val="en-US"/>
        </w:rPr>
        <w:t>.</w:t>
      </w:r>
      <w:r w:rsidRPr="006F310B">
        <w:rPr>
          <w:lang w:val="en-US"/>
        </w:rPr>
        <w:t xml:space="preserve"> Adding variables of maternal report </w:t>
      </w:r>
      <w:r>
        <w:rPr>
          <w:lang w:val="en-US"/>
        </w:rPr>
        <w:t>of</w:t>
      </w:r>
      <w:r w:rsidRPr="006F310B">
        <w:rPr>
          <w:lang w:val="en-US"/>
        </w:rPr>
        <w:t xml:space="preserve"> child symptoms and temperament did not fundamentally change the relationships found between mother and child </w:t>
      </w:r>
      <w:r>
        <w:rPr>
          <w:lang w:val="en-US"/>
        </w:rPr>
        <w:t>dimensions</w:t>
      </w:r>
      <w:r w:rsidRPr="006F310B">
        <w:rPr>
          <w:lang w:val="en-US"/>
        </w:rPr>
        <w:t xml:space="preserve"> yet did raise additional issues to consider. Firstly, on the </w:t>
      </w:r>
      <w:r>
        <w:rPr>
          <w:lang w:val="en-US"/>
        </w:rPr>
        <w:t>predictors’</w:t>
      </w:r>
      <w:r w:rsidRPr="006F310B">
        <w:rPr>
          <w:lang w:val="en-US"/>
        </w:rPr>
        <w:t xml:space="preserve"> side, th</w:t>
      </w:r>
      <w:r>
        <w:rPr>
          <w:lang w:val="en-US"/>
        </w:rPr>
        <w:t>is second model</w:t>
      </w:r>
      <w:r w:rsidRPr="006F310B">
        <w:rPr>
          <w:lang w:val="en-US"/>
        </w:rPr>
        <w:t xml:space="preserve"> focused less on classic symptoms of psychopathology and socioeconomic status, and instead more on perceived </w:t>
      </w:r>
      <w:r>
        <w:rPr>
          <w:lang w:val="en-US"/>
        </w:rPr>
        <w:t xml:space="preserve">maternal </w:t>
      </w:r>
      <w:r w:rsidRPr="006F310B">
        <w:rPr>
          <w:lang w:val="en-US"/>
        </w:rPr>
        <w:t xml:space="preserve">stress, as well as sex (more importance on girls). Secondly, on the children’s side, this higher focus on maternally perceived problems in Phase 1 </w:t>
      </w:r>
      <w:r>
        <w:rPr>
          <w:lang w:val="en-US"/>
        </w:rPr>
        <w:t>still related</w:t>
      </w:r>
      <w:r w:rsidRPr="006F310B">
        <w:rPr>
          <w:lang w:val="en-US"/>
        </w:rPr>
        <w:t xml:space="preserve"> to a broad spectrum of child symptoms related to violence, but deemphasized bullying and PTSD symptoms</w:t>
      </w:r>
      <w:r>
        <w:rPr>
          <w:lang w:val="en-US"/>
        </w:rPr>
        <w:t>. This higher focus on maternally perceived problems in Phase 1 also deemphasized</w:t>
      </w:r>
      <w:r w:rsidRPr="006F310B">
        <w:rPr>
          <w:lang w:val="en-US"/>
        </w:rPr>
        <w:t xml:space="preserve"> </w:t>
      </w:r>
      <w:r>
        <w:rPr>
          <w:lang w:val="en-US"/>
        </w:rPr>
        <w:t xml:space="preserve">the child’s mental </w:t>
      </w:r>
      <w:r w:rsidRPr="006F310B">
        <w:rPr>
          <w:lang w:val="en-US"/>
        </w:rPr>
        <w:t xml:space="preserve">representations </w:t>
      </w:r>
      <w:r>
        <w:rPr>
          <w:lang w:val="en-US"/>
        </w:rPr>
        <w:t>of his/her parents</w:t>
      </w:r>
      <w:r w:rsidRPr="006F310B">
        <w:rPr>
          <w:lang w:val="en-US"/>
        </w:rPr>
        <w:t xml:space="preserve">, while adding maternal perceived internalizing and externalizing symptoms, as well as </w:t>
      </w:r>
      <w:r>
        <w:rPr>
          <w:lang w:val="en-US"/>
        </w:rPr>
        <w:t xml:space="preserve">child temperament of </w:t>
      </w:r>
      <w:r w:rsidRPr="006F310B">
        <w:rPr>
          <w:lang w:val="en-US"/>
        </w:rPr>
        <w:t>negative reactivity and task persistence, as reported by the mother</w:t>
      </w:r>
      <w:r w:rsidRPr="00B06C1F">
        <w:rPr>
          <w:lang w:val="en-US"/>
        </w:rPr>
        <w:t>, to the model</w:t>
      </w:r>
      <w:r w:rsidRPr="006F310B">
        <w:rPr>
          <w:lang w:val="en-US"/>
        </w:rPr>
        <w:t>. In other words, the maternal and child/clinician repo</w:t>
      </w:r>
      <w:r>
        <w:rPr>
          <w:lang w:val="en-US"/>
        </w:rPr>
        <w:t>r</w:t>
      </w:r>
      <w:r w:rsidRPr="006F310B">
        <w:rPr>
          <w:lang w:val="en-US"/>
        </w:rPr>
        <w:t xml:space="preserve">ted symptoms </w:t>
      </w:r>
      <w:r>
        <w:rPr>
          <w:lang w:val="en-US"/>
        </w:rPr>
        <w:t>still showed</w:t>
      </w:r>
      <w:r w:rsidRPr="006F310B">
        <w:rPr>
          <w:lang w:val="en-US"/>
        </w:rPr>
        <w:t xml:space="preserve"> convergence onto a single child outcome dimension</w:t>
      </w:r>
      <w:r>
        <w:rPr>
          <w:lang w:val="en-US"/>
        </w:rPr>
        <w:t>. Nevertheless,</w:t>
      </w:r>
      <w:r w:rsidRPr="006F310B">
        <w:rPr>
          <w:lang w:val="en-US"/>
        </w:rPr>
        <w:t xml:space="preserve"> maternal report </w:t>
      </w:r>
      <w:r>
        <w:rPr>
          <w:lang w:val="en-US"/>
        </w:rPr>
        <w:t>was</w:t>
      </w:r>
      <w:r w:rsidRPr="006F310B">
        <w:rPr>
          <w:lang w:val="en-US"/>
        </w:rPr>
        <w:t xml:space="preserve"> also -</w:t>
      </w:r>
      <w:r>
        <w:rPr>
          <w:lang w:val="en-US"/>
        </w:rPr>
        <w:t xml:space="preserve"> </w:t>
      </w:r>
      <w:r w:rsidRPr="006F310B">
        <w:rPr>
          <w:lang w:val="en-US"/>
        </w:rPr>
        <w:t>even across time – linked not only to objective child symptoms, but also to maternal stress</w:t>
      </w:r>
      <w:r>
        <w:rPr>
          <w:lang w:val="en-US"/>
        </w:rPr>
        <w:t xml:space="preserve"> and perception of both </w:t>
      </w:r>
      <w:proofErr w:type="gramStart"/>
      <w:r>
        <w:rPr>
          <w:lang w:val="en-US"/>
        </w:rPr>
        <w:t>herself</w:t>
      </w:r>
      <w:proofErr w:type="gramEnd"/>
      <w:r>
        <w:rPr>
          <w:lang w:val="en-US"/>
        </w:rPr>
        <w:t xml:space="preserve"> and her child’s symptoms and temperament</w:t>
      </w:r>
      <w:r w:rsidRPr="006F310B">
        <w:rPr>
          <w:lang w:val="en-US"/>
        </w:rPr>
        <w:t xml:space="preserve">. The longitudinal nature of our study points </w:t>
      </w:r>
      <w:r>
        <w:rPr>
          <w:lang w:val="en-US"/>
        </w:rPr>
        <w:t>to</w:t>
      </w:r>
      <w:r w:rsidRPr="006F310B">
        <w:rPr>
          <w:lang w:val="en-US"/>
        </w:rPr>
        <w:t xml:space="preserve"> the importance and long-term consequences</w:t>
      </w:r>
      <w:r>
        <w:rPr>
          <w:lang w:val="en-US"/>
        </w:rPr>
        <w:t xml:space="preserve"> that</w:t>
      </w:r>
      <w:r w:rsidRPr="006F310B">
        <w:rPr>
          <w:lang w:val="en-US"/>
        </w:rPr>
        <w:t xml:space="preserve"> such maternal perceptions can have upon the child</w:t>
      </w:r>
      <w:r>
        <w:rPr>
          <w:lang w:val="en-US"/>
        </w:rPr>
        <w:t xml:space="preserve"> and on the</w:t>
      </w:r>
      <w:r w:rsidRPr="006F310B">
        <w:rPr>
          <w:lang w:val="en-US"/>
        </w:rPr>
        <w:t xml:space="preserve"> mother-child </w:t>
      </w:r>
      <w:r>
        <w:rPr>
          <w:lang w:val="en-US"/>
        </w:rPr>
        <w:t xml:space="preserve">relationship. </w:t>
      </w:r>
      <w:r w:rsidRPr="006F310B">
        <w:rPr>
          <w:lang w:val="en-US"/>
        </w:rPr>
        <w:t xml:space="preserve">It is therefore essential for </w:t>
      </w:r>
      <w:r>
        <w:rPr>
          <w:lang w:val="en-US"/>
        </w:rPr>
        <w:t xml:space="preserve">clinicians and affected families </w:t>
      </w:r>
      <w:r w:rsidRPr="006F310B">
        <w:rPr>
          <w:lang w:val="en-US"/>
        </w:rPr>
        <w:t xml:space="preserve">to address </w:t>
      </w:r>
      <w:r>
        <w:rPr>
          <w:lang w:val="en-US"/>
        </w:rPr>
        <w:t>these posttraumatic</w:t>
      </w:r>
      <w:r w:rsidRPr="006F310B">
        <w:rPr>
          <w:lang w:val="en-US"/>
        </w:rPr>
        <w:t xml:space="preserve"> perceptions </w:t>
      </w:r>
      <w:r>
        <w:rPr>
          <w:lang w:val="en-US"/>
        </w:rPr>
        <w:t>with affected</w:t>
      </w:r>
      <w:r w:rsidRPr="006F310B">
        <w:rPr>
          <w:lang w:val="en-US"/>
        </w:rPr>
        <w:t xml:space="preserve"> mothers both as individual</w:t>
      </w:r>
      <w:r>
        <w:rPr>
          <w:lang w:val="en-US"/>
        </w:rPr>
        <w:t xml:space="preserve"> adults</w:t>
      </w:r>
      <w:r w:rsidRPr="006F310B">
        <w:rPr>
          <w:lang w:val="en-US"/>
        </w:rPr>
        <w:t>, and in their roles as parents</w:t>
      </w:r>
      <w:r>
        <w:rPr>
          <w:lang w:val="en-US"/>
        </w:rPr>
        <w:t xml:space="preserve"> in terms of their relationship with their child</w:t>
      </w:r>
      <w:r w:rsidRPr="006F310B">
        <w:rPr>
          <w:lang w:val="en-US"/>
        </w:rPr>
        <w:t>.</w:t>
      </w:r>
    </w:p>
    <w:p w14:paraId="25D99A9C" w14:textId="77777777" w:rsidR="00743094" w:rsidRPr="00A73706" w:rsidRDefault="00743094">
      <w:pPr>
        <w:rPr>
          <w:b/>
          <w:lang w:val="en-US"/>
        </w:rPr>
      </w:pPr>
      <w:r w:rsidRPr="00A73706">
        <w:rPr>
          <w:b/>
          <w:lang w:val="en-US"/>
        </w:rPr>
        <w:t>References</w:t>
      </w:r>
    </w:p>
    <w:p w14:paraId="280D282B" w14:textId="77777777" w:rsidR="00743094" w:rsidRPr="0079401C" w:rsidRDefault="00743094" w:rsidP="0079401C">
      <w:pPr>
        <w:pStyle w:val="EndNoteBibliography"/>
        <w:spacing w:after="0"/>
        <w:ind w:left="720" w:hanging="720"/>
      </w:pPr>
      <w:r w:rsidRPr="0079401C">
        <w:t>1.</w:t>
      </w:r>
      <w:r w:rsidRPr="0079401C">
        <w:tab/>
        <w:t xml:space="preserve">Blake DD, Weathers FW, Nagy LM, et al. The development of a Clinician-Administered PTSD Scale. </w:t>
      </w:r>
      <w:r w:rsidRPr="0079401C">
        <w:rPr>
          <w:i/>
        </w:rPr>
        <w:t xml:space="preserve">J Trauma Stress. </w:t>
      </w:r>
      <w:r w:rsidRPr="0079401C">
        <w:t>1995;8(1):75-90.</w:t>
      </w:r>
    </w:p>
    <w:p w14:paraId="1BCAB6C4" w14:textId="77777777" w:rsidR="00743094" w:rsidRPr="0079401C" w:rsidRDefault="00743094" w:rsidP="0079401C">
      <w:pPr>
        <w:pStyle w:val="EndNoteBibliography"/>
        <w:spacing w:after="0"/>
        <w:ind w:left="720" w:hanging="720"/>
      </w:pPr>
      <w:r w:rsidRPr="0079401C">
        <w:t>2.</w:t>
      </w:r>
      <w:r w:rsidRPr="0079401C">
        <w:tab/>
        <w:t xml:space="preserve">Weathers FW, Keane TM, Davidson JR. Clinician-administered PTSD scale: a review of the first ten years of research. </w:t>
      </w:r>
      <w:r w:rsidRPr="0079401C">
        <w:rPr>
          <w:i/>
        </w:rPr>
        <w:t xml:space="preserve">Depress Anxiety. </w:t>
      </w:r>
      <w:r w:rsidRPr="0079401C">
        <w:t>2001;13(3):132-156.</w:t>
      </w:r>
    </w:p>
    <w:p w14:paraId="4AD23912" w14:textId="77777777" w:rsidR="00743094" w:rsidRPr="0079401C" w:rsidRDefault="00743094" w:rsidP="0079401C">
      <w:pPr>
        <w:pStyle w:val="EndNoteBibliography"/>
        <w:spacing w:after="0"/>
        <w:ind w:left="720" w:hanging="720"/>
      </w:pPr>
      <w:r w:rsidRPr="0079401C">
        <w:t>3.</w:t>
      </w:r>
      <w:r w:rsidRPr="0079401C">
        <w:tab/>
        <w:t xml:space="preserve">Lima EdP, Barreto SM, Assunção AÁ. Factor structure, internal consistency and reliability of the Posttraumatic Stress Disorder Checklist (PCL): an exploratory study. </w:t>
      </w:r>
      <w:r w:rsidRPr="0079401C">
        <w:rPr>
          <w:i/>
        </w:rPr>
        <w:t xml:space="preserve">Trends in psychiatry and psychotherapy. </w:t>
      </w:r>
      <w:r w:rsidRPr="0079401C">
        <w:t>2012;34(4):215-222.</w:t>
      </w:r>
    </w:p>
    <w:p w14:paraId="7DE44665" w14:textId="77777777" w:rsidR="00743094" w:rsidRPr="0079401C" w:rsidRDefault="00743094" w:rsidP="0079401C">
      <w:pPr>
        <w:pStyle w:val="EndNoteBibliography"/>
        <w:spacing w:after="0"/>
        <w:ind w:left="720" w:hanging="720"/>
      </w:pPr>
      <w:r w:rsidRPr="0079401C">
        <w:t>4.</w:t>
      </w:r>
      <w:r w:rsidRPr="0079401C">
        <w:tab/>
        <w:t xml:space="preserve">Beck AT, Steer RA, Brown GK. </w:t>
      </w:r>
      <w:r w:rsidRPr="0079401C">
        <w:rPr>
          <w:i/>
        </w:rPr>
        <w:t>Beck depression inventory (BDI-II).</w:t>
      </w:r>
      <w:r w:rsidRPr="0079401C">
        <w:t xml:space="preserve"> Vol 10: Pearson; 1996.</w:t>
      </w:r>
    </w:p>
    <w:p w14:paraId="396D8F3F" w14:textId="77777777" w:rsidR="00743094" w:rsidRPr="0079401C" w:rsidRDefault="00743094" w:rsidP="0079401C">
      <w:pPr>
        <w:pStyle w:val="EndNoteBibliography"/>
        <w:spacing w:after="0"/>
        <w:ind w:left="720" w:hanging="720"/>
      </w:pPr>
      <w:r w:rsidRPr="0079401C">
        <w:t>5.</w:t>
      </w:r>
      <w:r w:rsidRPr="0079401C">
        <w:tab/>
        <w:t xml:space="preserve">Briere J, Runtz M. Augmenting Hopkins SCL scales to measure dissociative symptoms: data from two nonclinical samples. </w:t>
      </w:r>
      <w:r w:rsidRPr="0079401C">
        <w:rPr>
          <w:i/>
        </w:rPr>
        <w:t xml:space="preserve">J Pers Assess. </w:t>
      </w:r>
      <w:r w:rsidRPr="0079401C">
        <w:t>1990;55(1-2):376-379.</w:t>
      </w:r>
    </w:p>
    <w:p w14:paraId="3B1D35C9" w14:textId="77777777" w:rsidR="00743094" w:rsidRPr="0079401C" w:rsidRDefault="00743094" w:rsidP="0079401C">
      <w:pPr>
        <w:pStyle w:val="EndNoteBibliography"/>
        <w:spacing w:after="0"/>
        <w:ind w:left="720" w:hanging="720"/>
      </w:pPr>
      <w:r w:rsidRPr="0079401C">
        <w:t>6.</w:t>
      </w:r>
      <w:r w:rsidRPr="0079401C">
        <w:tab/>
        <w:t xml:space="preserve">Marshall RD, Schneier FR, Fallon BA, et al. An open trial of paroxetine in patients with noncombat-related, chronic posttraumatic stress disorder. </w:t>
      </w:r>
      <w:r w:rsidRPr="0079401C">
        <w:rPr>
          <w:i/>
        </w:rPr>
        <w:t xml:space="preserve">J Clin Psychopharmacol. </w:t>
      </w:r>
      <w:r w:rsidRPr="0079401C">
        <w:t>1998;18(1):10-18.</w:t>
      </w:r>
    </w:p>
    <w:p w14:paraId="6AA527F3" w14:textId="77777777" w:rsidR="00743094" w:rsidRPr="0079401C" w:rsidRDefault="00743094" w:rsidP="0079401C">
      <w:pPr>
        <w:pStyle w:val="EndNoteBibliography"/>
        <w:spacing w:after="0"/>
        <w:ind w:left="720" w:hanging="720"/>
      </w:pPr>
      <w:r w:rsidRPr="0079401C">
        <w:lastRenderedPageBreak/>
        <w:t>7.</w:t>
      </w:r>
      <w:r w:rsidRPr="0079401C">
        <w:tab/>
        <w:t xml:space="preserve">Kubany ES, Haynes SN, Leisen MB, et al. Development and preliminary validation of a brief broad-spectrum measure of trauma exposure: the Traumatic Life Events Questionnaire. </w:t>
      </w:r>
      <w:r w:rsidRPr="0079401C">
        <w:rPr>
          <w:i/>
        </w:rPr>
        <w:t xml:space="preserve">Psychol Assess. </w:t>
      </w:r>
      <w:r w:rsidRPr="0079401C">
        <w:t>2000;12(2):210-224.</w:t>
      </w:r>
    </w:p>
    <w:p w14:paraId="5CFA7D80" w14:textId="77777777" w:rsidR="00743094" w:rsidRPr="00F535BA" w:rsidRDefault="00743094" w:rsidP="0079401C">
      <w:pPr>
        <w:pStyle w:val="EndNoteBibliography"/>
        <w:spacing w:after="0"/>
        <w:ind w:left="720" w:hanging="720"/>
        <w:rPr>
          <w:lang w:val="de-DE"/>
        </w:rPr>
      </w:pPr>
      <w:r w:rsidRPr="0079401C">
        <w:t>8.</w:t>
      </w:r>
      <w:r w:rsidRPr="0079401C">
        <w:tab/>
        <w:t xml:space="preserve">Weathers FW, Keane TM. The Criterion A problem revisited: controversies and challenges in defining and measuring psychological trauma. </w:t>
      </w:r>
      <w:r w:rsidRPr="00F535BA">
        <w:rPr>
          <w:i/>
          <w:lang w:val="de-DE"/>
        </w:rPr>
        <w:t xml:space="preserve">J Trauma Stress. </w:t>
      </w:r>
      <w:r w:rsidRPr="00F535BA">
        <w:rPr>
          <w:lang w:val="de-DE"/>
        </w:rPr>
        <w:t>2007;20(2):107-121.</w:t>
      </w:r>
    </w:p>
    <w:p w14:paraId="10AD8ABE" w14:textId="77777777" w:rsidR="00743094" w:rsidRPr="0079401C" w:rsidRDefault="00743094" w:rsidP="0079401C">
      <w:pPr>
        <w:pStyle w:val="EndNoteBibliography"/>
        <w:spacing w:after="0"/>
        <w:ind w:left="720" w:hanging="720"/>
      </w:pPr>
      <w:r w:rsidRPr="00F535BA">
        <w:rPr>
          <w:lang w:val="de-DE"/>
        </w:rPr>
        <w:t>9.</w:t>
      </w:r>
      <w:r w:rsidRPr="00F535BA">
        <w:rPr>
          <w:lang w:val="de-DE"/>
        </w:rPr>
        <w:tab/>
        <w:t xml:space="preserve">Schechter DS, Coots T, Zeanah CH, et al. </w:t>
      </w:r>
      <w:r w:rsidRPr="0079401C">
        <w:t xml:space="preserve">Maternal mental representations of the child in an inner-city clinical sample: violence-related posttraumatic stress and reflective functioning. </w:t>
      </w:r>
      <w:r w:rsidRPr="0079401C">
        <w:rPr>
          <w:i/>
        </w:rPr>
        <w:t xml:space="preserve">Attach Hum Dev. </w:t>
      </w:r>
      <w:r w:rsidRPr="0079401C">
        <w:t>2005;7(3):313-331.</w:t>
      </w:r>
    </w:p>
    <w:p w14:paraId="6CB05C6F" w14:textId="77777777" w:rsidR="00743094" w:rsidRPr="0079401C" w:rsidRDefault="00743094" w:rsidP="0079401C">
      <w:pPr>
        <w:pStyle w:val="EndNoteBibliography"/>
        <w:spacing w:after="0"/>
        <w:ind w:left="720" w:hanging="720"/>
      </w:pPr>
      <w:r w:rsidRPr="0079401C">
        <w:t>10.</w:t>
      </w:r>
      <w:r w:rsidRPr="0079401C">
        <w:tab/>
        <w:t xml:space="preserve">Slade A, Grienenberger J, Bernbach E, Levy D, Locker A. Maternal reflective functioning, attachment, and the transmission gap: a preliminary study. </w:t>
      </w:r>
      <w:r w:rsidRPr="0079401C">
        <w:rPr>
          <w:i/>
        </w:rPr>
        <w:t xml:space="preserve">Attach Hum Dev. </w:t>
      </w:r>
      <w:r w:rsidRPr="0079401C">
        <w:t>2005;7(3):283-298.</w:t>
      </w:r>
    </w:p>
    <w:p w14:paraId="44D6FE1E" w14:textId="77777777" w:rsidR="00743094" w:rsidRPr="0079401C" w:rsidRDefault="00743094" w:rsidP="0079401C">
      <w:pPr>
        <w:pStyle w:val="EndNoteBibliography"/>
        <w:spacing w:after="0"/>
        <w:ind w:left="720" w:hanging="720"/>
      </w:pPr>
      <w:r w:rsidRPr="0079401C">
        <w:t>11.</w:t>
      </w:r>
      <w:r w:rsidRPr="0079401C">
        <w:tab/>
        <w:t>Crittenden PM. CARE-index toddlers coding manual. Miami, FL2006.</w:t>
      </w:r>
    </w:p>
    <w:p w14:paraId="06DF9F0A" w14:textId="77777777" w:rsidR="00743094" w:rsidRPr="00F535BA" w:rsidRDefault="00743094" w:rsidP="0079401C">
      <w:pPr>
        <w:pStyle w:val="EndNoteBibliography"/>
        <w:spacing w:after="0"/>
        <w:ind w:left="720" w:hanging="720"/>
        <w:rPr>
          <w:lang w:val="fr-FR"/>
        </w:rPr>
      </w:pPr>
      <w:r w:rsidRPr="0079401C">
        <w:t>12.</w:t>
      </w:r>
      <w:r w:rsidRPr="0079401C">
        <w:tab/>
        <w:t xml:space="preserve">Suardi F, Moser DA, Sancho Rossignol A, et al. Maternal reflective functioning, interpersonal violence-related posttraumatic stress disorder, and risk for psychopathology in early childhood. </w:t>
      </w:r>
      <w:r w:rsidRPr="00F535BA">
        <w:rPr>
          <w:i/>
          <w:lang w:val="fr-FR"/>
        </w:rPr>
        <w:t xml:space="preserve">Attach Hum Dev. </w:t>
      </w:r>
      <w:r w:rsidRPr="00F535BA">
        <w:rPr>
          <w:lang w:val="fr-FR"/>
        </w:rPr>
        <w:t>2020;22(2):225-245.</w:t>
      </w:r>
    </w:p>
    <w:p w14:paraId="4BE509D0" w14:textId="77777777" w:rsidR="00743094" w:rsidRPr="00F535BA" w:rsidRDefault="00743094" w:rsidP="0079401C">
      <w:pPr>
        <w:pStyle w:val="EndNoteBibliography"/>
        <w:spacing w:after="0"/>
        <w:ind w:left="720" w:hanging="720"/>
        <w:rPr>
          <w:lang w:val="fr-FR"/>
        </w:rPr>
      </w:pPr>
      <w:r w:rsidRPr="00F535BA">
        <w:rPr>
          <w:lang w:val="fr-FR"/>
        </w:rPr>
        <w:t>13.</w:t>
      </w:r>
      <w:r w:rsidRPr="00F535BA">
        <w:rPr>
          <w:lang w:val="fr-FR"/>
        </w:rPr>
        <w:tab/>
        <w:t xml:space="preserve">Moser DA, Aue T, Suardi F, et al. </w:t>
      </w:r>
      <w:r w:rsidRPr="0079401C">
        <w:t xml:space="preserve">The relation of general socio-emotional processing to parenting specific behavior: a study of mothers with and without posttraumatic stress disorder. </w:t>
      </w:r>
      <w:r w:rsidRPr="00F535BA">
        <w:rPr>
          <w:i/>
          <w:lang w:val="fr-FR"/>
        </w:rPr>
        <w:t xml:space="preserve">Frontiers in psychology. </w:t>
      </w:r>
      <w:r w:rsidRPr="00F535BA">
        <w:rPr>
          <w:lang w:val="fr-FR"/>
        </w:rPr>
        <w:t>2015;6:1575.</w:t>
      </w:r>
    </w:p>
    <w:p w14:paraId="2CB65FD5" w14:textId="77777777" w:rsidR="00743094" w:rsidRPr="0079401C" w:rsidRDefault="00743094" w:rsidP="0079401C">
      <w:pPr>
        <w:pStyle w:val="EndNoteBibliography"/>
        <w:spacing w:after="0"/>
        <w:ind w:left="720" w:hanging="720"/>
      </w:pPr>
      <w:r w:rsidRPr="00F535BA">
        <w:rPr>
          <w:lang w:val="fr-FR"/>
        </w:rPr>
        <w:t>14.</w:t>
      </w:r>
      <w:r w:rsidRPr="00F535BA">
        <w:rPr>
          <w:lang w:val="fr-FR"/>
        </w:rPr>
        <w:tab/>
        <w:t xml:space="preserve">Sancho Rossignol A, Lütthi Faivre F, Suardi F, et al. Geneva Socio-demographic Questionnaire (GSQ). </w:t>
      </w:r>
      <w:r w:rsidRPr="0079401C">
        <w:t>Child and Adolescent  Psychiatry Service, University of Geneva Hospitals, Geneva, Switzerland; 2010.</w:t>
      </w:r>
    </w:p>
    <w:p w14:paraId="6B873E1A" w14:textId="77777777" w:rsidR="00743094" w:rsidRPr="0079401C" w:rsidRDefault="00743094" w:rsidP="0079401C">
      <w:pPr>
        <w:pStyle w:val="EndNoteBibliography"/>
        <w:spacing w:after="0"/>
        <w:ind w:left="720" w:hanging="720"/>
      </w:pPr>
      <w:r w:rsidRPr="0079401C">
        <w:t>15.</w:t>
      </w:r>
      <w:r w:rsidRPr="0079401C">
        <w:tab/>
        <w:t xml:space="preserve">Orvaschel H, Puig-Antich J, Chambers W, Tabrizi MA, Johnson R. Retrospective assessment of prepubertal major depression with the Kiddie-SADS-e. </w:t>
      </w:r>
      <w:r w:rsidRPr="0079401C">
        <w:rPr>
          <w:i/>
        </w:rPr>
        <w:t xml:space="preserve">J Am Acad Child Psychiatry. </w:t>
      </w:r>
      <w:r w:rsidRPr="0079401C">
        <w:t>1982;21(4):392-397.</w:t>
      </w:r>
    </w:p>
    <w:p w14:paraId="3E664F7A" w14:textId="77777777" w:rsidR="00743094" w:rsidRPr="0079401C" w:rsidRDefault="00743094" w:rsidP="0079401C">
      <w:pPr>
        <w:pStyle w:val="EndNoteBibliography"/>
        <w:spacing w:after="0"/>
        <w:ind w:left="720" w:hanging="720"/>
      </w:pPr>
      <w:r w:rsidRPr="0079401C">
        <w:t>16.</w:t>
      </w:r>
      <w:r w:rsidRPr="0079401C">
        <w:tab/>
        <w:t xml:space="preserve">Vandeleur C, Rothen S, Gholam-Rezaee M, et al. Mental disorders in offspring of parents with bipolar and major depressive disorders. </w:t>
      </w:r>
      <w:r w:rsidRPr="0079401C">
        <w:rPr>
          <w:i/>
        </w:rPr>
        <w:t xml:space="preserve">Bipolar Disord. </w:t>
      </w:r>
      <w:r w:rsidRPr="0079401C">
        <w:t>2012;14(6):641-653.</w:t>
      </w:r>
    </w:p>
    <w:p w14:paraId="7603C1AD" w14:textId="77777777" w:rsidR="00743094" w:rsidRPr="0079401C" w:rsidRDefault="00743094" w:rsidP="0079401C">
      <w:pPr>
        <w:pStyle w:val="EndNoteBibliography"/>
        <w:spacing w:after="0"/>
        <w:ind w:left="720" w:hanging="720"/>
      </w:pPr>
      <w:r w:rsidRPr="0079401C">
        <w:t>17.</w:t>
      </w:r>
      <w:r w:rsidRPr="0079401C">
        <w:tab/>
        <w:t xml:space="preserve">Fox N, Leavitt L. The Violence Exposure Scale for Children-Revised (VEX-R). </w:t>
      </w:r>
      <w:r w:rsidRPr="0079401C">
        <w:rPr>
          <w:i/>
        </w:rPr>
        <w:t xml:space="preserve">College Park, MD: University of Maryland. </w:t>
      </w:r>
      <w:r w:rsidRPr="0079401C">
        <w:t>1995.</w:t>
      </w:r>
    </w:p>
    <w:p w14:paraId="0929F932" w14:textId="77777777" w:rsidR="00743094" w:rsidRPr="0079401C" w:rsidRDefault="00743094" w:rsidP="0079401C">
      <w:pPr>
        <w:pStyle w:val="EndNoteBibliography"/>
        <w:spacing w:after="0"/>
        <w:ind w:left="720" w:hanging="720"/>
      </w:pPr>
      <w:r w:rsidRPr="0079401C">
        <w:t>18.</w:t>
      </w:r>
      <w:r w:rsidRPr="0079401C">
        <w:tab/>
        <w:t xml:space="preserve">Chan JHF, Myron R, Crawshaw M. The efficacy of non-anonymous measures of bullying. </w:t>
      </w:r>
      <w:r w:rsidRPr="0079401C">
        <w:rPr>
          <w:i/>
        </w:rPr>
        <w:t xml:space="preserve">School Psychol Int. </w:t>
      </w:r>
      <w:r w:rsidRPr="0079401C">
        <w:t>2005;26(4):443-458.</w:t>
      </w:r>
    </w:p>
    <w:p w14:paraId="2A49A3A5" w14:textId="77777777" w:rsidR="00743094" w:rsidRPr="0079401C" w:rsidRDefault="00743094" w:rsidP="0079401C">
      <w:pPr>
        <w:pStyle w:val="EndNoteBibliography"/>
        <w:spacing w:after="0"/>
        <w:ind w:left="720" w:hanging="720"/>
      </w:pPr>
      <w:r w:rsidRPr="0079401C">
        <w:t>19.</w:t>
      </w:r>
      <w:r w:rsidRPr="0079401C">
        <w:tab/>
        <w:t xml:space="preserve">Pons F, Harris P. </w:t>
      </w:r>
      <w:r w:rsidRPr="0079401C">
        <w:rPr>
          <w:i/>
        </w:rPr>
        <w:t>Test of emotion comprehension: TEC.</w:t>
      </w:r>
      <w:r w:rsidRPr="0079401C">
        <w:t xml:space="preserve"> University of Oxford; 2000.</w:t>
      </w:r>
    </w:p>
    <w:p w14:paraId="6617B86C" w14:textId="77777777" w:rsidR="00743094" w:rsidRPr="0079401C" w:rsidRDefault="00743094" w:rsidP="0079401C">
      <w:pPr>
        <w:pStyle w:val="EndNoteBibliography"/>
        <w:spacing w:after="0"/>
        <w:ind w:left="720" w:hanging="720"/>
      </w:pPr>
      <w:r w:rsidRPr="0079401C">
        <w:t>20.</w:t>
      </w:r>
      <w:r w:rsidRPr="0079401C">
        <w:tab/>
        <w:t>Bretherton I, Oppenheim D, Buchsbaum H, Emde R, Group TMN. MacArthur Story Stem Battery coding manual. Unpublished Manual1990.</w:t>
      </w:r>
    </w:p>
    <w:p w14:paraId="370AEC04" w14:textId="77777777" w:rsidR="00743094" w:rsidRPr="0079401C" w:rsidRDefault="00743094" w:rsidP="0079401C">
      <w:pPr>
        <w:pStyle w:val="EndNoteBibliography"/>
        <w:spacing w:after="0"/>
        <w:ind w:left="720" w:hanging="720"/>
      </w:pPr>
      <w:r w:rsidRPr="0079401C">
        <w:t>21.</w:t>
      </w:r>
      <w:r w:rsidRPr="0079401C">
        <w:tab/>
        <w:t>Achenbach T, Achenbach T, Achenbach T. Integrative Guide to the 1991 CBCL/4-18, YSR, and TRF Profiles. 1991.</w:t>
      </w:r>
    </w:p>
    <w:p w14:paraId="390D14B1" w14:textId="77777777" w:rsidR="00743094" w:rsidRPr="0079401C" w:rsidRDefault="00743094" w:rsidP="0079401C">
      <w:pPr>
        <w:pStyle w:val="EndNoteBibliography"/>
        <w:spacing w:after="0"/>
        <w:ind w:left="720" w:hanging="720"/>
      </w:pPr>
      <w:r w:rsidRPr="0079401C">
        <w:t>22.</w:t>
      </w:r>
      <w:r w:rsidRPr="0079401C">
        <w:tab/>
        <w:t xml:space="preserve">Bied A, Biederman J, Faraone S. Parent-based diagnosis of ADHD is as accurate as a teacher-based diagnosis of ADHD. </w:t>
      </w:r>
      <w:r w:rsidRPr="0079401C">
        <w:rPr>
          <w:i/>
        </w:rPr>
        <w:t xml:space="preserve">Postgrad Med. </w:t>
      </w:r>
      <w:r w:rsidRPr="0079401C">
        <w:t>2017;129(3):375-381.</w:t>
      </w:r>
    </w:p>
    <w:p w14:paraId="45DFAFD4" w14:textId="77777777" w:rsidR="00743094" w:rsidRPr="0079401C" w:rsidRDefault="00743094" w:rsidP="0079401C">
      <w:pPr>
        <w:pStyle w:val="EndNoteBibliography"/>
        <w:spacing w:after="0"/>
        <w:ind w:left="720" w:hanging="720"/>
      </w:pPr>
      <w:r w:rsidRPr="0079401C">
        <w:t>23.</w:t>
      </w:r>
      <w:r w:rsidRPr="0079401C">
        <w:tab/>
        <w:t xml:space="preserve">McClowry SG. The development of the School-Age Temperament Inventory. </w:t>
      </w:r>
      <w:r w:rsidRPr="0079401C">
        <w:rPr>
          <w:i/>
        </w:rPr>
        <w:t xml:space="preserve">Merrill-Palmer Quarterly. </w:t>
      </w:r>
      <w:r w:rsidRPr="0079401C">
        <w:t>1995;41: 271–285.</w:t>
      </w:r>
    </w:p>
    <w:p w14:paraId="31693694" w14:textId="77777777" w:rsidR="00743094" w:rsidRPr="0079401C" w:rsidRDefault="00743094" w:rsidP="0079401C">
      <w:pPr>
        <w:pStyle w:val="EndNoteBibliography"/>
        <w:spacing w:after="0"/>
        <w:ind w:left="720" w:hanging="720"/>
      </w:pPr>
      <w:r w:rsidRPr="0079401C">
        <w:t>24.</w:t>
      </w:r>
      <w:r w:rsidRPr="0079401C">
        <w:tab/>
        <w:t xml:space="preserve">Ing A, Samann PG, Chu C, et al. Identification of neurobehavioural symptom groups based on shared brain mechanisms. </w:t>
      </w:r>
      <w:r w:rsidRPr="0079401C">
        <w:rPr>
          <w:i/>
        </w:rPr>
        <w:t xml:space="preserve">Nat Hum Behav. </w:t>
      </w:r>
      <w:r w:rsidRPr="0079401C">
        <w:t>2019;3(12):1306-1318.</w:t>
      </w:r>
    </w:p>
    <w:p w14:paraId="2C5F8816" w14:textId="77777777" w:rsidR="00743094" w:rsidRPr="0079401C" w:rsidRDefault="00743094" w:rsidP="0079401C">
      <w:pPr>
        <w:pStyle w:val="EndNoteBibliography"/>
        <w:spacing w:after="0"/>
        <w:ind w:left="720" w:hanging="720"/>
      </w:pPr>
      <w:r w:rsidRPr="0079401C">
        <w:t>25.</w:t>
      </w:r>
      <w:r w:rsidRPr="0079401C">
        <w:tab/>
        <w:t xml:space="preserve">Witten DM, Tibshirani R, Hastie T. A penalized matrix decomposition, with applications to sparse principal components and canonical correlation analysis. </w:t>
      </w:r>
      <w:r w:rsidRPr="0079401C">
        <w:rPr>
          <w:i/>
        </w:rPr>
        <w:t xml:space="preserve">Biostatistics. </w:t>
      </w:r>
      <w:r w:rsidRPr="0079401C">
        <w:t>2009;10(3):515-534.</w:t>
      </w:r>
    </w:p>
    <w:p w14:paraId="67F46FEF" w14:textId="77777777" w:rsidR="00743094" w:rsidRPr="0079401C" w:rsidRDefault="00743094" w:rsidP="0079401C">
      <w:pPr>
        <w:pStyle w:val="EndNoteBibliography"/>
        <w:spacing w:after="0"/>
        <w:ind w:left="720" w:hanging="720"/>
      </w:pPr>
      <w:r w:rsidRPr="0079401C">
        <w:t>26.</w:t>
      </w:r>
      <w:r w:rsidRPr="0079401C">
        <w:tab/>
        <w:t xml:space="preserve">Moser DA, Doucet GE, Lee WH, et al. Multivariate Associations Among Behavioral, Clinical, and Multimodal Imaging Phenotypes in Patients With Psychosis. </w:t>
      </w:r>
      <w:r w:rsidRPr="0079401C">
        <w:rPr>
          <w:i/>
        </w:rPr>
        <w:t xml:space="preserve">JAMA Psychiatry. </w:t>
      </w:r>
      <w:r w:rsidRPr="0079401C">
        <w:t>2018;75(4):386-395.</w:t>
      </w:r>
    </w:p>
    <w:p w14:paraId="277709A7" w14:textId="77777777" w:rsidR="00743094" w:rsidRPr="0079401C" w:rsidRDefault="00743094" w:rsidP="0079401C">
      <w:pPr>
        <w:pStyle w:val="EndNoteBibliography"/>
        <w:spacing w:after="0"/>
        <w:ind w:left="720" w:hanging="720"/>
      </w:pPr>
      <w:r w:rsidRPr="0079401C">
        <w:t>27.</w:t>
      </w:r>
      <w:r w:rsidRPr="0079401C">
        <w:tab/>
      </w:r>
      <w:r w:rsidRPr="0079401C">
        <w:rPr>
          <w:i/>
        </w:rPr>
        <w:t xml:space="preserve">SDETools: A Matlab Toolbox for the Numerical Solution of Stochastic Differential Equations (SDEs). </w:t>
      </w:r>
      <w:r w:rsidRPr="00743094">
        <w:rPr>
          <w:i/>
        </w:rPr>
        <w:t>https://github.com/horchler/SDETools</w:t>
      </w:r>
      <w:r w:rsidRPr="0079401C">
        <w:t xml:space="preserve"> [computer program]. github2017.</w:t>
      </w:r>
    </w:p>
    <w:p w14:paraId="1CBA1FBD" w14:textId="77777777" w:rsidR="00743094" w:rsidRPr="00F535BA" w:rsidRDefault="00743094" w:rsidP="0079401C">
      <w:pPr>
        <w:pStyle w:val="EndNoteBibliography"/>
        <w:spacing w:after="0"/>
        <w:ind w:left="720" w:hanging="720"/>
        <w:rPr>
          <w:lang w:val="fr-FR"/>
        </w:rPr>
      </w:pPr>
      <w:r w:rsidRPr="0079401C">
        <w:t>28.</w:t>
      </w:r>
      <w:r w:rsidRPr="0079401C">
        <w:tab/>
        <w:t xml:space="preserve">Morelen D, Shaffer A, Suveg C. Maternal emotion regulation: Links to emotion parenting and child emotion regulation. </w:t>
      </w:r>
      <w:r w:rsidRPr="00F535BA">
        <w:rPr>
          <w:i/>
          <w:lang w:val="fr-FR"/>
        </w:rPr>
        <w:t xml:space="preserve">Journal of Family Issues. </w:t>
      </w:r>
      <w:r w:rsidRPr="00F535BA">
        <w:rPr>
          <w:lang w:val="fr-FR"/>
        </w:rPr>
        <w:t>2016;37(13):1891-1916.</w:t>
      </w:r>
    </w:p>
    <w:p w14:paraId="2B6067DC" w14:textId="77777777" w:rsidR="00743094" w:rsidRPr="0079401C" w:rsidRDefault="00743094" w:rsidP="0079401C">
      <w:pPr>
        <w:pStyle w:val="EndNoteBibliography"/>
        <w:spacing w:after="0"/>
        <w:ind w:left="720" w:hanging="720"/>
      </w:pPr>
      <w:r w:rsidRPr="00F535BA">
        <w:rPr>
          <w:lang w:val="fr-FR"/>
        </w:rPr>
        <w:lastRenderedPageBreak/>
        <w:t>29.</w:t>
      </w:r>
      <w:r w:rsidRPr="00F535BA">
        <w:rPr>
          <w:lang w:val="fr-FR"/>
        </w:rPr>
        <w:tab/>
        <w:t xml:space="preserve">Jouriles EN, McFarlane J, Vu NL, et al. </w:t>
      </w:r>
      <w:r w:rsidRPr="0079401C">
        <w:t xml:space="preserve">Mothers’ posttraumatic stress and child adjustment problems in families seeking services for intimate partner violence. </w:t>
      </w:r>
      <w:r w:rsidRPr="0079401C">
        <w:rPr>
          <w:i/>
        </w:rPr>
        <w:t xml:space="preserve">Journal of consulting and clinical psychology. </w:t>
      </w:r>
      <w:r w:rsidRPr="0079401C">
        <w:t>2018;86(7):604.</w:t>
      </w:r>
    </w:p>
    <w:p w14:paraId="2C7D205D" w14:textId="77777777" w:rsidR="00743094" w:rsidRPr="0079401C" w:rsidRDefault="00743094" w:rsidP="0079401C">
      <w:pPr>
        <w:pStyle w:val="EndNoteBibliography"/>
        <w:ind w:left="720" w:hanging="720"/>
      </w:pPr>
      <w:r w:rsidRPr="0079401C">
        <w:t>30.</w:t>
      </w:r>
      <w:r w:rsidRPr="0079401C">
        <w:tab/>
        <w:t xml:space="preserve">Schechter DS, Suardi F, Manini A, et al. How do maternal PTSD and alexithymia interact to impact maternal behavior? </w:t>
      </w:r>
      <w:r w:rsidRPr="0079401C">
        <w:rPr>
          <w:i/>
        </w:rPr>
        <w:t xml:space="preserve">Child psychiatry and human development. </w:t>
      </w:r>
      <w:r w:rsidRPr="0079401C">
        <w:t>2015;46(3):406-417.</w:t>
      </w:r>
    </w:p>
    <w:p w14:paraId="574F6786" w14:textId="77777777" w:rsidR="00743094" w:rsidRDefault="00743094">
      <w:pPr>
        <w:rPr>
          <w:lang w:val="en-US"/>
        </w:rPr>
      </w:pPr>
    </w:p>
    <w:p w14:paraId="1C43746C" w14:textId="77777777" w:rsidR="00743094" w:rsidRPr="00321EEE" w:rsidRDefault="00743094">
      <w:pPr>
        <w:rPr>
          <w:b/>
          <w:bCs/>
          <w:lang w:val="en-US"/>
        </w:rPr>
      </w:pPr>
    </w:p>
    <w:p w14:paraId="62D6068F" w14:textId="77777777" w:rsidR="00826C70" w:rsidRDefault="00826C70"/>
    <w:sectPr w:rsidR="00826C70">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227169"/>
      <w:docPartObj>
        <w:docPartGallery w:val="Page Numbers (Bottom of Page)"/>
        <w:docPartUnique/>
      </w:docPartObj>
    </w:sdtPr>
    <w:sdtEndPr>
      <w:rPr>
        <w:noProof/>
      </w:rPr>
    </w:sdtEndPr>
    <w:sdtContent>
      <w:p w14:paraId="55465397" w14:textId="77777777" w:rsidR="005B10C1"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019A0E" w14:textId="77777777" w:rsidR="00BF3C61"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18606"/>
      <w:docPartObj>
        <w:docPartGallery w:val="Page Numbers (Top of Page)"/>
        <w:docPartUnique/>
      </w:docPartObj>
    </w:sdtPr>
    <w:sdtEndPr>
      <w:rPr>
        <w:noProof/>
      </w:rPr>
    </w:sdtEndPr>
    <w:sdtContent>
      <w:p w14:paraId="4EB1F5A7" w14:textId="77777777" w:rsidR="005B10C1"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29E9FA" w14:textId="77777777" w:rsidR="00BF3C61"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743094"/>
    <w:rsid w:val="00743094"/>
    <w:rsid w:val="00826C70"/>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1F88"/>
  <w15:chartTrackingRefBased/>
  <w15:docId w15:val="{267AC037-AA01-4A34-A854-0548DD9F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094"/>
    <w:rPr>
      <w:lang w:val="fr-CH"/>
    </w:rPr>
  </w:style>
  <w:style w:type="character" w:default="1" w:styleId="DefaultParagraphFont">
    <w:name w:val="Default Paragraph Font"/>
    <w:uiPriority w:val="1"/>
    <w:semiHidden/>
    <w:unhideWhenUsed/>
    <w:rsid w:val="007430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3094"/>
  </w:style>
  <w:style w:type="paragraph" w:styleId="Header">
    <w:name w:val="header"/>
    <w:basedOn w:val="Normal"/>
    <w:link w:val="HeaderChar"/>
    <w:uiPriority w:val="99"/>
    <w:unhideWhenUsed/>
    <w:rsid w:val="00743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094"/>
    <w:rPr>
      <w:lang w:val="fr-CH"/>
    </w:rPr>
  </w:style>
  <w:style w:type="paragraph" w:styleId="Footer">
    <w:name w:val="footer"/>
    <w:basedOn w:val="Normal"/>
    <w:link w:val="FooterChar"/>
    <w:uiPriority w:val="99"/>
    <w:unhideWhenUsed/>
    <w:rsid w:val="00743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094"/>
    <w:rPr>
      <w:lang w:val="fr-CH"/>
    </w:rPr>
  </w:style>
  <w:style w:type="table" w:styleId="TableGrid">
    <w:name w:val="Table Grid"/>
    <w:basedOn w:val="TableNormal"/>
    <w:uiPriority w:val="39"/>
    <w:rsid w:val="00743094"/>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743094"/>
    <w:pPr>
      <w:spacing w:after="0" w:line="240" w:lineRule="auto"/>
    </w:pPr>
    <w:rPr>
      <w:lang w:val="fr-CH"/>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ndNoteBibliographyTitle">
    <w:name w:val="EndNote Bibliography Title"/>
    <w:basedOn w:val="Normal"/>
    <w:link w:val="EndNoteBibliographyTitleChar"/>
    <w:rsid w:val="0074309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43094"/>
    <w:rPr>
      <w:rFonts w:ascii="Calibri" w:hAnsi="Calibri" w:cs="Calibri"/>
      <w:noProof/>
      <w:lang w:val="en-US"/>
    </w:rPr>
  </w:style>
  <w:style w:type="paragraph" w:customStyle="1" w:styleId="EndNoteBibliography">
    <w:name w:val="EndNote Bibliography"/>
    <w:basedOn w:val="Normal"/>
    <w:link w:val="EndNoteBibliographyChar"/>
    <w:rsid w:val="0074309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43094"/>
    <w:rPr>
      <w:rFonts w:ascii="Calibri" w:hAnsi="Calibri" w:cs="Calibri"/>
      <w:noProof/>
      <w:lang w:val="en-US"/>
    </w:rPr>
  </w:style>
  <w:style w:type="character" w:styleId="Hyperlink">
    <w:name w:val="Hyperlink"/>
    <w:basedOn w:val="DefaultParagraphFont"/>
    <w:uiPriority w:val="99"/>
    <w:unhideWhenUsed/>
    <w:rsid w:val="00743094"/>
    <w:rPr>
      <w:color w:val="0563C1" w:themeColor="hyperlink"/>
      <w:u w:val="single"/>
    </w:rPr>
  </w:style>
  <w:style w:type="character" w:customStyle="1" w:styleId="UnresolvedMention1">
    <w:name w:val="Unresolved Mention1"/>
    <w:basedOn w:val="DefaultParagraphFont"/>
    <w:uiPriority w:val="99"/>
    <w:semiHidden/>
    <w:unhideWhenUsed/>
    <w:rsid w:val="00743094"/>
    <w:rPr>
      <w:color w:val="605E5C"/>
      <w:shd w:val="clear" w:color="auto" w:fill="E1DFDD"/>
    </w:rPr>
  </w:style>
  <w:style w:type="character" w:styleId="CommentReference">
    <w:name w:val="annotation reference"/>
    <w:basedOn w:val="DefaultParagraphFont"/>
    <w:uiPriority w:val="99"/>
    <w:semiHidden/>
    <w:unhideWhenUsed/>
    <w:rsid w:val="00743094"/>
    <w:rPr>
      <w:sz w:val="16"/>
      <w:szCs w:val="16"/>
    </w:rPr>
  </w:style>
  <w:style w:type="paragraph" w:styleId="CommentText">
    <w:name w:val="annotation text"/>
    <w:basedOn w:val="Normal"/>
    <w:link w:val="CommentTextChar"/>
    <w:uiPriority w:val="99"/>
    <w:semiHidden/>
    <w:unhideWhenUsed/>
    <w:rsid w:val="00743094"/>
    <w:pPr>
      <w:spacing w:line="240" w:lineRule="auto"/>
    </w:pPr>
    <w:rPr>
      <w:sz w:val="20"/>
      <w:szCs w:val="20"/>
    </w:rPr>
  </w:style>
  <w:style w:type="character" w:customStyle="1" w:styleId="CommentTextChar">
    <w:name w:val="Comment Text Char"/>
    <w:basedOn w:val="DefaultParagraphFont"/>
    <w:link w:val="CommentText"/>
    <w:uiPriority w:val="99"/>
    <w:semiHidden/>
    <w:rsid w:val="00743094"/>
    <w:rPr>
      <w:sz w:val="20"/>
      <w:szCs w:val="20"/>
      <w:lang w:val="fr-CH"/>
    </w:rPr>
  </w:style>
  <w:style w:type="paragraph" w:styleId="BalloonText">
    <w:name w:val="Balloon Text"/>
    <w:basedOn w:val="Normal"/>
    <w:link w:val="BalloonTextChar"/>
    <w:uiPriority w:val="99"/>
    <w:semiHidden/>
    <w:unhideWhenUsed/>
    <w:rsid w:val="00743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094"/>
    <w:rPr>
      <w:rFonts w:ascii="Segoe UI" w:hAnsi="Segoe UI" w:cs="Segoe UI"/>
      <w:sz w:val="18"/>
      <w:szCs w:val="18"/>
      <w:lang w:val="fr-CH"/>
    </w:rPr>
  </w:style>
  <w:style w:type="paragraph" w:styleId="CommentSubject">
    <w:name w:val="annotation subject"/>
    <w:basedOn w:val="CommentText"/>
    <w:next w:val="CommentText"/>
    <w:link w:val="CommentSubjectChar"/>
    <w:uiPriority w:val="99"/>
    <w:semiHidden/>
    <w:unhideWhenUsed/>
    <w:rsid w:val="00743094"/>
    <w:rPr>
      <w:b/>
      <w:bCs/>
    </w:rPr>
  </w:style>
  <w:style w:type="character" w:customStyle="1" w:styleId="CommentSubjectChar">
    <w:name w:val="Comment Subject Char"/>
    <w:basedOn w:val="CommentTextChar"/>
    <w:link w:val="CommentSubject"/>
    <w:uiPriority w:val="99"/>
    <w:semiHidden/>
    <w:rsid w:val="00743094"/>
    <w:rPr>
      <w:b/>
      <w:bCs/>
      <w:sz w:val="20"/>
      <w:szCs w:val="20"/>
      <w:lang w:val="fr-CH"/>
    </w:rPr>
  </w:style>
  <w:style w:type="paragraph" w:styleId="Revision">
    <w:name w:val="Revision"/>
    <w:hidden/>
    <w:uiPriority w:val="99"/>
    <w:semiHidden/>
    <w:rsid w:val="00743094"/>
    <w:pPr>
      <w:spacing w:after="0" w:line="240" w:lineRule="auto"/>
    </w:pPr>
    <w:rPr>
      <w:lang w:val="fr-CH"/>
    </w:rPr>
  </w:style>
  <w:style w:type="character" w:styleId="UnresolvedMention">
    <w:name w:val="Unresolved Mention"/>
    <w:basedOn w:val="DefaultParagraphFont"/>
    <w:uiPriority w:val="99"/>
    <w:semiHidden/>
    <w:unhideWhenUsed/>
    <w:rsid w:val="00743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3445</Words>
  <Characters>19640</Characters>
  <Application>Microsoft Office Word</Application>
  <DocSecurity>0</DocSecurity>
  <Lines>163</Lines>
  <Paragraphs>46</Paragraphs>
  <ScaleCrop>false</ScaleCrop>
  <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1</cp:revision>
  <dcterms:created xsi:type="dcterms:W3CDTF">2022-10-04T17:49:00Z</dcterms:created>
  <dcterms:modified xsi:type="dcterms:W3CDTF">2022-10-04T17:49:00Z</dcterms:modified>
</cp:coreProperties>
</file>