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FA" w:rsidRPr="002579C1" w:rsidRDefault="00C322FA" w:rsidP="00C322FA">
      <w:pPr>
        <w:suppressLineNumbers/>
        <w:jc w:val="both"/>
        <w:rPr>
          <w:rFonts w:ascii="Arial" w:hAnsi="Arial"/>
          <w:sz w:val="18"/>
          <w:szCs w:val="18"/>
          <w:lang w:val="en-GB"/>
        </w:rPr>
      </w:pPr>
      <w:bookmarkStart w:id="0" w:name="_GoBack"/>
      <w:bookmarkEnd w:id="0"/>
      <w:r w:rsidRPr="002579C1">
        <w:rPr>
          <w:rFonts w:ascii="Arial" w:hAnsi="Arial"/>
          <w:sz w:val="18"/>
          <w:szCs w:val="18"/>
          <w:lang w:val="en-GB"/>
        </w:rPr>
        <w:t>Table S1</w:t>
      </w:r>
      <w:r>
        <w:rPr>
          <w:rFonts w:ascii="Arial" w:hAnsi="Arial"/>
          <w:sz w:val="18"/>
          <w:szCs w:val="18"/>
          <w:lang w:val="en-GB"/>
        </w:rPr>
        <w:t>:</w:t>
      </w:r>
      <w:r w:rsidRPr="002579C1">
        <w:rPr>
          <w:rFonts w:ascii="Arial" w:hAnsi="Arial"/>
          <w:sz w:val="18"/>
          <w:szCs w:val="18"/>
          <w:lang w:val="en-GB"/>
        </w:rPr>
        <w:t xml:space="preserve"> Performance at the Iowa Gambling Task (IGT) in a group of 114 patients with anorexia nervosa (91 acute, 23 remitted). Comparisons were made by ANCOVAs between patients taking psychotropic medication (benzodiazepines, antidepressants, antipsychotics) and patients who did not. </w:t>
      </w:r>
      <w:r>
        <w:rPr>
          <w:rFonts w:ascii="Arial" w:hAnsi="Arial"/>
          <w:sz w:val="18"/>
          <w:szCs w:val="18"/>
        </w:rPr>
        <w:t>N</w:t>
      </w:r>
      <w:r w:rsidRPr="00CF3309">
        <w:rPr>
          <w:rFonts w:ascii="Arial" w:hAnsi="Arial"/>
          <w:sz w:val="18"/>
          <w:szCs w:val="18"/>
        </w:rPr>
        <w:t xml:space="preserve">ational adult </w:t>
      </w:r>
      <w:r>
        <w:rPr>
          <w:rFonts w:ascii="Arial" w:hAnsi="Arial"/>
          <w:sz w:val="18"/>
          <w:szCs w:val="18"/>
        </w:rPr>
        <w:t>R</w:t>
      </w:r>
      <w:r w:rsidRPr="00CF3309">
        <w:rPr>
          <w:rFonts w:ascii="Arial" w:hAnsi="Arial"/>
          <w:sz w:val="18"/>
          <w:szCs w:val="18"/>
        </w:rPr>
        <w:t xml:space="preserve">eading </w:t>
      </w:r>
      <w:r>
        <w:rPr>
          <w:rFonts w:ascii="Arial" w:hAnsi="Arial"/>
          <w:sz w:val="18"/>
          <w:szCs w:val="18"/>
        </w:rPr>
        <w:t>T</w:t>
      </w:r>
      <w:r w:rsidRPr="00CF3309">
        <w:rPr>
          <w:rFonts w:ascii="Arial" w:hAnsi="Arial"/>
          <w:sz w:val="18"/>
          <w:szCs w:val="18"/>
        </w:rPr>
        <w:t>est</w:t>
      </w:r>
      <w:r w:rsidRPr="002579C1">
        <w:rPr>
          <w:rFonts w:ascii="Arial" w:hAnsi="Arial"/>
          <w:sz w:val="18"/>
          <w:szCs w:val="18"/>
          <w:lang w:val="en-GB"/>
        </w:rPr>
        <w:t xml:space="preserve"> </w:t>
      </w:r>
      <w:r>
        <w:rPr>
          <w:rFonts w:ascii="Arial" w:hAnsi="Arial"/>
          <w:sz w:val="18"/>
          <w:szCs w:val="18"/>
          <w:lang w:val="en-GB"/>
        </w:rPr>
        <w:t>(</w:t>
      </w:r>
      <w:r w:rsidRPr="002579C1">
        <w:rPr>
          <w:rFonts w:ascii="Arial" w:hAnsi="Arial"/>
          <w:sz w:val="18"/>
          <w:szCs w:val="18"/>
          <w:lang w:val="en-GB"/>
        </w:rPr>
        <w:t>NART</w:t>
      </w:r>
      <w:r>
        <w:rPr>
          <w:rFonts w:ascii="Arial" w:hAnsi="Arial"/>
          <w:sz w:val="18"/>
          <w:szCs w:val="18"/>
          <w:lang w:val="en-GB"/>
        </w:rPr>
        <w:t>)</w:t>
      </w:r>
      <w:r w:rsidRPr="002579C1">
        <w:rPr>
          <w:rFonts w:ascii="Arial" w:hAnsi="Arial"/>
          <w:sz w:val="18"/>
          <w:szCs w:val="18"/>
          <w:lang w:val="en-GB"/>
        </w:rPr>
        <w:t xml:space="preserve"> score, </w:t>
      </w:r>
      <w:r w:rsidRPr="00CF3309">
        <w:rPr>
          <w:rFonts w:ascii="Arial" w:hAnsi="Arial"/>
          <w:sz w:val="18"/>
          <w:szCs w:val="18"/>
        </w:rPr>
        <w:t>Barratt impulsivity scale</w:t>
      </w:r>
      <w:r w:rsidRPr="002579C1">
        <w:rPr>
          <w:rFonts w:ascii="Arial" w:hAnsi="Arial"/>
          <w:sz w:val="18"/>
          <w:szCs w:val="18"/>
          <w:lang w:val="en-GB"/>
        </w:rPr>
        <w:t xml:space="preserve"> </w:t>
      </w:r>
      <w:r>
        <w:rPr>
          <w:rFonts w:ascii="Arial" w:hAnsi="Arial"/>
          <w:sz w:val="18"/>
          <w:szCs w:val="18"/>
          <w:lang w:val="en-GB"/>
        </w:rPr>
        <w:t>(BIS-</w:t>
      </w:r>
      <w:r w:rsidRPr="002579C1">
        <w:rPr>
          <w:rFonts w:ascii="Arial" w:hAnsi="Arial"/>
          <w:sz w:val="18"/>
          <w:szCs w:val="18"/>
          <w:lang w:val="en-GB"/>
        </w:rPr>
        <w:t>10</w:t>
      </w:r>
      <w:r>
        <w:rPr>
          <w:rFonts w:ascii="Arial" w:hAnsi="Arial"/>
          <w:sz w:val="18"/>
          <w:szCs w:val="18"/>
          <w:lang w:val="en-GB"/>
        </w:rPr>
        <w:t>)</w:t>
      </w:r>
      <w:r w:rsidRPr="002579C1">
        <w:rPr>
          <w:rFonts w:ascii="Arial" w:hAnsi="Arial"/>
          <w:sz w:val="18"/>
          <w:szCs w:val="18"/>
          <w:lang w:val="en-GB"/>
        </w:rPr>
        <w:t xml:space="preserve">, age and </w:t>
      </w:r>
      <w:r w:rsidRPr="00CF3309">
        <w:rPr>
          <w:rFonts w:ascii="Arial" w:hAnsi="Arial"/>
          <w:sz w:val="18"/>
          <w:szCs w:val="18"/>
        </w:rPr>
        <w:t xml:space="preserve">STAI: </w:t>
      </w:r>
      <w:r>
        <w:rPr>
          <w:rFonts w:ascii="Arial" w:hAnsi="Arial"/>
          <w:sz w:val="18"/>
          <w:szCs w:val="18"/>
        </w:rPr>
        <w:t>S</w:t>
      </w:r>
      <w:r w:rsidRPr="00CF3309">
        <w:rPr>
          <w:rFonts w:ascii="Arial" w:hAnsi="Arial"/>
          <w:sz w:val="18"/>
          <w:szCs w:val="18"/>
        </w:rPr>
        <w:t>tate-</w:t>
      </w:r>
      <w:r>
        <w:rPr>
          <w:rFonts w:ascii="Arial" w:hAnsi="Arial"/>
          <w:sz w:val="18"/>
          <w:szCs w:val="18"/>
        </w:rPr>
        <w:t xml:space="preserve">Trait </w:t>
      </w:r>
      <w:r w:rsidRPr="002579C1">
        <w:rPr>
          <w:rFonts w:ascii="Arial" w:hAnsi="Arial"/>
          <w:sz w:val="18"/>
          <w:szCs w:val="18"/>
          <w:lang w:val="en-GB"/>
        </w:rPr>
        <w:t>A</w:t>
      </w:r>
      <w:proofErr w:type="spellStart"/>
      <w:r w:rsidRPr="00CF3309">
        <w:rPr>
          <w:rFonts w:ascii="Arial" w:hAnsi="Arial"/>
          <w:sz w:val="18"/>
          <w:szCs w:val="18"/>
        </w:rPr>
        <w:t>nxiety</w:t>
      </w:r>
      <w:proofErr w:type="spellEnd"/>
      <w:r w:rsidRPr="00CF3309">
        <w:rPr>
          <w:rFonts w:ascii="Arial" w:hAnsi="Arial"/>
          <w:sz w:val="18"/>
          <w:szCs w:val="18"/>
        </w:rPr>
        <w:t xml:space="preserve"> </w:t>
      </w:r>
      <w:r>
        <w:rPr>
          <w:rFonts w:ascii="Arial" w:hAnsi="Arial"/>
          <w:sz w:val="18"/>
          <w:szCs w:val="18"/>
        </w:rPr>
        <w:t>I</w:t>
      </w:r>
      <w:r w:rsidRPr="00CF3309">
        <w:rPr>
          <w:rFonts w:ascii="Arial" w:hAnsi="Arial"/>
          <w:sz w:val="18"/>
          <w:szCs w:val="18"/>
        </w:rPr>
        <w:t>nventory</w:t>
      </w:r>
      <w:r w:rsidRPr="002579C1">
        <w:rPr>
          <w:rFonts w:ascii="Arial" w:hAnsi="Arial"/>
          <w:sz w:val="18"/>
          <w:szCs w:val="18"/>
          <w:lang w:val="en-GB"/>
        </w:rPr>
        <w:t xml:space="preserve"> </w:t>
      </w:r>
      <w:r>
        <w:rPr>
          <w:rFonts w:ascii="Arial" w:hAnsi="Arial"/>
          <w:sz w:val="18"/>
          <w:szCs w:val="18"/>
          <w:lang w:val="en-GB"/>
        </w:rPr>
        <w:t>(</w:t>
      </w:r>
      <w:r w:rsidRPr="002579C1">
        <w:rPr>
          <w:rFonts w:ascii="Arial" w:hAnsi="Arial"/>
          <w:sz w:val="18"/>
          <w:szCs w:val="18"/>
          <w:lang w:val="en-GB"/>
        </w:rPr>
        <w:t>STAI</w:t>
      </w:r>
      <w:r>
        <w:rPr>
          <w:rFonts w:ascii="Arial" w:hAnsi="Arial"/>
          <w:sz w:val="18"/>
          <w:szCs w:val="18"/>
          <w:lang w:val="en-GB"/>
        </w:rPr>
        <w:t>)</w:t>
      </w:r>
      <w:r w:rsidRPr="002579C1">
        <w:rPr>
          <w:rFonts w:ascii="Arial" w:hAnsi="Arial"/>
          <w:sz w:val="18"/>
          <w:szCs w:val="18"/>
          <w:lang w:val="en-GB"/>
        </w:rPr>
        <w:t>-A were introduced in the model as covariates.</w:t>
      </w:r>
    </w:p>
    <w:p w:rsidR="00C322FA" w:rsidRDefault="00C322FA" w:rsidP="00C322FA">
      <w:pPr>
        <w:suppressLineNumbers/>
        <w:jc w:val="both"/>
        <w:rPr>
          <w:rFonts w:ascii="Arial" w:hAnsi="Arial"/>
          <w:sz w:val="20"/>
          <w:szCs w:val="20"/>
          <w:lang w:val="en-GB"/>
        </w:rPr>
      </w:pPr>
    </w:p>
    <w:tbl>
      <w:tblPr>
        <w:tblStyle w:val="TableGrid"/>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417"/>
        <w:gridCol w:w="1418"/>
        <w:gridCol w:w="425"/>
        <w:gridCol w:w="1559"/>
        <w:gridCol w:w="709"/>
        <w:gridCol w:w="1003"/>
      </w:tblGrid>
      <w:tr w:rsidR="00C322FA" w:rsidRPr="00215E16" w:rsidTr="00C322FA">
        <w:trPr>
          <w:trHeight w:val="412"/>
        </w:trPr>
        <w:tc>
          <w:tcPr>
            <w:tcW w:w="2235" w:type="dxa"/>
            <w:tcBorders>
              <w:top w:val="single" w:sz="4" w:space="0" w:color="auto"/>
              <w:bottom w:val="single" w:sz="4" w:space="0" w:color="auto"/>
            </w:tcBorders>
            <w:hideMark/>
          </w:tcPr>
          <w:p w:rsidR="00C322FA" w:rsidRPr="006B5AE3" w:rsidRDefault="00C322FA" w:rsidP="00C322FA">
            <w:pPr>
              <w:rPr>
                <w:rFonts w:ascii="Arial" w:hAnsi="Arial"/>
                <w:sz w:val="20"/>
                <w:szCs w:val="20"/>
                <w:lang w:val="en-US"/>
              </w:rPr>
            </w:pPr>
          </w:p>
        </w:tc>
        <w:tc>
          <w:tcPr>
            <w:tcW w:w="1417" w:type="dxa"/>
            <w:tcBorders>
              <w:top w:val="single" w:sz="4" w:space="0" w:color="auto"/>
              <w:bottom w:val="single" w:sz="4" w:space="0" w:color="auto"/>
            </w:tcBorders>
            <w:vAlign w:val="center"/>
          </w:tcPr>
          <w:p w:rsidR="00C322FA" w:rsidRPr="00215E16" w:rsidRDefault="00C322FA" w:rsidP="00C322FA">
            <w:pPr>
              <w:jc w:val="right"/>
              <w:rPr>
                <w:rFonts w:ascii="Arial" w:hAnsi="Arial"/>
                <w:sz w:val="20"/>
                <w:szCs w:val="20"/>
              </w:rPr>
            </w:pPr>
            <w:proofErr w:type="spellStart"/>
            <w:r w:rsidRPr="00215E16">
              <w:rPr>
                <w:rFonts w:ascii="Arial" w:hAnsi="Arial"/>
                <w:sz w:val="20"/>
                <w:szCs w:val="20"/>
              </w:rPr>
              <w:t>Yes</w:t>
            </w:r>
            <w:proofErr w:type="spellEnd"/>
          </w:p>
        </w:tc>
        <w:tc>
          <w:tcPr>
            <w:tcW w:w="1418" w:type="dxa"/>
            <w:tcBorders>
              <w:top w:val="single" w:sz="4" w:space="0" w:color="auto"/>
              <w:bottom w:val="single" w:sz="4" w:space="0" w:color="auto"/>
            </w:tcBorders>
            <w:vAlign w:val="center"/>
          </w:tcPr>
          <w:p w:rsidR="00C322FA" w:rsidRPr="00215E16" w:rsidRDefault="00C322FA" w:rsidP="00C322FA">
            <w:pPr>
              <w:jc w:val="right"/>
              <w:rPr>
                <w:rFonts w:ascii="Arial" w:hAnsi="Arial"/>
                <w:sz w:val="20"/>
                <w:szCs w:val="20"/>
              </w:rPr>
            </w:pPr>
            <w:r w:rsidRPr="00215E16">
              <w:rPr>
                <w:rFonts w:ascii="Arial" w:hAnsi="Arial"/>
                <w:sz w:val="20"/>
                <w:szCs w:val="20"/>
              </w:rPr>
              <w:t>No</w:t>
            </w:r>
          </w:p>
        </w:tc>
        <w:tc>
          <w:tcPr>
            <w:tcW w:w="425" w:type="dxa"/>
            <w:tcBorders>
              <w:top w:val="single" w:sz="4" w:space="0" w:color="auto"/>
              <w:bottom w:val="single" w:sz="4" w:space="0" w:color="auto"/>
            </w:tcBorders>
            <w:vAlign w:val="center"/>
            <w:hideMark/>
          </w:tcPr>
          <w:p w:rsidR="00C322FA" w:rsidRPr="00215E16" w:rsidRDefault="00C322FA" w:rsidP="00C322FA">
            <w:pPr>
              <w:jc w:val="right"/>
              <w:rPr>
                <w:rFonts w:ascii="Arial" w:hAnsi="Arial"/>
                <w:sz w:val="20"/>
                <w:szCs w:val="20"/>
              </w:rPr>
            </w:pPr>
            <w:proofErr w:type="spellStart"/>
            <w:r w:rsidRPr="00215E16">
              <w:rPr>
                <w:rFonts w:ascii="Arial" w:hAnsi="Arial"/>
                <w:sz w:val="20"/>
                <w:szCs w:val="20"/>
              </w:rPr>
              <w:t>df</w:t>
            </w:r>
            <w:proofErr w:type="spellEnd"/>
          </w:p>
        </w:tc>
        <w:tc>
          <w:tcPr>
            <w:tcW w:w="1559" w:type="dxa"/>
            <w:tcBorders>
              <w:top w:val="single" w:sz="4" w:space="0" w:color="auto"/>
              <w:bottom w:val="single" w:sz="4" w:space="0" w:color="auto"/>
            </w:tcBorders>
            <w:vAlign w:val="center"/>
            <w:hideMark/>
          </w:tcPr>
          <w:p w:rsidR="00C322FA" w:rsidRPr="00215E16" w:rsidRDefault="00C322FA" w:rsidP="00C322FA">
            <w:pPr>
              <w:jc w:val="right"/>
              <w:rPr>
                <w:rFonts w:ascii="Arial" w:hAnsi="Arial"/>
                <w:sz w:val="20"/>
                <w:szCs w:val="20"/>
              </w:rPr>
            </w:pPr>
            <w:proofErr w:type="spellStart"/>
            <w:r w:rsidRPr="00215E16">
              <w:rPr>
                <w:rFonts w:ascii="Arial" w:hAnsi="Arial"/>
                <w:sz w:val="20"/>
                <w:szCs w:val="20"/>
              </w:rPr>
              <w:t>Mean</w:t>
            </w:r>
            <w:proofErr w:type="spellEnd"/>
            <w:r w:rsidRPr="00215E16">
              <w:rPr>
                <w:rFonts w:ascii="Arial" w:hAnsi="Arial"/>
                <w:sz w:val="20"/>
                <w:szCs w:val="20"/>
              </w:rPr>
              <w:t xml:space="preserve"> </w:t>
            </w:r>
            <w:proofErr w:type="spellStart"/>
            <w:r w:rsidRPr="00215E16">
              <w:rPr>
                <w:rFonts w:ascii="Arial" w:hAnsi="Arial"/>
                <w:sz w:val="20"/>
                <w:szCs w:val="20"/>
              </w:rPr>
              <w:t>sq</w:t>
            </w:r>
            <w:proofErr w:type="spellEnd"/>
            <w:r w:rsidRPr="00215E16">
              <w:rPr>
                <w:rFonts w:ascii="Arial" w:hAnsi="Arial"/>
                <w:sz w:val="20"/>
                <w:szCs w:val="20"/>
              </w:rPr>
              <w:t xml:space="preserve"> </w:t>
            </w:r>
            <w:proofErr w:type="spellStart"/>
            <w:r w:rsidRPr="00215E16">
              <w:rPr>
                <w:rFonts w:ascii="Arial" w:hAnsi="Arial"/>
                <w:sz w:val="20"/>
                <w:szCs w:val="20"/>
              </w:rPr>
              <w:t>sum</w:t>
            </w:r>
            <w:proofErr w:type="spellEnd"/>
          </w:p>
        </w:tc>
        <w:tc>
          <w:tcPr>
            <w:tcW w:w="709" w:type="dxa"/>
            <w:tcBorders>
              <w:top w:val="single" w:sz="4" w:space="0" w:color="auto"/>
              <w:bottom w:val="single" w:sz="4" w:space="0" w:color="auto"/>
            </w:tcBorders>
            <w:vAlign w:val="center"/>
            <w:hideMark/>
          </w:tcPr>
          <w:p w:rsidR="00C322FA" w:rsidRPr="00215E16" w:rsidRDefault="00C322FA" w:rsidP="00C322FA">
            <w:pPr>
              <w:jc w:val="right"/>
              <w:rPr>
                <w:rFonts w:ascii="Arial" w:hAnsi="Arial"/>
                <w:sz w:val="20"/>
                <w:szCs w:val="20"/>
              </w:rPr>
            </w:pPr>
            <w:r w:rsidRPr="00215E16">
              <w:rPr>
                <w:rFonts w:ascii="Arial" w:hAnsi="Arial"/>
                <w:sz w:val="20"/>
                <w:szCs w:val="20"/>
              </w:rPr>
              <w:t>F</w:t>
            </w:r>
          </w:p>
        </w:tc>
        <w:tc>
          <w:tcPr>
            <w:tcW w:w="1003" w:type="dxa"/>
            <w:tcBorders>
              <w:top w:val="single" w:sz="4" w:space="0" w:color="auto"/>
              <w:bottom w:val="single" w:sz="4" w:space="0" w:color="auto"/>
            </w:tcBorders>
            <w:vAlign w:val="center"/>
            <w:hideMark/>
          </w:tcPr>
          <w:p w:rsidR="00C322FA" w:rsidRPr="00215E16" w:rsidRDefault="00C322FA" w:rsidP="00C322FA">
            <w:pPr>
              <w:jc w:val="right"/>
              <w:rPr>
                <w:rFonts w:ascii="Arial" w:hAnsi="Arial"/>
                <w:sz w:val="20"/>
                <w:szCs w:val="20"/>
              </w:rPr>
            </w:pPr>
            <w:r w:rsidRPr="00215E16">
              <w:rPr>
                <w:rFonts w:ascii="Arial" w:hAnsi="Arial"/>
                <w:sz w:val="20"/>
                <w:szCs w:val="20"/>
              </w:rPr>
              <w:t>p-value</w:t>
            </w:r>
          </w:p>
        </w:tc>
      </w:tr>
      <w:tr w:rsidR="00C322FA" w:rsidRPr="00215E16" w:rsidTr="00C322FA">
        <w:trPr>
          <w:trHeight w:val="380"/>
        </w:trPr>
        <w:tc>
          <w:tcPr>
            <w:tcW w:w="2235" w:type="dxa"/>
            <w:tcBorders>
              <w:top w:val="single" w:sz="4" w:space="0" w:color="auto"/>
            </w:tcBorders>
          </w:tcPr>
          <w:p w:rsidR="00C322FA" w:rsidRPr="00215E16" w:rsidRDefault="00C322FA" w:rsidP="00C322FA">
            <w:pPr>
              <w:rPr>
                <w:rFonts w:ascii="Arial" w:hAnsi="Arial"/>
                <w:b/>
                <w:bCs/>
                <w:sz w:val="18"/>
                <w:szCs w:val="18"/>
              </w:rPr>
            </w:pPr>
            <w:proofErr w:type="spellStart"/>
            <w:r w:rsidRPr="00215E16">
              <w:rPr>
                <w:rFonts w:ascii="Arial" w:hAnsi="Arial"/>
                <w:b/>
                <w:bCs/>
                <w:sz w:val="18"/>
                <w:szCs w:val="18"/>
              </w:rPr>
              <w:t>Benzodiazepines</w:t>
            </w:r>
            <w:proofErr w:type="spellEnd"/>
            <w:r w:rsidRPr="00215E16">
              <w:rPr>
                <w:rFonts w:ascii="Arial" w:hAnsi="Arial"/>
                <w:b/>
                <w:bCs/>
                <w:sz w:val="18"/>
                <w:szCs w:val="18"/>
              </w:rPr>
              <w:t>, n(%)</w:t>
            </w:r>
          </w:p>
        </w:tc>
        <w:tc>
          <w:tcPr>
            <w:tcW w:w="1417" w:type="dxa"/>
            <w:tcBorders>
              <w:top w:val="single" w:sz="4" w:space="0" w:color="auto"/>
            </w:tcBorders>
          </w:tcPr>
          <w:p w:rsidR="00C322FA" w:rsidRPr="00215E16" w:rsidRDefault="00C322FA" w:rsidP="00C322FA">
            <w:pPr>
              <w:jc w:val="right"/>
              <w:rPr>
                <w:rFonts w:ascii="Arial" w:hAnsi="Arial"/>
                <w:sz w:val="18"/>
                <w:szCs w:val="18"/>
              </w:rPr>
            </w:pPr>
            <w:r w:rsidRPr="00215E16">
              <w:rPr>
                <w:rFonts w:ascii="Arial" w:hAnsi="Arial"/>
                <w:sz w:val="18"/>
                <w:szCs w:val="18"/>
              </w:rPr>
              <w:t>50 (43.85%)</w:t>
            </w:r>
          </w:p>
        </w:tc>
        <w:tc>
          <w:tcPr>
            <w:tcW w:w="1418" w:type="dxa"/>
            <w:tcBorders>
              <w:top w:val="single" w:sz="4" w:space="0" w:color="auto"/>
            </w:tcBorders>
          </w:tcPr>
          <w:p w:rsidR="00C322FA" w:rsidRPr="00215E16" w:rsidRDefault="00C322FA" w:rsidP="00C322FA">
            <w:pPr>
              <w:jc w:val="right"/>
              <w:rPr>
                <w:rFonts w:ascii="Arial" w:hAnsi="Arial"/>
                <w:sz w:val="18"/>
                <w:szCs w:val="18"/>
              </w:rPr>
            </w:pPr>
            <w:r w:rsidRPr="00215E16">
              <w:rPr>
                <w:rFonts w:ascii="Arial" w:hAnsi="Arial"/>
                <w:sz w:val="18"/>
                <w:szCs w:val="18"/>
              </w:rPr>
              <w:t>64 (56.15%)</w:t>
            </w:r>
          </w:p>
        </w:tc>
        <w:tc>
          <w:tcPr>
            <w:tcW w:w="425" w:type="dxa"/>
            <w:tcBorders>
              <w:top w:val="single" w:sz="4" w:space="0" w:color="auto"/>
            </w:tcBorders>
            <w:noWrap/>
          </w:tcPr>
          <w:p w:rsidR="00C322FA" w:rsidRPr="00215E16" w:rsidRDefault="00C322FA" w:rsidP="00C322FA">
            <w:pPr>
              <w:rPr>
                <w:rFonts w:ascii="Arial" w:hAnsi="Arial"/>
                <w:sz w:val="18"/>
                <w:szCs w:val="18"/>
              </w:rPr>
            </w:pPr>
          </w:p>
        </w:tc>
        <w:tc>
          <w:tcPr>
            <w:tcW w:w="1559" w:type="dxa"/>
            <w:tcBorders>
              <w:top w:val="single" w:sz="4" w:space="0" w:color="auto"/>
            </w:tcBorders>
            <w:noWrap/>
          </w:tcPr>
          <w:p w:rsidR="00C322FA" w:rsidRPr="00215E16" w:rsidRDefault="00C322FA" w:rsidP="00C322FA">
            <w:pPr>
              <w:rPr>
                <w:rFonts w:ascii="Arial" w:hAnsi="Arial"/>
                <w:sz w:val="18"/>
                <w:szCs w:val="18"/>
              </w:rPr>
            </w:pPr>
          </w:p>
        </w:tc>
        <w:tc>
          <w:tcPr>
            <w:tcW w:w="709" w:type="dxa"/>
            <w:tcBorders>
              <w:top w:val="single" w:sz="4" w:space="0" w:color="auto"/>
            </w:tcBorders>
            <w:noWrap/>
          </w:tcPr>
          <w:p w:rsidR="00C322FA" w:rsidRPr="00215E16" w:rsidRDefault="00C322FA" w:rsidP="00C322FA">
            <w:pPr>
              <w:rPr>
                <w:rFonts w:ascii="Arial" w:hAnsi="Arial"/>
                <w:sz w:val="18"/>
                <w:szCs w:val="18"/>
              </w:rPr>
            </w:pPr>
          </w:p>
        </w:tc>
        <w:tc>
          <w:tcPr>
            <w:tcW w:w="1003" w:type="dxa"/>
            <w:tcBorders>
              <w:top w:val="single" w:sz="4" w:space="0" w:color="auto"/>
            </w:tcBorders>
            <w:noWrap/>
          </w:tcPr>
          <w:p w:rsidR="00C322FA" w:rsidRPr="00215E16" w:rsidRDefault="00C322FA" w:rsidP="00C322FA">
            <w:pPr>
              <w:rPr>
                <w:rFonts w:ascii="Arial" w:hAnsi="Arial"/>
                <w:sz w:val="18"/>
                <w:szCs w:val="18"/>
              </w:rPr>
            </w:pP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IGT total </w:t>
            </w:r>
            <w:proofErr w:type="spellStart"/>
            <w:r w:rsidRPr="00215E16">
              <w:rPr>
                <w:rFonts w:ascii="Arial" w:hAnsi="Arial"/>
                <w:sz w:val="18"/>
                <w:szCs w:val="18"/>
              </w:rPr>
              <w:t>raw</w:t>
            </w:r>
            <w:proofErr w:type="spellEnd"/>
            <w:r w:rsidRPr="00215E16">
              <w:rPr>
                <w:rFonts w:ascii="Arial" w:hAnsi="Arial"/>
                <w:sz w:val="18"/>
                <w:szCs w:val="18"/>
              </w:rPr>
              <w:t xml:space="preserve"> score</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 xml:space="preserve">12.16 </w:t>
            </w:r>
            <w:r w:rsidRPr="00215E16">
              <w:rPr>
                <w:rFonts w:ascii="Arial" w:hAnsi="Arial" w:cs="Arial"/>
                <w:sz w:val="18"/>
                <w:szCs w:val="18"/>
                <w:lang w:val="en-GB"/>
              </w:rPr>
              <w:t>± 30.08</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13.42 ± 27.33</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50.98</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.06</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.80</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 (</w:t>
            </w:r>
            <w:proofErr w:type="spellStart"/>
            <w:r w:rsidRPr="00215E16">
              <w:rPr>
                <w:rFonts w:ascii="Arial" w:hAnsi="Arial"/>
                <w:sz w:val="18"/>
                <w:szCs w:val="18"/>
              </w:rPr>
              <w:t>learning</w:t>
            </w:r>
            <w:proofErr w:type="spellEnd"/>
            <w:r w:rsidRPr="00215E16">
              <w:rPr>
                <w:rFonts w:ascii="Arial" w:hAnsi="Arial"/>
                <w:sz w:val="18"/>
                <w:szCs w:val="18"/>
              </w:rPr>
              <w:t>)</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.55 ± .24</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.51 ± .25</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.01</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.24</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.62</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alpha</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.15 ± .04</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.16 ± .04</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&lt;.01</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2.01</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.16</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PVL - </w:t>
            </w:r>
            <w:proofErr w:type="spellStart"/>
            <w:r w:rsidRPr="00215E16">
              <w:rPr>
                <w:rFonts w:ascii="Arial" w:hAnsi="Arial"/>
                <w:sz w:val="18"/>
                <w:szCs w:val="18"/>
              </w:rPr>
              <w:t>consistency</w:t>
            </w:r>
            <w:proofErr w:type="spellEnd"/>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.67 ± .28</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.67 ± .33</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3.23E-05</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&lt;.01</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.98</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lambda</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1.61 ± 1.65</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1.44 ± 1.71</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.46</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.16</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.69</w:t>
            </w:r>
          </w:p>
        </w:tc>
      </w:tr>
      <w:tr w:rsidR="00C322FA" w:rsidRPr="00215E16" w:rsidTr="00C322FA">
        <w:trPr>
          <w:trHeight w:val="380"/>
        </w:trPr>
        <w:tc>
          <w:tcPr>
            <w:tcW w:w="2235" w:type="dxa"/>
          </w:tcPr>
          <w:p w:rsidR="00C322FA" w:rsidRPr="00215E16" w:rsidRDefault="00C322FA" w:rsidP="00C322FA">
            <w:pPr>
              <w:rPr>
                <w:rFonts w:ascii="Arial" w:hAnsi="Arial"/>
                <w:b/>
                <w:bCs/>
                <w:sz w:val="18"/>
                <w:szCs w:val="18"/>
              </w:rPr>
            </w:pPr>
            <w:proofErr w:type="spellStart"/>
            <w:r w:rsidRPr="00215E16">
              <w:rPr>
                <w:rFonts w:ascii="Arial" w:hAnsi="Arial"/>
                <w:b/>
                <w:bCs/>
                <w:sz w:val="18"/>
                <w:szCs w:val="18"/>
              </w:rPr>
              <w:t>Antidepressants</w:t>
            </w:r>
            <w:proofErr w:type="spellEnd"/>
            <w:r w:rsidRPr="00215E16">
              <w:rPr>
                <w:rFonts w:ascii="Arial" w:hAnsi="Arial"/>
                <w:b/>
                <w:bCs/>
                <w:sz w:val="18"/>
                <w:szCs w:val="18"/>
              </w:rPr>
              <w:t>, n(%)</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39 (34.21%)</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75 (65.79%)</w:t>
            </w:r>
          </w:p>
        </w:tc>
        <w:tc>
          <w:tcPr>
            <w:tcW w:w="425" w:type="dxa"/>
            <w:noWrap/>
          </w:tcPr>
          <w:p w:rsidR="00C322FA" w:rsidRPr="00215E16" w:rsidRDefault="00C322FA" w:rsidP="00C322FA">
            <w:pPr>
              <w:jc w:val="right"/>
              <w:rPr>
                <w:rFonts w:ascii="Arial" w:hAnsi="Arial"/>
                <w:sz w:val="18"/>
                <w:szCs w:val="18"/>
              </w:rPr>
            </w:pPr>
          </w:p>
        </w:tc>
        <w:tc>
          <w:tcPr>
            <w:tcW w:w="1559" w:type="dxa"/>
            <w:noWrap/>
          </w:tcPr>
          <w:p w:rsidR="00C322FA" w:rsidRPr="00215E16" w:rsidRDefault="00C322FA" w:rsidP="00C322FA">
            <w:pPr>
              <w:jc w:val="right"/>
              <w:rPr>
                <w:rFonts w:ascii="Arial" w:hAnsi="Arial"/>
                <w:sz w:val="18"/>
                <w:szCs w:val="18"/>
              </w:rPr>
            </w:pPr>
          </w:p>
        </w:tc>
        <w:tc>
          <w:tcPr>
            <w:tcW w:w="709" w:type="dxa"/>
            <w:noWrap/>
          </w:tcPr>
          <w:p w:rsidR="00C322FA" w:rsidRPr="00215E16" w:rsidRDefault="00C322FA" w:rsidP="00C322FA">
            <w:pPr>
              <w:jc w:val="right"/>
              <w:rPr>
                <w:rFonts w:ascii="Arial" w:hAnsi="Arial"/>
                <w:sz w:val="18"/>
                <w:szCs w:val="18"/>
              </w:rPr>
            </w:pPr>
          </w:p>
        </w:tc>
        <w:tc>
          <w:tcPr>
            <w:tcW w:w="1003" w:type="dxa"/>
            <w:noWrap/>
          </w:tcPr>
          <w:p w:rsidR="00C322FA" w:rsidRPr="00215E16" w:rsidRDefault="00C322FA" w:rsidP="00C322FA">
            <w:pPr>
              <w:jc w:val="right"/>
              <w:rPr>
                <w:rFonts w:ascii="Arial" w:hAnsi="Arial"/>
                <w:sz w:val="18"/>
                <w:szCs w:val="18"/>
              </w:rPr>
            </w:pP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IGT total </w:t>
            </w:r>
            <w:proofErr w:type="spellStart"/>
            <w:r w:rsidRPr="00215E16">
              <w:rPr>
                <w:rFonts w:ascii="Arial" w:hAnsi="Arial"/>
                <w:sz w:val="18"/>
                <w:szCs w:val="18"/>
              </w:rPr>
              <w:t>raw</w:t>
            </w:r>
            <w:proofErr w:type="spellEnd"/>
            <w:r w:rsidRPr="00215E16">
              <w:rPr>
                <w:rFonts w:ascii="Arial" w:hAnsi="Arial"/>
                <w:sz w:val="18"/>
                <w:szCs w:val="18"/>
              </w:rPr>
              <w:t xml:space="preserve"> score</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11.08 ± 34.07</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14.34 ± 25.36</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265.90</w:t>
            </w:r>
          </w:p>
        </w:tc>
        <w:tc>
          <w:tcPr>
            <w:tcW w:w="70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.31</w:t>
            </w:r>
          </w:p>
        </w:tc>
        <w:tc>
          <w:tcPr>
            <w:tcW w:w="1003"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.58</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 (</w:t>
            </w:r>
            <w:proofErr w:type="spellStart"/>
            <w:r w:rsidRPr="00215E16">
              <w:rPr>
                <w:rFonts w:ascii="Arial" w:hAnsi="Arial"/>
                <w:sz w:val="18"/>
                <w:szCs w:val="18"/>
              </w:rPr>
              <w:t>learning</w:t>
            </w:r>
            <w:proofErr w:type="spellEnd"/>
            <w:r w:rsidRPr="00215E16">
              <w:rPr>
                <w:rFonts w:ascii="Arial" w:hAnsi="Arial"/>
                <w:sz w:val="18"/>
                <w:szCs w:val="18"/>
              </w:rPr>
              <w:t>)</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.54 ± .26</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.53 ± .23</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.03</w:t>
            </w:r>
          </w:p>
        </w:tc>
        <w:tc>
          <w:tcPr>
            <w:tcW w:w="70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.56</w:t>
            </w:r>
          </w:p>
        </w:tc>
        <w:tc>
          <w:tcPr>
            <w:tcW w:w="1003"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.46</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alpha</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.15 ± .05</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.16 ± .03</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.01</w:t>
            </w:r>
          </w:p>
        </w:tc>
        <w:tc>
          <w:tcPr>
            <w:tcW w:w="70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.63</w:t>
            </w:r>
          </w:p>
        </w:tc>
        <w:tc>
          <w:tcPr>
            <w:tcW w:w="1003"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.43</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PVL - </w:t>
            </w:r>
            <w:proofErr w:type="spellStart"/>
            <w:r w:rsidRPr="00215E16">
              <w:rPr>
                <w:rFonts w:ascii="Arial" w:hAnsi="Arial"/>
                <w:sz w:val="18"/>
                <w:szCs w:val="18"/>
              </w:rPr>
              <w:t>consistency</w:t>
            </w:r>
            <w:proofErr w:type="spellEnd"/>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.70 ± .34</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.67 ± .28</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7.444E-05</w:t>
            </w:r>
          </w:p>
        </w:tc>
        <w:tc>
          <w:tcPr>
            <w:tcW w:w="70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&lt;.01</w:t>
            </w:r>
          </w:p>
        </w:tc>
        <w:tc>
          <w:tcPr>
            <w:tcW w:w="1003"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.98</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lambda</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1.34 ± 1.59</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1.61 ± 1.71</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.76</w:t>
            </w:r>
          </w:p>
        </w:tc>
        <w:tc>
          <w:tcPr>
            <w:tcW w:w="709"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.27</w:t>
            </w:r>
          </w:p>
        </w:tc>
        <w:tc>
          <w:tcPr>
            <w:tcW w:w="1003" w:type="dxa"/>
            <w:noWrap/>
            <w:vAlign w:val="center"/>
          </w:tcPr>
          <w:p w:rsidR="00C322FA" w:rsidRPr="00215E16" w:rsidRDefault="00C322FA" w:rsidP="00C322FA">
            <w:pPr>
              <w:jc w:val="right"/>
              <w:rPr>
                <w:rFonts w:ascii="Arial" w:hAnsi="Arial"/>
                <w:sz w:val="18"/>
                <w:szCs w:val="18"/>
              </w:rPr>
            </w:pPr>
            <w:r w:rsidRPr="00215E16">
              <w:rPr>
                <w:rFonts w:ascii="Arial" w:hAnsi="Arial"/>
                <w:sz w:val="18"/>
                <w:szCs w:val="18"/>
              </w:rPr>
              <w:t>.61</w:t>
            </w:r>
          </w:p>
        </w:tc>
      </w:tr>
      <w:tr w:rsidR="00C322FA" w:rsidRPr="00215E16" w:rsidTr="00C322FA">
        <w:trPr>
          <w:trHeight w:val="380"/>
        </w:trPr>
        <w:tc>
          <w:tcPr>
            <w:tcW w:w="2235" w:type="dxa"/>
          </w:tcPr>
          <w:p w:rsidR="00C322FA" w:rsidRPr="00215E16" w:rsidRDefault="00C322FA" w:rsidP="00C322FA">
            <w:pPr>
              <w:rPr>
                <w:rFonts w:ascii="Arial" w:hAnsi="Arial"/>
                <w:b/>
                <w:bCs/>
                <w:sz w:val="18"/>
                <w:szCs w:val="18"/>
              </w:rPr>
            </w:pPr>
            <w:proofErr w:type="spellStart"/>
            <w:r w:rsidRPr="00215E16">
              <w:rPr>
                <w:rFonts w:ascii="Arial" w:hAnsi="Arial"/>
                <w:b/>
                <w:bCs/>
                <w:sz w:val="18"/>
                <w:szCs w:val="18"/>
              </w:rPr>
              <w:t>Antipsychotics</w:t>
            </w:r>
            <w:proofErr w:type="spellEnd"/>
            <w:r w:rsidRPr="00215E16">
              <w:rPr>
                <w:rFonts w:ascii="Arial" w:hAnsi="Arial"/>
                <w:b/>
                <w:bCs/>
                <w:sz w:val="18"/>
                <w:szCs w:val="18"/>
              </w:rPr>
              <w:t>, n(%)</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17 (14.91%)</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97 (85.09%)</w:t>
            </w:r>
          </w:p>
        </w:tc>
        <w:tc>
          <w:tcPr>
            <w:tcW w:w="425" w:type="dxa"/>
            <w:noWrap/>
          </w:tcPr>
          <w:p w:rsidR="00C322FA" w:rsidRPr="00215E16" w:rsidRDefault="00C322FA" w:rsidP="00C322FA">
            <w:pPr>
              <w:jc w:val="right"/>
              <w:rPr>
                <w:rFonts w:ascii="Arial" w:hAnsi="Arial"/>
                <w:sz w:val="18"/>
                <w:szCs w:val="18"/>
              </w:rPr>
            </w:pPr>
          </w:p>
        </w:tc>
        <w:tc>
          <w:tcPr>
            <w:tcW w:w="1559" w:type="dxa"/>
            <w:noWrap/>
            <w:vAlign w:val="center"/>
          </w:tcPr>
          <w:p w:rsidR="00C322FA" w:rsidRPr="00215E16" w:rsidRDefault="00C322FA" w:rsidP="00C322FA">
            <w:pPr>
              <w:jc w:val="right"/>
              <w:rPr>
                <w:rFonts w:ascii="Arial" w:hAnsi="Arial"/>
                <w:sz w:val="18"/>
                <w:szCs w:val="18"/>
              </w:rPr>
            </w:pPr>
          </w:p>
        </w:tc>
        <w:tc>
          <w:tcPr>
            <w:tcW w:w="709" w:type="dxa"/>
            <w:noWrap/>
            <w:vAlign w:val="center"/>
          </w:tcPr>
          <w:p w:rsidR="00C322FA" w:rsidRPr="00215E16" w:rsidRDefault="00C322FA" w:rsidP="00C322FA">
            <w:pPr>
              <w:jc w:val="right"/>
              <w:rPr>
                <w:rFonts w:ascii="Arial" w:hAnsi="Arial"/>
                <w:sz w:val="18"/>
                <w:szCs w:val="18"/>
              </w:rPr>
            </w:pPr>
          </w:p>
        </w:tc>
        <w:tc>
          <w:tcPr>
            <w:tcW w:w="1003" w:type="dxa"/>
            <w:noWrap/>
            <w:vAlign w:val="center"/>
          </w:tcPr>
          <w:p w:rsidR="00C322FA" w:rsidRPr="00215E16" w:rsidRDefault="00C322FA" w:rsidP="00C322FA">
            <w:pPr>
              <w:jc w:val="right"/>
              <w:rPr>
                <w:rFonts w:ascii="Arial" w:hAnsi="Arial"/>
                <w:sz w:val="18"/>
                <w:szCs w:val="18"/>
              </w:rPr>
            </w:pP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IGT total </w:t>
            </w:r>
            <w:proofErr w:type="spellStart"/>
            <w:r w:rsidRPr="00215E16">
              <w:rPr>
                <w:rFonts w:ascii="Arial" w:hAnsi="Arial"/>
                <w:sz w:val="18"/>
                <w:szCs w:val="18"/>
              </w:rPr>
              <w:t>raw</w:t>
            </w:r>
            <w:proofErr w:type="spellEnd"/>
            <w:r w:rsidRPr="00215E16">
              <w:rPr>
                <w:rFonts w:ascii="Arial" w:hAnsi="Arial"/>
                <w:sz w:val="18"/>
                <w:szCs w:val="18"/>
              </w:rPr>
              <w:t xml:space="preserve"> score</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10.12 ± 31.89</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12.86 ± 27.78</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203.87</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.25</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.62</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 (</w:t>
            </w:r>
            <w:proofErr w:type="spellStart"/>
            <w:r w:rsidRPr="00215E16">
              <w:rPr>
                <w:rFonts w:ascii="Arial" w:hAnsi="Arial"/>
                <w:sz w:val="18"/>
                <w:szCs w:val="18"/>
              </w:rPr>
              <w:t>learning</w:t>
            </w:r>
            <w:proofErr w:type="spellEnd"/>
            <w:r w:rsidRPr="00215E16">
              <w:rPr>
                <w:rFonts w:ascii="Arial" w:hAnsi="Arial"/>
                <w:sz w:val="18"/>
                <w:szCs w:val="18"/>
              </w:rPr>
              <w:t>)</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.56 ± .20</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.53 ± .25</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.03</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.52</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.47</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PVL - alpha</w:t>
            </w:r>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.16 ± .03</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.16 ± .04</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1.436E-05</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.01</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.92</w:t>
            </w:r>
          </w:p>
        </w:tc>
      </w:tr>
      <w:tr w:rsidR="00C322FA" w:rsidRPr="00215E16" w:rsidTr="00C322FA">
        <w:trPr>
          <w:trHeight w:val="380"/>
        </w:trPr>
        <w:tc>
          <w:tcPr>
            <w:tcW w:w="2235" w:type="dxa"/>
          </w:tcPr>
          <w:p w:rsidR="00C322FA" w:rsidRPr="00215E16" w:rsidRDefault="00C322FA" w:rsidP="00C322FA">
            <w:pPr>
              <w:rPr>
                <w:rFonts w:ascii="Arial" w:hAnsi="Arial"/>
                <w:sz w:val="18"/>
                <w:szCs w:val="18"/>
              </w:rPr>
            </w:pPr>
            <w:r w:rsidRPr="00215E16">
              <w:rPr>
                <w:rFonts w:ascii="Arial" w:hAnsi="Arial"/>
                <w:sz w:val="18"/>
                <w:szCs w:val="18"/>
              </w:rPr>
              <w:t xml:space="preserve">PVL - </w:t>
            </w:r>
            <w:proofErr w:type="spellStart"/>
            <w:r w:rsidRPr="00215E16">
              <w:rPr>
                <w:rFonts w:ascii="Arial" w:hAnsi="Arial"/>
                <w:sz w:val="18"/>
                <w:szCs w:val="18"/>
              </w:rPr>
              <w:t>consistency</w:t>
            </w:r>
            <w:proofErr w:type="spellEnd"/>
          </w:p>
        </w:tc>
        <w:tc>
          <w:tcPr>
            <w:tcW w:w="1417" w:type="dxa"/>
          </w:tcPr>
          <w:p w:rsidR="00C322FA" w:rsidRPr="00215E16" w:rsidRDefault="00C322FA" w:rsidP="00C322FA">
            <w:pPr>
              <w:jc w:val="right"/>
              <w:rPr>
                <w:rFonts w:ascii="Arial" w:hAnsi="Arial"/>
                <w:sz w:val="18"/>
                <w:szCs w:val="18"/>
              </w:rPr>
            </w:pPr>
            <w:r w:rsidRPr="00215E16">
              <w:rPr>
                <w:rFonts w:ascii="Arial" w:hAnsi="Arial"/>
                <w:sz w:val="18"/>
                <w:szCs w:val="18"/>
              </w:rPr>
              <w:t>.63 ± .24</w:t>
            </w:r>
          </w:p>
        </w:tc>
        <w:tc>
          <w:tcPr>
            <w:tcW w:w="1418" w:type="dxa"/>
          </w:tcPr>
          <w:p w:rsidR="00C322FA" w:rsidRPr="00215E16" w:rsidRDefault="00C322FA" w:rsidP="00C322FA">
            <w:pPr>
              <w:jc w:val="right"/>
              <w:rPr>
                <w:rFonts w:ascii="Arial" w:hAnsi="Arial"/>
                <w:sz w:val="18"/>
                <w:szCs w:val="18"/>
              </w:rPr>
            </w:pPr>
            <w:r w:rsidRPr="00215E16">
              <w:rPr>
                <w:rFonts w:ascii="Arial" w:hAnsi="Arial"/>
                <w:sz w:val="18"/>
                <w:szCs w:val="18"/>
              </w:rPr>
              <w:t>.68 ± .31</w:t>
            </w:r>
          </w:p>
        </w:tc>
        <w:tc>
          <w:tcPr>
            <w:tcW w:w="425" w:type="dxa"/>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noWrap/>
          </w:tcPr>
          <w:p w:rsidR="00C322FA" w:rsidRPr="00215E16" w:rsidRDefault="00C322FA" w:rsidP="00C322FA">
            <w:pPr>
              <w:jc w:val="right"/>
              <w:rPr>
                <w:rFonts w:ascii="Arial" w:hAnsi="Arial"/>
                <w:sz w:val="18"/>
                <w:szCs w:val="18"/>
              </w:rPr>
            </w:pPr>
            <w:r w:rsidRPr="00215E16">
              <w:rPr>
                <w:rFonts w:ascii="Arial" w:hAnsi="Arial"/>
                <w:sz w:val="18"/>
                <w:szCs w:val="18"/>
              </w:rPr>
              <w:t>.19</w:t>
            </w:r>
          </w:p>
        </w:tc>
        <w:tc>
          <w:tcPr>
            <w:tcW w:w="709" w:type="dxa"/>
            <w:noWrap/>
          </w:tcPr>
          <w:p w:rsidR="00C322FA" w:rsidRPr="00215E16" w:rsidRDefault="00C322FA" w:rsidP="00C322FA">
            <w:pPr>
              <w:jc w:val="right"/>
              <w:rPr>
                <w:rFonts w:ascii="Arial" w:hAnsi="Arial"/>
                <w:sz w:val="18"/>
                <w:szCs w:val="18"/>
              </w:rPr>
            </w:pPr>
            <w:r w:rsidRPr="00215E16">
              <w:rPr>
                <w:rFonts w:ascii="Arial" w:hAnsi="Arial"/>
                <w:sz w:val="18"/>
                <w:szCs w:val="18"/>
              </w:rPr>
              <w:t>2.34</w:t>
            </w:r>
          </w:p>
        </w:tc>
        <w:tc>
          <w:tcPr>
            <w:tcW w:w="1003" w:type="dxa"/>
            <w:noWrap/>
          </w:tcPr>
          <w:p w:rsidR="00C322FA" w:rsidRPr="00215E16" w:rsidRDefault="00C322FA" w:rsidP="00C322FA">
            <w:pPr>
              <w:jc w:val="right"/>
              <w:rPr>
                <w:rFonts w:ascii="Arial" w:hAnsi="Arial"/>
                <w:sz w:val="18"/>
                <w:szCs w:val="18"/>
              </w:rPr>
            </w:pPr>
            <w:r w:rsidRPr="00215E16">
              <w:rPr>
                <w:rFonts w:ascii="Arial" w:hAnsi="Arial"/>
                <w:sz w:val="18"/>
                <w:szCs w:val="18"/>
              </w:rPr>
              <w:t>.13</w:t>
            </w:r>
          </w:p>
        </w:tc>
      </w:tr>
      <w:tr w:rsidR="00C322FA" w:rsidRPr="00215E16" w:rsidTr="00C322FA">
        <w:trPr>
          <w:trHeight w:val="380"/>
        </w:trPr>
        <w:tc>
          <w:tcPr>
            <w:tcW w:w="2235" w:type="dxa"/>
            <w:tcBorders>
              <w:bottom w:val="single" w:sz="4" w:space="0" w:color="auto"/>
            </w:tcBorders>
          </w:tcPr>
          <w:p w:rsidR="00C322FA" w:rsidRPr="00215E16" w:rsidRDefault="00C322FA" w:rsidP="00C322FA">
            <w:pPr>
              <w:rPr>
                <w:rFonts w:ascii="Arial" w:hAnsi="Arial"/>
                <w:sz w:val="18"/>
                <w:szCs w:val="18"/>
              </w:rPr>
            </w:pPr>
            <w:r w:rsidRPr="00215E16">
              <w:rPr>
                <w:rFonts w:ascii="Arial" w:hAnsi="Arial"/>
                <w:sz w:val="18"/>
                <w:szCs w:val="18"/>
              </w:rPr>
              <w:t>PVL - lambda</w:t>
            </w:r>
          </w:p>
        </w:tc>
        <w:tc>
          <w:tcPr>
            <w:tcW w:w="1417" w:type="dxa"/>
            <w:tcBorders>
              <w:bottom w:val="single" w:sz="4" w:space="0" w:color="auto"/>
            </w:tcBorders>
          </w:tcPr>
          <w:p w:rsidR="00C322FA" w:rsidRPr="00215E16" w:rsidRDefault="00C322FA" w:rsidP="00C322FA">
            <w:pPr>
              <w:jc w:val="right"/>
              <w:rPr>
                <w:rFonts w:ascii="Arial" w:hAnsi="Arial"/>
                <w:sz w:val="18"/>
                <w:szCs w:val="18"/>
              </w:rPr>
            </w:pPr>
            <w:r w:rsidRPr="00215E16">
              <w:rPr>
                <w:rFonts w:ascii="Arial" w:hAnsi="Arial"/>
                <w:sz w:val="18"/>
                <w:szCs w:val="18"/>
              </w:rPr>
              <w:t>1.94 ± 1.75</w:t>
            </w:r>
          </w:p>
        </w:tc>
        <w:tc>
          <w:tcPr>
            <w:tcW w:w="1418" w:type="dxa"/>
            <w:tcBorders>
              <w:bottom w:val="single" w:sz="4" w:space="0" w:color="auto"/>
            </w:tcBorders>
          </w:tcPr>
          <w:p w:rsidR="00C322FA" w:rsidRPr="00215E16" w:rsidRDefault="00C322FA" w:rsidP="00C322FA">
            <w:pPr>
              <w:jc w:val="right"/>
              <w:rPr>
                <w:rFonts w:ascii="Arial" w:hAnsi="Arial"/>
                <w:sz w:val="18"/>
                <w:szCs w:val="18"/>
              </w:rPr>
            </w:pPr>
            <w:r w:rsidRPr="00215E16">
              <w:rPr>
                <w:rFonts w:ascii="Arial" w:hAnsi="Arial"/>
                <w:sz w:val="18"/>
                <w:szCs w:val="18"/>
              </w:rPr>
              <w:t>1.45 ± 1.66</w:t>
            </w:r>
          </w:p>
        </w:tc>
        <w:tc>
          <w:tcPr>
            <w:tcW w:w="425" w:type="dxa"/>
            <w:tcBorders>
              <w:bottom w:val="single" w:sz="4" w:space="0" w:color="auto"/>
            </w:tcBorders>
            <w:noWrap/>
          </w:tcPr>
          <w:p w:rsidR="00C322FA" w:rsidRPr="00215E16" w:rsidRDefault="00C322FA" w:rsidP="00C322FA">
            <w:pPr>
              <w:jc w:val="right"/>
              <w:rPr>
                <w:rFonts w:ascii="Arial" w:hAnsi="Arial"/>
                <w:sz w:val="18"/>
                <w:szCs w:val="18"/>
              </w:rPr>
            </w:pPr>
            <w:r w:rsidRPr="00215E16">
              <w:rPr>
                <w:rFonts w:ascii="Arial" w:hAnsi="Arial"/>
                <w:sz w:val="18"/>
                <w:szCs w:val="18"/>
              </w:rPr>
              <w:t>1</w:t>
            </w:r>
          </w:p>
        </w:tc>
        <w:tc>
          <w:tcPr>
            <w:tcW w:w="1559" w:type="dxa"/>
            <w:tcBorders>
              <w:bottom w:val="single" w:sz="4" w:space="0" w:color="auto"/>
            </w:tcBorders>
            <w:noWrap/>
          </w:tcPr>
          <w:p w:rsidR="00C322FA" w:rsidRPr="00215E16" w:rsidRDefault="00C322FA" w:rsidP="00C322FA">
            <w:pPr>
              <w:jc w:val="right"/>
              <w:rPr>
                <w:rFonts w:ascii="Arial" w:hAnsi="Arial"/>
                <w:sz w:val="18"/>
                <w:szCs w:val="18"/>
              </w:rPr>
            </w:pPr>
            <w:r w:rsidRPr="00215E16">
              <w:rPr>
                <w:rFonts w:ascii="Arial" w:hAnsi="Arial"/>
                <w:sz w:val="18"/>
                <w:szCs w:val="18"/>
              </w:rPr>
              <w:t>4.16</w:t>
            </w:r>
          </w:p>
        </w:tc>
        <w:tc>
          <w:tcPr>
            <w:tcW w:w="709" w:type="dxa"/>
            <w:tcBorders>
              <w:bottom w:val="single" w:sz="4" w:space="0" w:color="auto"/>
            </w:tcBorders>
            <w:noWrap/>
          </w:tcPr>
          <w:p w:rsidR="00C322FA" w:rsidRPr="00215E16" w:rsidRDefault="00C322FA" w:rsidP="00C322FA">
            <w:pPr>
              <w:jc w:val="right"/>
              <w:rPr>
                <w:rFonts w:ascii="Arial" w:hAnsi="Arial"/>
                <w:sz w:val="18"/>
                <w:szCs w:val="18"/>
              </w:rPr>
            </w:pPr>
            <w:r w:rsidRPr="00215E16">
              <w:rPr>
                <w:rFonts w:ascii="Arial" w:hAnsi="Arial"/>
                <w:sz w:val="18"/>
                <w:szCs w:val="18"/>
              </w:rPr>
              <w:t>1.46</w:t>
            </w:r>
          </w:p>
        </w:tc>
        <w:tc>
          <w:tcPr>
            <w:tcW w:w="1003" w:type="dxa"/>
            <w:tcBorders>
              <w:bottom w:val="single" w:sz="4" w:space="0" w:color="auto"/>
            </w:tcBorders>
            <w:noWrap/>
          </w:tcPr>
          <w:p w:rsidR="00C322FA" w:rsidRPr="00215E16" w:rsidRDefault="00C322FA" w:rsidP="00C322FA">
            <w:pPr>
              <w:jc w:val="right"/>
              <w:rPr>
                <w:rFonts w:ascii="Arial" w:hAnsi="Arial"/>
                <w:sz w:val="18"/>
                <w:szCs w:val="18"/>
              </w:rPr>
            </w:pPr>
            <w:r w:rsidRPr="00215E16">
              <w:rPr>
                <w:rFonts w:ascii="Arial" w:hAnsi="Arial"/>
                <w:sz w:val="18"/>
                <w:szCs w:val="18"/>
              </w:rPr>
              <w:t>.23</w:t>
            </w:r>
          </w:p>
        </w:tc>
      </w:tr>
    </w:tbl>
    <w:p w:rsidR="00C322FA" w:rsidRDefault="00C322FA" w:rsidP="00C322FA">
      <w:pPr>
        <w:suppressLineNumbers/>
        <w:rPr>
          <w:rFonts w:ascii="Arial" w:hAnsi="Arial" w:cs="Arial"/>
          <w:b/>
          <w:sz w:val="32"/>
        </w:rPr>
      </w:pPr>
      <w:r w:rsidRPr="00CF3309">
        <w:rPr>
          <w:rFonts w:ascii="Arial" w:hAnsi="Arial"/>
          <w:sz w:val="18"/>
          <w:szCs w:val="18"/>
        </w:rPr>
        <w:t>IGT: Iowa gambling test IGT: Iowa gambling test; PVL: Prospect Valence Learning</w:t>
      </w:r>
      <w:r>
        <w:rPr>
          <w:rFonts w:ascii="Arial" w:hAnsi="Arial"/>
          <w:sz w:val="18"/>
          <w:szCs w:val="18"/>
        </w:rPr>
        <w:t xml:space="preserve">; </w:t>
      </w:r>
      <w:proofErr w:type="spellStart"/>
      <w:proofErr w:type="gramStart"/>
      <w:r>
        <w:rPr>
          <w:rFonts w:ascii="Arial" w:hAnsi="Arial"/>
          <w:sz w:val="18"/>
          <w:szCs w:val="18"/>
        </w:rPr>
        <w:t>df</w:t>
      </w:r>
      <w:proofErr w:type="spellEnd"/>
      <w:proofErr w:type="gramEnd"/>
      <w:r>
        <w:rPr>
          <w:rFonts w:ascii="Arial" w:hAnsi="Arial"/>
          <w:sz w:val="18"/>
          <w:szCs w:val="18"/>
        </w:rPr>
        <w:t>: degrees of freedom</w:t>
      </w:r>
      <w:r w:rsidRPr="00CF3309">
        <w:rPr>
          <w:rFonts w:ascii="Arial" w:hAnsi="Arial"/>
          <w:sz w:val="18"/>
          <w:szCs w:val="18"/>
        </w:rPr>
        <w:t xml:space="preserve">. </w:t>
      </w:r>
    </w:p>
    <w:p w:rsidR="00496148" w:rsidRDefault="00496148"/>
    <w:p w:rsidR="00C322FA" w:rsidRDefault="00C322FA">
      <w:r w:rsidRPr="002579C1">
        <w:rPr>
          <w:rFonts w:ascii="Arial" w:hAnsi="Arial"/>
          <w:sz w:val="18"/>
          <w:szCs w:val="18"/>
        </w:rPr>
        <w:t xml:space="preserve">Figure S1: Mean Iowa Gambling Task (IGT) block scores of a group of patients with acute anorexia nervosa (A-AN), remitted anorexia nervosa (R-AN), healthy controls (HC) and unaffected relatives of patients with anorexia nervosa (UR). Means are adjusted for the covariates age, National Adult Reading Test (NART) score, Barratt Impulsivity Scale (BIS10) score and State-Trait Anxiety Inventory-A (STAI-A) score, measuring state anxiety. </w:t>
      </w:r>
    </w:p>
    <w:p w:rsidR="00C322FA" w:rsidRDefault="00C322FA">
      <w:r>
        <w:rPr>
          <w:noProof/>
        </w:rPr>
        <w:drawing>
          <wp:anchor distT="0" distB="0" distL="114300" distR="114300" simplePos="0" relativeHeight="251659264" behindDoc="0" locked="0" layoutInCell="1" allowOverlap="1" wp14:anchorId="1128D289" wp14:editId="66219A86">
            <wp:simplePos x="0" y="0"/>
            <wp:positionH relativeFrom="column">
              <wp:posOffset>938530</wp:posOffset>
            </wp:positionH>
            <wp:positionV relativeFrom="paragraph">
              <wp:posOffset>834390</wp:posOffset>
            </wp:positionV>
            <wp:extent cx="7428230" cy="52527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8230" cy="5252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sectPr w:rsidR="00C322FA" w:rsidSect="00C322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FA"/>
    <w:rsid w:val="002B0EC4"/>
    <w:rsid w:val="00496148"/>
    <w:rsid w:val="0092148E"/>
    <w:rsid w:val="00B167DC"/>
    <w:rsid w:val="00C322FA"/>
    <w:rsid w:val="00C4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A"/>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A"/>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E406551</dc:creator>
  <cp:lastModifiedBy>E406551</cp:lastModifiedBy>
  <cp:revision>1</cp:revision>
  <dcterms:created xsi:type="dcterms:W3CDTF">2022-10-25T16:28:00Z</dcterms:created>
  <dcterms:modified xsi:type="dcterms:W3CDTF">2022-10-25T16:31:00Z</dcterms:modified>
</cp:coreProperties>
</file>