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D9C32" w14:textId="77777777" w:rsidR="00BE2BE5" w:rsidRPr="007A633F" w:rsidRDefault="00BE2BE5" w:rsidP="00BE2BE5">
      <w:pPr>
        <w:rPr>
          <w:rFonts w:cstheme="minorHAnsi"/>
          <w:b/>
          <w:bCs/>
          <w:sz w:val="34"/>
          <w:szCs w:val="34"/>
        </w:rPr>
      </w:pPr>
      <w:r>
        <w:rPr>
          <w:rFonts w:cstheme="minorHAnsi"/>
          <w:b/>
          <w:bCs/>
          <w:sz w:val="34"/>
          <w:szCs w:val="34"/>
        </w:rPr>
        <w:t xml:space="preserve">Comparing personalised brain-based and genetic risk scores for Major Depressive Disorder in large population samples of adults and adolescents  </w:t>
      </w:r>
    </w:p>
    <w:p w14:paraId="18DE0342" w14:textId="77777777" w:rsidR="00BE2BE5" w:rsidRDefault="00BE2BE5" w:rsidP="00BE2BE5">
      <w:pPr>
        <w:spacing w:line="276" w:lineRule="auto"/>
        <w:rPr>
          <w:b/>
          <w:bCs/>
        </w:rPr>
      </w:pPr>
    </w:p>
    <w:p w14:paraId="182FAD55" w14:textId="77777777" w:rsidR="00BE2BE5" w:rsidRPr="00EC5DD7" w:rsidRDefault="00BE2BE5" w:rsidP="00BE2BE5">
      <w:pPr>
        <w:spacing w:line="276" w:lineRule="auto"/>
        <w:rPr>
          <w:sz w:val="28"/>
          <w:szCs w:val="28"/>
        </w:rPr>
      </w:pPr>
      <w:r w:rsidRPr="00EC5DD7">
        <w:rPr>
          <w:sz w:val="28"/>
          <w:szCs w:val="28"/>
        </w:rPr>
        <w:t xml:space="preserve">Supplementary Materials </w:t>
      </w:r>
    </w:p>
    <w:p w14:paraId="78194BC0" w14:textId="77777777" w:rsidR="00BE2BE5" w:rsidRDefault="00BE2BE5" w:rsidP="00BE2BE5">
      <w:pPr>
        <w:spacing w:line="276" w:lineRule="auto"/>
      </w:pPr>
    </w:p>
    <w:p w14:paraId="7D7BF597" w14:textId="77777777" w:rsidR="00BE2BE5" w:rsidRPr="007A633F" w:rsidRDefault="00BE2BE5" w:rsidP="00BE2BE5">
      <w:pPr>
        <w:rPr>
          <w:rFonts w:cstheme="minorHAnsi"/>
        </w:rPr>
      </w:pPr>
      <w:r w:rsidRPr="007A633F">
        <w:rPr>
          <w:rFonts w:cstheme="minorHAnsi"/>
          <w:lang w:val="en-GB"/>
        </w:rPr>
        <w:t>Thng</w:t>
      </w:r>
      <w:r>
        <w:rPr>
          <w:rFonts w:cstheme="minorHAnsi"/>
          <w:lang w:val="en-GB"/>
        </w:rPr>
        <w:t xml:space="preserve"> </w:t>
      </w:r>
      <w:r w:rsidRPr="007943EF">
        <w:rPr>
          <w:rFonts w:cstheme="minorHAnsi"/>
          <w:i/>
          <w:iCs/>
          <w:lang w:val="en-GB"/>
        </w:rPr>
        <w:t>et al</w:t>
      </w:r>
      <w:r>
        <w:rPr>
          <w:rFonts w:cstheme="minorHAnsi"/>
          <w:lang w:val="en-GB"/>
        </w:rPr>
        <w:t xml:space="preserve">. </w:t>
      </w:r>
    </w:p>
    <w:p w14:paraId="178990FA" w14:textId="77777777" w:rsidR="00BE2BE5" w:rsidRDefault="00BE2BE5" w:rsidP="00BE2BE5">
      <w:pPr>
        <w:rPr>
          <w:rFonts w:cstheme="minorHAnsi"/>
          <w:b/>
          <w:bCs/>
        </w:rPr>
      </w:pPr>
    </w:p>
    <w:p w14:paraId="138B88AF" w14:textId="77777777" w:rsidR="00BE2BE5" w:rsidRDefault="00BE2BE5" w:rsidP="00BE2BE5">
      <w:pPr>
        <w:rPr>
          <w:rFonts w:cstheme="minorHAnsi"/>
          <w:b/>
          <w:bCs/>
        </w:rPr>
      </w:pPr>
    </w:p>
    <w:p w14:paraId="6B076E73" w14:textId="77777777" w:rsidR="00BE2BE5" w:rsidRDefault="00BE2BE5" w:rsidP="00BE2BE5">
      <w:pPr>
        <w:rPr>
          <w:rFonts w:cstheme="minorHAnsi"/>
        </w:rPr>
      </w:pPr>
      <w:r>
        <w:rPr>
          <w:rFonts w:cstheme="minorHAnsi"/>
        </w:rPr>
        <w:br w:type="page"/>
      </w:r>
    </w:p>
    <w:p w14:paraId="1725198E" w14:textId="77777777" w:rsidR="00BE2BE5" w:rsidRPr="009D72E1" w:rsidRDefault="00BE2BE5" w:rsidP="00BE2BE5">
      <w:pPr>
        <w:spacing w:line="276" w:lineRule="auto"/>
        <w:rPr>
          <w:rFonts w:cstheme="minorHAnsi"/>
          <w:b/>
          <w:bCs/>
          <w:sz w:val="28"/>
          <w:szCs w:val="28"/>
        </w:rPr>
      </w:pPr>
      <w:r w:rsidRPr="009D72E1">
        <w:rPr>
          <w:rFonts w:cstheme="minorHAnsi"/>
          <w:b/>
          <w:bCs/>
          <w:sz w:val="28"/>
          <w:szCs w:val="28"/>
        </w:rPr>
        <w:lastRenderedPageBreak/>
        <w:t xml:space="preserve">Supplementary </w:t>
      </w:r>
      <w:r>
        <w:rPr>
          <w:rFonts w:cstheme="minorHAnsi"/>
          <w:b/>
          <w:bCs/>
          <w:sz w:val="28"/>
          <w:szCs w:val="28"/>
        </w:rPr>
        <w:t>Text</w:t>
      </w:r>
    </w:p>
    <w:p w14:paraId="05522618" w14:textId="77777777" w:rsidR="00BE2BE5" w:rsidRDefault="00BE2BE5" w:rsidP="00BE2BE5">
      <w:pPr>
        <w:spacing w:line="276" w:lineRule="auto"/>
        <w:rPr>
          <w:rFonts w:cstheme="minorHAnsi"/>
          <w:b/>
          <w:bCs/>
        </w:rPr>
      </w:pPr>
    </w:p>
    <w:p w14:paraId="72E54018" w14:textId="4654FC40" w:rsidR="003A1AF2" w:rsidRDefault="003A1AF2" w:rsidP="00BE2BE5">
      <w:pPr>
        <w:pStyle w:val="ListParagraph"/>
        <w:numPr>
          <w:ilvl w:val="0"/>
          <w:numId w:val="1"/>
        </w:numPr>
        <w:spacing w:after="0" w:line="276" w:lineRule="auto"/>
        <w:rPr>
          <w:rFonts w:cstheme="minorHAnsi"/>
          <w:b/>
          <w:bCs/>
        </w:rPr>
      </w:pPr>
      <w:r>
        <w:rPr>
          <w:rFonts w:cstheme="minorHAnsi"/>
          <w:b/>
          <w:bCs/>
        </w:rPr>
        <w:t xml:space="preserve">Exclusion criteria for GS-Imaging and ABCD </w:t>
      </w:r>
    </w:p>
    <w:p w14:paraId="0A2AE692" w14:textId="77777777" w:rsidR="00232030" w:rsidRDefault="00232030" w:rsidP="00232030">
      <w:pPr>
        <w:spacing w:line="276" w:lineRule="auto"/>
        <w:rPr>
          <w:b/>
          <w:bCs/>
          <w:u w:val="single"/>
        </w:rPr>
      </w:pPr>
    </w:p>
    <w:p w14:paraId="23248DAE" w14:textId="620F9097" w:rsidR="00232030" w:rsidRPr="00232030" w:rsidRDefault="00232030" w:rsidP="00232030">
      <w:pPr>
        <w:spacing w:line="276" w:lineRule="auto"/>
        <w:rPr>
          <w:b/>
          <w:bCs/>
          <w:u w:val="single"/>
        </w:rPr>
      </w:pPr>
      <w:r w:rsidRPr="00232030">
        <w:rPr>
          <w:b/>
          <w:bCs/>
          <w:u w:val="single"/>
        </w:rPr>
        <w:t>GS-Imaging</w:t>
      </w:r>
    </w:p>
    <w:p w14:paraId="04BACE3F" w14:textId="05D7ABE6" w:rsidR="00232030" w:rsidRDefault="003A1AF2" w:rsidP="003A1AF2">
      <w:pPr>
        <w:spacing w:line="276" w:lineRule="auto"/>
        <w:rPr>
          <w:rFonts w:cstheme="minorHAnsi"/>
        </w:rPr>
      </w:pPr>
      <w:r w:rsidRPr="003A1AF2">
        <w:rPr>
          <w:rFonts w:cstheme="minorHAnsi"/>
        </w:rPr>
        <w:t>For GS-Imaging, we excluded</w:t>
      </w:r>
      <w:r>
        <w:rPr>
          <w:rFonts w:cstheme="minorHAnsi"/>
          <w:b/>
          <w:bCs/>
        </w:rPr>
        <w:t xml:space="preserve"> </w:t>
      </w:r>
      <w:r w:rsidRPr="006A37F1">
        <w:rPr>
          <w:rFonts w:cstheme="minorHAnsi"/>
        </w:rPr>
        <w:t xml:space="preserve">(a) individuals with neurological problems (brain tumour, </w:t>
      </w:r>
      <w:proofErr w:type="spellStart"/>
      <w:r w:rsidRPr="006A37F1">
        <w:rPr>
          <w:rFonts w:cstheme="minorHAnsi"/>
        </w:rPr>
        <w:t>hemotoma</w:t>
      </w:r>
      <w:proofErr w:type="spellEnd"/>
      <w:r w:rsidRPr="006A37F1">
        <w:rPr>
          <w:rFonts w:cstheme="minorHAnsi"/>
        </w:rPr>
        <w:t xml:space="preserve">, stroke, epilepsy, haemorrhage, cerebral palsy and aneurysm, N=33), (b) related individuals, and (c) individuals with poor </w:t>
      </w:r>
      <w:r>
        <w:rPr>
          <w:rFonts w:cstheme="minorHAnsi"/>
        </w:rPr>
        <w:t xml:space="preserve">brain </w:t>
      </w:r>
      <w:r w:rsidRPr="006A37F1">
        <w:rPr>
          <w:rFonts w:cstheme="minorHAnsi"/>
        </w:rPr>
        <w:t>image quality (</w:t>
      </w:r>
      <w:r>
        <w:rPr>
          <w:rFonts w:cstheme="minorHAnsi"/>
        </w:rPr>
        <w:t>see</w:t>
      </w:r>
      <w:r w:rsidRPr="006A37F1">
        <w:rPr>
          <w:rFonts w:cstheme="minorHAnsi"/>
        </w:rPr>
        <w:t xml:space="preserve"> </w:t>
      </w:r>
      <w:r w:rsidR="00873F41">
        <w:rPr>
          <w:rFonts w:cstheme="minorHAnsi"/>
        </w:rPr>
        <w:t>Section 4 on Quality control measures for imaging data</w:t>
      </w:r>
      <w:r w:rsidRPr="006A37F1">
        <w:rPr>
          <w:rFonts w:cstheme="minorHAnsi"/>
        </w:rPr>
        <w:t xml:space="preserve">). As GS-Imaging is a family-based cohort, each participant within a family was assigned a random number and only </w:t>
      </w:r>
      <w:r>
        <w:rPr>
          <w:rFonts w:cstheme="minorHAnsi"/>
        </w:rPr>
        <w:t>one</w:t>
      </w:r>
      <w:r w:rsidRPr="006A37F1">
        <w:rPr>
          <w:rFonts w:cstheme="minorHAnsi"/>
        </w:rPr>
        <w:t xml:space="preserve"> individual with the highest random number in each family was included.</w:t>
      </w:r>
      <w:r w:rsidR="00873F41">
        <w:rPr>
          <w:rFonts w:cstheme="minorHAnsi"/>
        </w:rPr>
        <w:t xml:space="preserve"> </w:t>
      </w:r>
    </w:p>
    <w:p w14:paraId="3DEA56C5" w14:textId="77777777" w:rsidR="00232030" w:rsidRDefault="00232030" w:rsidP="003A1AF2">
      <w:pPr>
        <w:spacing w:line="276" w:lineRule="auto"/>
        <w:rPr>
          <w:rFonts w:cstheme="minorHAnsi"/>
        </w:rPr>
      </w:pPr>
    </w:p>
    <w:p w14:paraId="752E72CB" w14:textId="4674B1D9" w:rsidR="00232030" w:rsidRPr="00232030" w:rsidRDefault="00232030" w:rsidP="003A1AF2">
      <w:pPr>
        <w:spacing w:line="276" w:lineRule="auto"/>
        <w:rPr>
          <w:rFonts w:cstheme="minorHAnsi"/>
          <w:u w:val="single"/>
        </w:rPr>
      </w:pPr>
      <w:r w:rsidRPr="00022B8B">
        <w:rPr>
          <w:rFonts w:cstheme="minorHAnsi"/>
          <w:b/>
          <w:bCs/>
          <w:u w:val="single"/>
        </w:rPr>
        <w:t>ABCD</w:t>
      </w:r>
    </w:p>
    <w:p w14:paraId="3F2E991E" w14:textId="110194EC" w:rsidR="003A1AF2" w:rsidRDefault="003A1AF2" w:rsidP="003A1AF2">
      <w:pPr>
        <w:spacing w:line="276" w:lineRule="auto"/>
        <w:rPr>
          <w:rFonts w:cstheme="minorHAnsi"/>
        </w:rPr>
      </w:pPr>
      <w:r>
        <w:rPr>
          <w:rFonts w:cstheme="minorHAnsi"/>
        </w:rPr>
        <w:t>For ABCD, we excluded</w:t>
      </w:r>
      <w:r w:rsidRPr="006A37F1">
        <w:rPr>
          <w:rFonts w:cstheme="minorHAnsi"/>
        </w:rPr>
        <w:t xml:space="preserve"> (a) individuals with neurological problems (</w:t>
      </w:r>
      <w:r>
        <w:rPr>
          <w:rFonts w:cstheme="minorHAnsi"/>
        </w:rPr>
        <w:t>N</w:t>
      </w:r>
      <w:r w:rsidRPr="006A37F1">
        <w:rPr>
          <w:rFonts w:cstheme="minorHAnsi"/>
        </w:rPr>
        <w:t xml:space="preserve">=114), (b) related individuals following the approach described for GS-Imaging, (3) individuals of non-European ancestry to match the MDD genome-wide association study discovery cohorts used to calculate PRS (see </w:t>
      </w:r>
      <w:r w:rsidR="00873F41">
        <w:rPr>
          <w:rFonts w:cstheme="minorHAnsi"/>
        </w:rPr>
        <w:t>Section 2 on Selection of individuals of European ancestry in ABCD</w:t>
      </w:r>
      <w:r w:rsidRPr="006A37F1">
        <w:rPr>
          <w:rFonts w:cstheme="minorHAnsi"/>
        </w:rPr>
        <w:t xml:space="preserve">), and (4) individuals with poor image quality (see </w:t>
      </w:r>
      <w:r w:rsidR="00873F41">
        <w:rPr>
          <w:rFonts w:cstheme="minorHAnsi"/>
        </w:rPr>
        <w:t>Section 4 on Quality control measures for imaging data</w:t>
      </w:r>
      <w:r w:rsidRPr="006A37F1">
        <w:rPr>
          <w:rFonts w:cstheme="minorHAnsi"/>
        </w:rPr>
        <w:t>).</w:t>
      </w:r>
    </w:p>
    <w:p w14:paraId="7AC882AB" w14:textId="77777777" w:rsidR="003A1AF2" w:rsidRPr="003A1AF2" w:rsidRDefault="003A1AF2" w:rsidP="003A1AF2">
      <w:pPr>
        <w:spacing w:line="276" w:lineRule="auto"/>
        <w:rPr>
          <w:rFonts w:cstheme="minorHAnsi"/>
          <w:b/>
          <w:bCs/>
        </w:rPr>
      </w:pPr>
    </w:p>
    <w:p w14:paraId="3B8C2177" w14:textId="1522CB7D" w:rsidR="00BE2BE5" w:rsidRPr="001D488F" w:rsidRDefault="00BE2BE5" w:rsidP="00BE2BE5">
      <w:pPr>
        <w:pStyle w:val="ListParagraph"/>
        <w:numPr>
          <w:ilvl w:val="0"/>
          <w:numId w:val="1"/>
        </w:numPr>
        <w:spacing w:after="0" w:line="276" w:lineRule="auto"/>
        <w:rPr>
          <w:rFonts w:cstheme="minorHAnsi"/>
          <w:b/>
          <w:bCs/>
        </w:rPr>
      </w:pPr>
      <w:r w:rsidRPr="001D488F">
        <w:rPr>
          <w:rFonts w:cstheme="minorHAnsi"/>
          <w:b/>
          <w:bCs/>
        </w:rPr>
        <w:t>Selection of individuals of European ancestry in ABCD</w:t>
      </w:r>
    </w:p>
    <w:p w14:paraId="5C32FBF5" w14:textId="77777777" w:rsidR="00232030" w:rsidRDefault="00232030" w:rsidP="00BE2BE5">
      <w:pPr>
        <w:spacing w:line="276" w:lineRule="auto"/>
        <w:rPr>
          <w:rFonts w:cstheme="minorHAnsi"/>
        </w:rPr>
      </w:pPr>
    </w:p>
    <w:p w14:paraId="09EC954B" w14:textId="2ADC303A" w:rsidR="00BE2BE5" w:rsidRDefault="00BE2BE5" w:rsidP="00BE2BE5">
      <w:pPr>
        <w:spacing w:line="276" w:lineRule="auto"/>
        <w:rPr>
          <w:rFonts w:cstheme="minorHAnsi"/>
        </w:rPr>
      </w:pPr>
      <w:r>
        <w:rPr>
          <w:rFonts w:cstheme="minorHAnsi"/>
        </w:rPr>
        <w:t xml:space="preserve">We restricted our sample to include only individuals of European ancestry to ensure the accuracy of polygenic risk scores, as summary statistics from genome wide association studies are typically based on European populations. Principal component analysis (PCA) was undertaken on ABCD genotyped data to generate the top 15 genetic principal components (PC). 4-means clustering was then performed on the top two PCs corresponding to White, Black, </w:t>
      </w:r>
      <w:proofErr w:type="gramStart"/>
      <w:r>
        <w:rPr>
          <w:rFonts w:cstheme="minorHAnsi"/>
        </w:rPr>
        <w:t>Hispanic</w:t>
      </w:r>
      <w:proofErr w:type="gramEnd"/>
      <w:r>
        <w:rPr>
          <w:rFonts w:cstheme="minorHAnsi"/>
        </w:rPr>
        <w:t xml:space="preserve"> and Asian. We created an intersection between the White clusters for PC1 and PC2 to generate a final White cluster. Individuals who self-reported as White, have parents that self-reported as White, and fall under the final White cluster were selected (N=4160). A PCA plot was done together with data from the </w:t>
      </w:r>
      <w:r w:rsidRPr="00B5087B">
        <w:rPr>
          <w:rFonts w:cstheme="minorHAnsi"/>
        </w:rPr>
        <w:t xml:space="preserve">1000 Genomes </w:t>
      </w:r>
      <w:r>
        <w:rPr>
          <w:rFonts w:cstheme="minorHAnsi"/>
        </w:rPr>
        <w:t xml:space="preserve">Project Consortium </w:t>
      </w:r>
      <w:r w:rsidR="007A351B">
        <w:rPr>
          <w:rFonts w:cstheme="minorHAnsi"/>
        </w:rPr>
        <w:t>[1]</w:t>
      </w:r>
      <w:r>
        <w:rPr>
          <w:rFonts w:cstheme="minorHAnsi"/>
        </w:rPr>
        <w:t xml:space="preserve"> – </w:t>
      </w:r>
      <w:r w:rsidRPr="00B5087B">
        <w:rPr>
          <w:rFonts w:cstheme="minorHAnsi"/>
        </w:rPr>
        <w:t>European Populatio</w:t>
      </w:r>
      <w:r>
        <w:rPr>
          <w:rFonts w:cstheme="minorHAnsi"/>
        </w:rPr>
        <w:t xml:space="preserve">n </w:t>
      </w:r>
      <w:r w:rsidRPr="00B5087B">
        <w:rPr>
          <w:rFonts w:cstheme="minorHAnsi"/>
        </w:rPr>
        <w:t>to confirm that subjects were selected accurately</w:t>
      </w:r>
      <w:r>
        <w:rPr>
          <w:rFonts w:cstheme="minorHAnsi"/>
        </w:rPr>
        <w:t xml:space="preserve"> (Figure S1).</w:t>
      </w:r>
    </w:p>
    <w:p w14:paraId="54282786" w14:textId="77777777" w:rsidR="00BE2BE5" w:rsidRDefault="00BE2BE5" w:rsidP="00BE2BE5">
      <w:pPr>
        <w:spacing w:line="276" w:lineRule="auto"/>
        <w:rPr>
          <w:rFonts w:cstheme="minorHAnsi"/>
        </w:rPr>
      </w:pPr>
    </w:p>
    <w:p w14:paraId="2381323F" w14:textId="77777777" w:rsidR="00BE2BE5" w:rsidRPr="001D488F" w:rsidRDefault="00BE2BE5" w:rsidP="00BE2BE5">
      <w:pPr>
        <w:pStyle w:val="ListParagraph"/>
        <w:numPr>
          <w:ilvl w:val="0"/>
          <w:numId w:val="1"/>
        </w:numPr>
        <w:spacing w:after="0" w:line="276" w:lineRule="auto"/>
        <w:rPr>
          <w:b/>
          <w:bCs/>
        </w:rPr>
      </w:pPr>
      <w:r w:rsidRPr="001D488F">
        <w:rPr>
          <w:b/>
          <w:bCs/>
        </w:rPr>
        <w:t xml:space="preserve">Quality control steps for ABCD </w:t>
      </w:r>
      <w:r>
        <w:rPr>
          <w:b/>
          <w:bCs/>
        </w:rPr>
        <w:t xml:space="preserve">imputed </w:t>
      </w:r>
      <w:r w:rsidRPr="001D488F">
        <w:rPr>
          <w:b/>
          <w:bCs/>
        </w:rPr>
        <w:t>genetics data</w:t>
      </w:r>
    </w:p>
    <w:p w14:paraId="25CA5D49" w14:textId="77777777" w:rsidR="00232030" w:rsidRDefault="00232030" w:rsidP="00BE2BE5">
      <w:pPr>
        <w:spacing w:line="276" w:lineRule="auto"/>
        <w:rPr>
          <w:rFonts w:cstheme="minorHAnsi"/>
        </w:rPr>
      </w:pPr>
    </w:p>
    <w:p w14:paraId="2E716A50" w14:textId="0801A805" w:rsidR="00BE2BE5" w:rsidRPr="00AA15C9" w:rsidRDefault="00BE2BE5" w:rsidP="00BE2BE5">
      <w:pPr>
        <w:spacing w:line="276" w:lineRule="auto"/>
        <w:rPr>
          <w:rFonts w:cstheme="minorHAnsi"/>
        </w:rPr>
      </w:pPr>
      <w:r>
        <w:rPr>
          <w:rFonts w:cstheme="minorHAnsi"/>
        </w:rPr>
        <w:t xml:space="preserve">The ABCD team conducted quality control (QC) on the genotyped data following the </w:t>
      </w:r>
      <w:proofErr w:type="spellStart"/>
      <w:r>
        <w:rPr>
          <w:rFonts w:cstheme="minorHAnsi"/>
        </w:rPr>
        <w:t>Ricopili</w:t>
      </w:r>
      <w:proofErr w:type="spellEnd"/>
      <w:r>
        <w:rPr>
          <w:rFonts w:cstheme="minorHAnsi"/>
        </w:rPr>
        <w:t xml:space="preserve"> pipeline </w:t>
      </w:r>
      <w:r w:rsidR="001243BD">
        <w:rPr>
          <w:rFonts w:cstheme="minorHAnsi"/>
        </w:rPr>
        <w:t xml:space="preserve">[2] </w:t>
      </w:r>
      <w:r>
        <w:rPr>
          <w:rFonts w:cstheme="minorHAnsi"/>
        </w:rPr>
        <w:t xml:space="preserve">and then imputation using mixed ancestry and </w:t>
      </w:r>
      <w:r w:rsidRPr="0075414B">
        <w:rPr>
          <w:rFonts w:cstheme="minorHAnsi"/>
        </w:rPr>
        <w:t xml:space="preserve">Eagle v2.4 phasing on the </w:t>
      </w:r>
      <w:proofErr w:type="spellStart"/>
      <w:r w:rsidRPr="0075414B">
        <w:rPr>
          <w:rFonts w:cstheme="minorHAnsi"/>
        </w:rPr>
        <w:t>TOPMed</w:t>
      </w:r>
      <w:proofErr w:type="spellEnd"/>
      <w:r w:rsidRPr="0075414B">
        <w:rPr>
          <w:rFonts w:cstheme="minorHAnsi"/>
        </w:rPr>
        <w:t xml:space="preserve"> imputation server (</w:t>
      </w:r>
      <w:hyperlink r:id="rId8" w:history="1">
        <w:r w:rsidRPr="004D0243">
          <w:rPr>
            <w:rStyle w:val="Hyperlink"/>
            <w:rFonts w:cstheme="minorHAnsi"/>
          </w:rPr>
          <w:t>https://topmedimpute.readthedocs.io/en/latest</w:t>
        </w:r>
      </w:hyperlink>
      <w:r w:rsidRPr="0075414B">
        <w:rPr>
          <w:rFonts w:cstheme="minorHAnsi"/>
        </w:rPr>
        <w:t>)</w:t>
      </w:r>
      <w:r>
        <w:rPr>
          <w:rFonts w:cstheme="minorHAnsi"/>
        </w:rPr>
        <w:t xml:space="preserve"> using the full sample</w:t>
      </w:r>
      <w:r w:rsidRPr="0075414B">
        <w:rPr>
          <w:rFonts w:cstheme="minorHAnsi"/>
        </w:rPr>
        <w:t>.</w:t>
      </w:r>
      <w:r>
        <w:rPr>
          <w:rFonts w:cstheme="minorHAnsi"/>
        </w:rPr>
        <w:t xml:space="preserve"> We filtered for INFO score&lt;0.8 and then converted the genome build from hg38/GRCH38 to hg19/GRCh37 using </w:t>
      </w:r>
      <w:proofErr w:type="spellStart"/>
      <w:r>
        <w:rPr>
          <w:rFonts w:cstheme="minorHAnsi"/>
        </w:rPr>
        <w:t>LiftOver</w:t>
      </w:r>
      <w:proofErr w:type="spellEnd"/>
      <w:r>
        <w:rPr>
          <w:rFonts w:cstheme="minorHAnsi"/>
        </w:rPr>
        <w:t xml:space="preserve"> (</w:t>
      </w:r>
      <w:hyperlink r:id="rId9" w:history="1">
        <w:r w:rsidRPr="006D4B1A">
          <w:rPr>
            <w:rFonts w:cstheme="minorHAnsi"/>
          </w:rPr>
          <w:t>https://github.com/sritchie73/liftOverPlink</w:t>
        </w:r>
      </w:hyperlink>
      <w:r>
        <w:rPr>
          <w:rFonts w:cstheme="minorHAnsi"/>
        </w:rPr>
        <w:t xml:space="preserve">). </w:t>
      </w:r>
      <w:r w:rsidR="006A7930">
        <w:rPr>
          <w:rFonts w:cstheme="minorHAnsi"/>
        </w:rPr>
        <w:lastRenderedPageBreak/>
        <w:t xml:space="preserve">As minor allele frequencies can differ between different ancestries, </w:t>
      </w:r>
      <w:r>
        <w:rPr>
          <w:rFonts w:cstheme="minorHAnsi"/>
        </w:rPr>
        <w:t>we further filtered for minor allele frequency &lt;0.005</w:t>
      </w:r>
      <w:r w:rsidR="006A7930" w:rsidRPr="006A7930">
        <w:rPr>
          <w:rFonts w:cstheme="minorHAnsi"/>
        </w:rPr>
        <w:t xml:space="preserve"> </w:t>
      </w:r>
      <w:r w:rsidR="006A7930">
        <w:rPr>
          <w:rFonts w:cstheme="minorHAnsi"/>
        </w:rPr>
        <w:t>only after obtaining the European-only subsample</w:t>
      </w:r>
      <w:r>
        <w:rPr>
          <w:rFonts w:cstheme="minorHAnsi"/>
        </w:rPr>
        <w:t xml:space="preserve">. </w:t>
      </w:r>
    </w:p>
    <w:p w14:paraId="50084738" w14:textId="77777777" w:rsidR="00BE2BE5" w:rsidRDefault="00BE2BE5" w:rsidP="00BE2BE5">
      <w:pPr>
        <w:spacing w:line="276" w:lineRule="auto"/>
        <w:rPr>
          <w:rFonts w:cstheme="minorHAnsi"/>
        </w:rPr>
      </w:pPr>
    </w:p>
    <w:p w14:paraId="0474470D" w14:textId="5246289D" w:rsidR="00BE2BE5" w:rsidRPr="005147AC" w:rsidRDefault="00BE2BE5" w:rsidP="00BE2BE5">
      <w:pPr>
        <w:pStyle w:val="ListParagraph"/>
        <w:numPr>
          <w:ilvl w:val="0"/>
          <w:numId w:val="1"/>
        </w:numPr>
        <w:spacing w:after="0" w:line="276" w:lineRule="auto"/>
        <w:rPr>
          <w:b/>
          <w:bCs/>
        </w:rPr>
      </w:pPr>
      <w:r w:rsidRPr="00022B8B">
        <w:rPr>
          <w:b/>
          <w:bCs/>
        </w:rPr>
        <w:t>Quality control measures for imaging data</w:t>
      </w:r>
    </w:p>
    <w:p w14:paraId="6F52AD15" w14:textId="77777777" w:rsidR="00232030" w:rsidRDefault="00232030" w:rsidP="00BE2BE5">
      <w:pPr>
        <w:spacing w:line="276" w:lineRule="auto"/>
        <w:rPr>
          <w:b/>
          <w:bCs/>
          <w:u w:val="single"/>
        </w:rPr>
      </w:pPr>
    </w:p>
    <w:p w14:paraId="7BD68041" w14:textId="5F698CFD" w:rsidR="00BE2BE5" w:rsidRPr="001D488F" w:rsidRDefault="00BE2BE5" w:rsidP="00BE2BE5">
      <w:pPr>
        <w:spacing w:line="276" w:lineRule="auto"/>
        <w:rPr>
          <w:b/>
          <w:bCs/>
          <w:u w:val="single"/>
        </w:rPr>
      </w:pPr>
      <w:r w:rsidRPr="001D488F">
        <w:rPr>
          <w:b/>
          <w:bCs/>
          <w:u w:val="single"/>
        </w:rPr>
        <w:t>GS-Imaging</w:t>
      </w:r>
    </w:p>
    <w:p w14:paraId="6F034934" w14:textId="56456936" w:rsidR="00BE2BE5" w:rsidRDefault="00BE2BE5" w:rsidP="00BE2BE5">
      <w:pPr>
        <w:spacing w:line="276" w:lineRule="auto"/>
        <w:rPr>
          <w:rFonts w:cstheme="minorHAnsi"/>
          <w:highlight w:val="yellow"/>
        </w:rPr>
      </w:pPr>
      <w:r w:rsidRPr="00A230A7">
        <w:rPr>
          <w:rFonts w:cstheme="minorHAnsi"/>
        </w:rPr>
        <w:t xml:space="preserve">Full image acquisition details can be found in </w:t>
      </w:r>
      <w:proofErr w:type="spellStart"/>
      <w:r w:rsidRPr="00A230A7">
        <w:rPr>
          <w:rFonts w:cstheme="minorHAnsi"/>
        </w:rPr>
        <w:t>Habota</w:t>
      </w:r>
      <w:proofErr w:type="spellEnd"/>
      <w:r w:rsidRPr="00A230A7">
        <w:rPr>
          <w:rFonts w:cstheme="minorHAnsi"/>
        </w:rPr>
        <w:t xml:space="preserve"> </w:t>
      </w:r>
      <w:proofErr w:type="spellStart"/>
      <w:r w:rsidRPr="00A230A7">
        <w:rPr>
          <w:rFonts w:cstheme="minorHAnsi"/>
        </w:rPr>
        <w:t>el</w:t>
      </w:r>
      <w:proofErr w:type="spellEnd"/>
      <w:r w:rsidRPr="00A230A7">
        <w:rPr>
          <w:rFonts w:cstheme="minorHAnsi"/>
        </w:rPr>
        <w:t xml:space="preserve"> al</w:t>
      </w:r>
      <w:r>
        <w:rPr>
          <w:rFonts w:cstheme="minorHAnsi"/>
        </w:rPr>
        <w:t xml:space="preserve"> </w:t>
      </w:r>
      <w:r w:rsidR="001243BD">
        <w:rPr>
          <w:rFonts w:cstheme="minorHAnsi"/>
        </w:rPr>
        <w:t>[3]</w:t>
      </w:r>
      <w:r>
        <w:rPr>
          <w:rFonts w:cstheme="minorHAnsi"/>
        </w:rPr>
        <w:t xml:space="preserve"> T1 data were acquired from N=1,080 individuals. </w:t>
      </w:r>
      <w:r>
        <w:t xml:space="preserve">The </w:t>
      </w:r>
      <w:proofErr w:type="spellStart"/>
      <w:r>
        <w:t>FreeSurfer</w:t>
      </w:r>
      <w:proofErr w:type="spellEnd"/>
      <w:r>
        <w:t xml:space="preserve"> processed scans were visually inspected and minor errors were manually corrected. Errors included incorrect skull stripping, exclusion of grey or white matter in tissue segmentation maps, or incorrect brain parcellation into separate regions as detailed in Neilson et al </w:t>
      </w:r>
      <w:r w:rsidR="00327B6C">
        <w:t xml:space="preserve">[4]. </w:t>
      </w:r>
      <w:r>
        <w:t>Individuals were excluded when there was at least one major error that could not be corrected (e.g., in segmentation or cortical parcellation) or when there were multiple minor errors (N=12). Within those included, data was edited for N=424 individuals. D</w:t>
      </w:r>
      <w:r w:rsidR="0017217B">
        <w:t>iffusion tensor imaging (DTI)</w:t>
      </w:r>
      <w:r>
        <w:t xml:space="preserve"> data were acquired from N=1,058 individuals and processed using the TBSS toolkit. </w:t>
      </w:r>
      <w:r>
        <w:rPr>
          <w:rFonts w:cstheme="minorHAnsi"/>
        </w:rPr>
        <w:t>QC was performed following ENIGMA DTI protocols (</w:t>
      </w:r>
      <w:hyperlink r:id="rId10" w:history="1">
        <w:r>
          <w:rPr>
            <w:rStyle w:val="Hyperlink"/>
            <w:rFonts w:cstheme="minorHAnsi"/>
          </w:rPr>
          <w:t>http://enigma.ini.usc.edu/protocols/dti-protocols/</w:t>
        </w:r>
      </w:hyperlink>
      <w:r>
        <w:rPr>
          <w:rFonts w:cstheme="minorHAnsi"/>
        </w:rPr>
        <w:t xml:space="preserve">), which included (1) correcting for eddy current-induced distortions and subject movement in the scanner, (2) skull stripping using BET at a threshold of 0.2, (3) using DTIFIT in order to compute diffusion tensor characteristics, and (4) visually checking the quality of FA images at this stage in order to exclude distorted images. In total, </w:t>
      </w:r>
      <w:r>
        <w:t>N=21 individuals were excluded due to errors during diffusion tensor fitting (N=14) and errors during registration/skeleton fitting (N=7). More details on QC measures can be found in Green et al</w:t>
      </w:r>
      <w:r>
        <w:rPr>
          <w:vertAlign w:val="superscript"/>
        </w:rPr>
        <w:t xml:space="preserve"> </w:t>
      </w:r>
      <w:r w:rsidR="00327B6C">
        <w:t>[5]</w:t>
      </w:r>
      <w:r>
        <w:t xml:space="preserve"> and </w:t>
      </w:r>
      <w:proofErr w:type="spellStart"/>
      <w:r>
        <w:t>Stolicyn</w:t>
      </w:r>
      <w:proofErr w:type="spellEnd"/>
      <w:r>
        <w:t xml:space="preserve"> et al </w:t>
      </w:r>
      <w:r w:rsidR="00327B6C">
        <w:t>[6]</w:t>
      </w:r>
      <w:r>
        <w:t>. The final analysis sample for GS-Imaging (N=702 after applying all exclusion criteria and merging with genetic and clinical data) included individuals with either T1 (N=702) or DTI (N=686) data, with N=680 having both.</w:t>
      </w:r>
    </w:p>
    <w:p w14:paraId="2C64A157" w14:textId="77777777" w:rsidR="00BE2BE5" w:rsidRDefault="00BE2BE5" w:rsidP="00BE2BE5">
      <w:pPr>
        <w:spacing w:line="276" w:lineRule="auto"/>
        <w:rPr>
          <w:rFonts w:cstheme="minorHAnsi"/>
          <w:b/>
          <w:bCs/>
          <w:u w:val="single"/>
        </w:rPr>
      </w:pPr>
    </w:p>
    <w:p w14:paraId="2B8E5761" w14:textId="77777777" w:rsidR="00BE2BE5" w:rsidRPr="00022B8B" w:rsidRDefault="00BE2BE5" w:rsidP="00BE2BE5">
      <w:pPr>
        <w:spacing w:line="276" w:lineRule="auto"/>
        <w:rPr>
          <w:rFonts w:cstheme="minorHAnsi"/>
          <w:u w:val="single"/>
        </w:rPr>
      </w:pPr>
      <w:r w:rsidRPr="00022B8B">
        <w:rPr>
          <w:rFonts w:cstheme="minorHAnsi"/>
          <w:b/>
          <w:bCs/>
          <w:u w:val="single"/>
        </w:rPr>
        <w:t>ABCD</w:t>
      </w:r>
    </w:p>
    <w:p w14:paraId="0EBAF6BD" w14:textId="622AA6A0" w:rsidR="00BE2BE5" w:rsidRDefault="00BE2BE5" w:rsidP="00BE2BE5">
      <w:pPr>
        <w:spacing w:line="276" w:lineRule="auto"/>
      </w:pPr>
      <w:r>
        <w:rPr>
          <w:rFonts w:cstheme="minorHAnsi"/>
        </w:rPr>
        <w:t xml:space="preserve">Full image acquisition details are </w:t>
      </w:r>
      <w:r w:rsidRPr="00347BAA">
        <w:rPr>
          <w:rFonts w:cstheme="minorHAnsi"/>
        </w:rPr>
        <w:t xml:space="preserve">detailed in </w:t>
      </w:r>
      <w:r>
        <w:rPr>
          <w:rFonts w:cstheme="minorHAnsi"/>
        </w:rPr>
        <w:t xml:space="preserve">Hagler </w:t>
      </w:r>
      <w:r w:rsidRPr="00347BAA">
        <w:rPr>
          <w:rFonts w:cstheme="minorHAnsi"/>
        </w:rPr>
        <w:t>et al</w:t>
      </w:r>
      <w:r>
        <w:rPr>
          <w:rFonts w:cstheme="minorHAnsi"/>
        </w:rPr>
        <w:t xml:space="preserve"> </w:t>
      </w:r>
      <w:r w:rsidR="00185CB6">
        <w:rPr>
          <w:rFonts w:cstheme="minorHAnsi"/>
        </w:rPr>
        <w:t>[7]</w:t>
      </w:r>
      <w:r>
        <w:rPr>
          <w:rFonts w:cstheme="minorHAnsi"/>
        </w:rPr>
        <w:t>. The minimally processed data for the full sample were downloaded from the ABCD repository. Further QC following the QC recommendations by the ABCD team</w:t>
      </w:r>
      <w:r w:rsidR="00185CB6">
        <w:rPr>
          <w:rFonts w:cstheme="minorHAnsi"/>
        </w:rPr>
        <w:t xml:space="preserve"> [7]</w:t>
      </w:r>
      <w:r>
        <w:rPr>
          <w:rFonts w:cstheme="minorHAnsi"/>
        </w:rPr>
        <w:t xml:space="preserve"> were conducted for the unrelated European-only subsample. For morphometric measures, only individuals who had satisfactory T1 scans </w:t>
      </w:r>
      <w:r w:rsidRPr="00347BAA">
        <w:rPr>
          <w:rFonts w:cstheme="minorHAnsi"/>
        </w:rPr>
        <w:t>(</w:t>
      </w:r>
      <w:r>
        <w:rPr>
          <w:rFonts w:cstheme="minorHAnsi"/>
        </w:rPr>
        <w:t xml:space="preserve">field name: </w:t>
      </w:r>
      <w:r w:rsidRPr="00347BAA">
        <w:rPr>
          <w:rFonts w:cstheme="minorHAnsi"/>
        </w:rPr>
        <w:t>iqc_t1_ok_ser &gt; 0</w:t>
      </w:r>
      <w:r>
        <w:rPr>
          <w:rFonts w:cstheme="minorHAnsi"/>
        </w:rPr>
        <w:t xml:space="preserve">) and passed </w:t>
      </w:r>
      <w:proofErr w:type="spellStart"/>
      <w:r>
        <w:rPr>
          <w:rFonts w:cstheme="minorHAnsi"/>
        </w:rPr>
        <w:t>FreeSurfer</w:t>
      </w:r>
      <w:proofErr w:type="spellEnd"/>
      <w:r>
        <w:rPr>
          <w:rFonts w:cstheme="minorHAnsi"/>
        </w:rPr>
        <w:t xml:space="preserve"> quality control </w:t>
      </w:r>
      <w:r w:rsidRPr="00347BAA">
        <w:rPr>
          <w:rFonts w:cstheme="minorHAnsi"/>
        </w:rPr>
        <w:t>(</w:t>
      </w:r>
      <w:r>
        <w:rPr>
          <w:rFonts w:cstheme="minorHAnsi"/>
        </w:rPr>
        <w:t xml:space="preserve">field name: </w:t>
      </w:r>
      <w:proofErr w:type="spellStart"/>
      <w:r w:rsidRPr="00347BAA">
        <w:rPr>
          <w:rFonts w:cstheme="minorHAnsi"/>
        </w:rPr>
        <w:t>fsqc_qc</w:t>
      </w:r>
      <w:proofErr w:type="spellEnd"/>
      <w:r w:rsidRPr="00347BAA">
        <w:rPr>
          <w:rFonts w:cstheme="minorHAnsi"/>
        </w:rPr>
        <w:t xml:space="preserve"> =1) </w:t>
      </w:r>
      <w:r>
        <w:rPr>
          <w:rFonts w:cstheme="minorHAnsi"/>
        </w:rPr>
        <w:t>were included (N=243 excluded). For white matter microstructural measures, only individuals who had satisfactory T1 scans, satisfactory d</w:t>
      </w:r>
      <w:r w:rsidR="0017217B">
        <w:rPr>
          <w:rFonts w:cstheme="minorHAnsi"/>
        </w:rPr>
        <w:t xml:space="preserve">iffusion </w:t>
      </w:r>
      <w:r>
        <w:rPr>
          <w:rFonts w:cstheme="minorHAnsi"/>
        </w:rPr>
        <w:t xml:space="preserve">MRI scans (field name: </w:t>
      </w:r>
      <w:proofErr w:type="spellStart"/>
      <w:r w:rsidRPr="00347BAA">
        <w:rPr>
          <w:rFonts w:cstheme="minorHAnsi"/>
        </w:rPr>
        <w:t>iqc_dmri_ok_ser</w:t>
      </w:r>
      <w:proofErr w:type="spellEnd"/>
      <w:r w:rsidRPr="00347BAA">
        <w:rPr>
          <w:rFonts w:cstheme="minorHAnsi"/>
        </w:rPr>
        <w:t xml:space="preserve"> &gt; 0)</w:t>
      </w:r>
      <w:r>
        <w:rPr>
          <w:rFonts w:cstheme="minorHAnsi"/>
        </w:rPr>
        <w:t xml:space="preserve"> and passed </w:t>
      </w:r>
      <w:proofErr w:type="spellStart"/>
      <w:r>
        <w:rPr>
          <w:rFonts w:cstheme="minorHAnsi"/>
        </w:rPr>
        <w:t>FreeSurfer</w:t>
      </w:r>
      <w:proofErr w:type="spellEnd"/>
      <w:r>
        <w:rPr>
          <w:rFonts w:cstheme="minorHAnsi"/>
        </w:rPr>
        <w:t xml:space="preserve"> QC were included (N=377 excluded). In addition to the standard quality control steps above, for baseline data only, average FA and MD values that were five standard deviations from mean were also removed to reduce skewness (N=18), as described in Shen et al</w:t>
      </w:r>
      <w:r w:rsidR="00E35641">
        <w:rPr>
          <w:rFonts w:cstheme="minorHAnsi"/>
        </w:rPr>
        <w:t xml:space="preserve"> [8]</w:t>
      </w:r>
      <w:r>
        <w:rPr>
          <w:rFonts w:cstheme="minorHAnsi"/>
        </w:rPr>
        <w:t xml:space="preserve">. The final analysis sample for ABCD baseline (N=3,825 </w:t>
      </w:r>
      <w:r>
        <w:t>after applying all exclusion criteria and merging with genetic and clinical data</w:t>
      </w:r>
      <w:r>
        <w:rPr>
          <w:rFonts w:cstheme="minorHAnsi"/>
        </w:rPr>
        <w:t xml:space="preserve">) included </w:t>
      </w:r>
      <w:r>
        <w:t xml:space="preserve">individuals with either T1 (N=3,825) or DTI (N=3,630) data, with N=3,630 having both. The </w:t>
      </w:r>
      <w:r>
        <w:rPr>
          <w:rFonts w:cstheme="minorHAnsi"/>
        </w:rPr>
        <w:t xml:space="preserve">QC process was repeated for the two-year follow-up assessment. In total, N=30 </w:t>
      </w:r>
      <w:r>
        <w:rPr>
          <w:rFonts w:cstheme="minorHAnsi"/>
        </w:rPr>
        <w:lastRenderedPageBreak/>
        <w:t xml:space="preserve">and N=79 individuals were excluded for morphometric measures and white matter microstructural measures, respectively at two-year follow-up. The final analysis sample for ABCD two-year follow-up (N=2,081 </w:t>
      </w:r>
      <w:r>
        <w:t>after applying all exclusion criteria and merging with genetic and clinical data</w:t>
      </w:r>
      <w:r>
        <w:rPr>
          <w:rFonts w:cstheme="minorHAnsi"/>
        </w:rPr>
        <w:t xml:space="preserve">) included </w:t>
      </w:r>
      <w:r>
        <w:t xml:space="preserve">individuals with either T1 (N=2,081) or DTI (N=2,032) data, with N=2,032 having both. </w:t>
      </w:r>
    </w:p>
    <w:p w14:paraId="28E29B5D" w14:textId="186F16C1" w:rsidR="005147AC" w:rsidRPr="005147AC" w:rsidRDefault="005147AC" w:rsidP="00BE2BE5">
      <w:pPr>
        <w:spacing w:line="276" w:lineRule="auto"/>
        <w:rPr>
          <w:b/>
          <w:bCs/>
        </w:rPr>
      </w:pPr>
    </w:p>
    <w:p w14:paraId="78C8A707" w14:textId="606B180B" w:rsidR="005147AC" w:rsidRPr="005147AC" w:rsidRDefault="005147AC" w:rsidP="005147AC">
      <w:pPr>
        <w:pStyle w:val="ListParagraph"/>
        <w:numPr>
          <w:ilvl w:val="0"/>
          <w:numId w:val="1"/>
        </w:numPr>
        <w:spacing w:after="0" w:line="276" w:lineRule="auto"/>
        <w:rPr>
          <w:b/>
          <w:bCs/>
        </w:rPr>
      </w:pPr>
      <w:r w:rsidRPr="005147AC">
        <w:rPr>
          <w:b/>
          <w:bCs/>
        </w:rPr>
        <w:t>Calculation of Regional Vulnerability Index (RVI)</w:t>
      </w:r>
    </w:p>
    <w:p w14:paraId="5ADA5B29" w14:textId="77777777" w:rsidR="00232030" w:rsidRDefault="00232030" w:rsidP="00DD7676">
      <w:pPr>
        <w:jc w:val="both"/>
        <w:rPr>
          <w:rFonts w:cstheme="minorHAnsi"/>
        </w:rPr>
      </w:pPr>
    </w:p>
    <w:p w14:paraId="10884192" w14:textId="12DD2F10" w:rsidR="00DD7676" w:rsidRPr="006A37F1" w:rsidRDefault="00CB003E" w:rsidP="00DE6D7B">
      <w:pPr>
        <w:spacing w:line="276" w:lineRule="auto"/>
        <w:jc w:val="both"/>
        <w:rPr>
          <w:rFonts w:cstheme="minorHAnsi"/>
        </w:rPr>
      </w:pPr>
      <w:r>
        <w:rPr>
          <w:rFonts w:cstheme="minorHAnsi"/>
        </w:rPr>
        <w:t>U</w:t>
      </w:r>
      <w:r w:rsidR="00ED6874" w:rsidRPr="006A37F1">
        <w:rPr>
          <w:rFonts w:cstheme="minorHAnsi"/>
        </w:rPr>
        <w:t xml:space="preserve">sing RVI-Sub as an example, the residuals for each of the 7 subcortical structures were first estimated by regressing out the effects of the </w:t>
      </w:r>
      <w:r w:rsidR="00ED6874">
        <w:rPr>
          <w:rFonts w:cstheme="minorHAnsi"/>
        </w:rPr>
        <w:t xml:space="preserve">same </w:t>
      </w:r>
      <w:r w:rsidR="00ED6874" w:rsidRPr="006A37F1">
        <w:rPr>
          <w:rFonts w:cstheme="minorHAnsi"/>
        </w:rPr>
        <w:t>covariates used in the ENIGMA meta-analysis</w:t>
      </w:r>
      <w:r w:rsidR="00ED6874">
        <w:rPr>
          <w:rFonts w:cstheme="minorHAnsi"/>
        </w:rPr>
        <w:t xml:space="preserve"> (refer to Table S1 to S4 for covariates used)</w:t>
      </w:r>
      <w:r w:rsidR="00ED6874" w:rsidRPr="006A37F1">
        <w:rPr>
          <w:rFonts w:cstheme="minorHAnsi"/>
        </w:rPr>
        <w:t>, and then z-score transformed using the mean and standard deviation of healthy individuals</w:t>
      </w:r>
      <w:r w:rsidR="00ED6874">
        <w:rPr>
          <w:rFonts w:cstheme="minorHAnsi"/>
        </w:rPr>
        <w:t xml:space="preserve">. In our sample, </w:t>
      </w:r>
      <w:r w:rsidR="00ED6874" w:rsidRPr="00FB353A">
        <w:rPr>
          <w:rFonts w:cstheme="minorHAnsi"/>
        </w:rPr>
        <w:t>subjects were deemed as healthy if they did not self-report any psychiatric diagnoses and were not taking antidepressants at the point of assessment (Table 1</w:t>
      </w:r>
      <w:r w:rsidR="00DF1921">
        <w:rPr>
          <w:rFonts w:cstheme="minorHAnsi"/>
        </w:rPr>
        <w:t xml:space="preserve"> in main text</w:t>
      </w:r>
      <w:r w:rsidR="00ED6874" w:rsidRPr="00FB353A">
        <w:rPr>
          <w:rFonts w:cstheme="minorHAnsi"/>
        </w:rPr>
        <w:t>).</w:t>
      </w:r>
      <w:r w:rsidR="00ED6874" w:rsidRPr="006A37F1">
        <w:rPr>
          <w:rFonts w:cstheme="minorHAnsi"/>
        </w:rPr>
        <w:t xml:space="preserve"> This </w:t>
      </w:r>
      <w:r w:rsidR="00ED6874">
        <w:rPr>
          <w:rFonts w:cstheme="minorHAnsi"/>
        </w:rPr>
        <w:t xml:space="preserve">procedure </w:t>
      </w:r>
      <w:r w:rsidR="00ED6874" w:rsidRPr="006A37F1">
        <w:rPr>
          <w:rFonts w:cstheme="minorHAnsi"/>
        </w:rPr>
        <w:t>yield</w:t>
      </w:r>
      <w:r w:rsidR="00ED6874">
        <w:rPr>
          <w:rFonts w:cstheme="minorHAnsi"/>
        </w:rPr>
        <w:t>ed</w:t>
      </w:r>
      <w:r w:rsidR="00ED6874" w:rsidRPr="006A37F1">
        <w:rPr>
          <w:rFonts w:cstheme="minorHAnsi"/>
        </w:rPr>
        <w:t xml:space="preserve"> a vector comprising 7 region-wise z-scores for each </w:t>
      </w:r>
      <w:r w:rsidR="00ED6874">
        <w:rPr>
          <w:rFonts w:cstheme="minorHAnsi"/>
        </w:rPr>
        <w:t>subject</w:t>
      </w:r>
      <w:r w:rsidR="00ED6874" w:rsidRPr="006A37F1">
        <w:rPr>
          <w:rFonts w:cstheme="minorHAnsi"/>
        </w:rPr>
        <w:t xml:space="preserve">. </w:t>
      </w:r>
      <w:r w:rsidR="00ED6874">
        <w:rPr>
          <w:rFonts w:cstheme="minorHAnsi"/>
        </w:rPr>
        <w:t xml:space="preserve">Subject-specific </w:t>
      </w:r>
      <w:r w:rsidR="00ED6874" w:rsidRPr="006A37F1">
        <w:rPr>
          <w:rFonts w:cstheme="minorHAnsi"/>
        </w:rPr>
        <w:t>RVI</w:t>
      </w:r>
      <w:r w:rsidR="00ED6874">
        <w:rPr>
          <w:rFonts w:cstheme="minorHAnsi"/>
        </w:rPr>
        <w:t>-Sub</w:t>
      </w:r>
      <w:r w:rsidR="00ED6874" w:rsidRPr="006A37F1">
        <w:rPr>
          <w:rFonts w:cstheme="minorHAnsi"/>
        </w:rPr>
        <w:t xml:space="preserve"> </w:t>
      </w:r>
      <w:r w:rsidR="00ED6874">
        <w:rPr>
          <w:rFonts w:cstheme="minorHAnsi"/>
        </w:rPr>
        <w:t>wa</w:t>
      </w:r>
      <w:r w:rsidR="00ED6874" w:rsidRPr="006A37F1">
        <w:rPr>
          <w:rFonts w:cstheme="minorHAnsi"/>
        </w:rPr>
        <w:t xml:space="preserve">s then calculated as </w:t>
      </w:r>
      <w:r w:rsidR="00ED6874">
        <w:rPr>
          <w:rFonts w:cstheme="minorHAnsi"/>
        </w:rPr>
        <w:t>a single</w:t>
      </w:r>
      <w:r w:rsidR="00ED6874" w:rsidRPr="006A37F1">
        <w:rPr>
          <w:rFonts w:cstheme="minorHAnsi"/>
        </w:rPr>
        <w:t xml:space="preserve"> Pearson’s correlation coefficient between the </w:t>
      </w:r>
      <w:r w:rsidR="00ED6874">
        <w:rPr>
          <w:rFonts w:cstheme="minorHAnsi"/>
        </w:rPr>
        <w:t xml:space="preserve">vector of the 7 region-wise </w:t>
      </w:r>
      <w:r w:rsidR="00ED6874" w:rsidRPr="006A37F1">
        <w:rPr>
          <w:rFonts w:cstheme="minorHAnsi"/>
        </w:rPr>
        <w:t>z-values and the</w:t>
      </w:r>
      <w:r w:rsidR="00ED6874">
        <w:rPr>
          <w:rFonts w:cstheme="minorHAnsi"/>
        </w:rPr>
        <w:t xml:space="preserve"> </w:t>
      </w:r>
      <w:r w:rsidR="00ED6874" w:rsidRPr="006A37F1">
        <w:rPr>
          <w:rFonts w:cstheme="minorHAnsi"/>
        </w:rPr>
        <w:t xml:space="preserve">corresponding </w:t>
      </w:r>
      <w:r w:rsidR="00ED6874">
        <w:rPr>
          <w:rFonts w:cstheme="minorHAnsi"/>
        </w:rPr>
        <w:t xml:space="preserve">regional </w:t>
      </w:r>
      <w:r w:rsidR="00ED6874" w:rsidRPr="006A37F1">
        <w:rPr>
          <w:rFonts w:cstheme="minorHAnsi"/>
        </w:rPr>
        <w:t>effect sizes in the ENIGMA meta-analyses.</w:t>
      </w:r>
      <w:r w:rsidR="00DD7676">
        <w:rPr>
          <w:rFonts w:cstheme="minorHAnsi"/>
        </w:rPr>
        <w:t xml:space="preserve"> </w:t>
      </w:r>
      <w:r w:rsidR="00DD7676" w:rsidRPr="006A37F1">
        <w:rPr>
          <w:rFonts w:cstheme="minorHAnsi"/>
        </w:rPr>
        <w:t xml:space="preserve">This procedure </w:t>
      </w:r>
      <w:r w:rsidR="00DD7676">
        <w:rPr>
          <w:rFonts w:cstheme="minorHAnsi"/>
        </w:rPr>
        <w:t>was</w:t>
      </w:r>
      <w:r w:rsidR="00DD7676" w:rsidRPr="006A37F1">
        <w:rPr>
          <w:rFonts w:cstheme="minorHAnsi"/>
        </w:rPr>
        <w:t xml:space="preserve"> repeated for cortical thickness and surface area</w:t>
      </w:r>
      <w:r w:rsidR="00DD7676">
        <w:rPr>
          <w:rFonts w:cstheme="minorHAnsi"/>
        </w:rPr>
        <w:t xml:space="preserve"> measures</w:t>
      </w:r>
      <w:r w:rsidR="00DD7676" w:rsidRPr="006A37F1">
        <w:rPr>
          <w:rFonts w:cstheme="minorHAnsi"/>
        </w:rPr>
        <w:t xml:space="preserve"> (</w:t>
      </w:r>
      <w:r w:rsidR="00DD7676">
        <w:rPr>
          <w:rFonts w:cstheme="minorHAnsi"/>
        </w:rPr>
        <w:t xml:space="preserve">using </w:t>
      </w:r>
      <w:r w:rsidR="00DD7676" w:rsidRPr="006A37F1">
        <w:rPr>
          <w:rFonts w:cstheme="minorHAnsi"/>
        </w:rPr>
        <w:t>33 cortical regions each), and for FA and MD</w:t>
      </w:r>
      <w:r w:rsidR="00DD7676">
        <w:rPr>
          <w:rFonts w:cstheme="minorHAnsi"/>
        </w:rPr>
        <w:t xml:space="preserve"> measures</w:t>
      </w:r>
      <w:r w:rsidR="00DD7676" w:rsidRPr="006A37F1">
        <w:rPr>
          <w:rFonts w:cstheme="minorHAnsi"/>
        </w:rPr>
        <w:t xml:space="preserve"> (</w:t>
      </w:r>
      <w:r w:rsidR="00DD7676">
        <w:rPr>
          <w:rFonts w:cstheme="minorHAnsi"/>
        </w:rPr>
        <w:t xml:space="preserve">using </w:t>
      </w:r>
      <w:r w:rsidR="00DD7676" w:rsidRPr="006A37F1">
        <w:rPr>
          <w:rFonts w:cstheme="minorHAnsi"/>
        </w:rPr>
        <w:t>24 white matter tracts each)</w:t>
      </w:r>
      <w:r w:rsidR="007B305A">
        <w:rPr>
          <w:rFonts w:cstheme="minorHAnsi"/>
        </w:rPr>
        <w:t>, each yielding a single RVI</w:t>
      </w:r>
      <w:r w:rsidR="00DD7676" w:rsidRPr="006A37F1">
        <w:rPr>
          <w:rFonts w:cstheme="minorHAnsi"/>
        </w:rPr>
        <w:t xml:space="preserve">. For ABCD, only 12 white matter tracts were used upon matching the tracts defined by </w:t>
      </w:r>
      <w:proofErr w:type="spellStart"/>
      <w:r w:rsidR="00DD7676" w:rsidRPr="006A37F1">
        <w:rPr>
          <w:rFonts w:cstheme="minorHAnsi"/>
        </w:rPr>
        <w:t>AtlasTrack</w:t>
      </w:r>
      <w:proofErr w:type="spellEnd"/>
      <w:r w:rsidR="00DD7676" w:rsidRPr="006A37F1">
        <w:rPr>
          <w:rFonts w:cstheme="minorHAnsi"/>
        </w:rPr>
        <w:t xml:space="preserve"> used in ABCD and the J</w:t>
      </w:r>
      <w:r w:rsidR="0017217B">
        <w:rPr>
          <w:rFonts w:cstheme="minorHAnsi"/>
        </w:rPr>
        <w:t xml:space="preserve">ohn </w:t>
      </w:r>
      <w:r w:rsidR="00DD7676" w:rsidRPr="006A37F1">
        <w:rPr>
          <w:rFonts w:cstheme="minorHAnsi"/>
        </w:rPr>
        <w:t>H</w:t>
      </w:r>
      <w:r w:rsidR="0017217B">
        <w:rPr>
          <w:rFonts w:cstheme="minorHAnsi"/>
        </w:rPr>
        <w:t xml:space="preserve">opkins </w:t>
      </w:r>
      <w:r w:rsidR="00DD7676" w:rsidRPr="006A37F1">
        <w:rPr>
          <w:rFonts w:cstheme="minorHAnsi"/>
        </w:rPr>
        <w:t>U</w:t>
      </w:r>
      <w:r w:rsidR="0017217B">
        <w:rPr>
          <w:rFonts w:cstheme="minorHAnsi"/>
        </w:rPr>
        <w:t>niversity</w:t>
      </w:r>
      <w:r w:rsidR="00DD7676" w:rsidRPr="006A37F1">
        <w:rPr>
          <w:rFonts w:cstheme="minorHAnsi"/>
        </w:rPr>
        <w:t xml:space="preserve"> atlas used in ENIGMA and GS-Imaging (Table S3). Measures from the left and right hemisphere were averaged. The RVI computation was implemented in the </w:t>
      </w:r>
      <w:proofErr w:type="spellStart"/>
      <w:r w:rsidR="00DD7676" w:rsidRPr="006A37F1">
        <w:rPr>
          <w:rFonts w:cstheme="minorHAnsi"/>
        </w:rPr>
        <w:t>RVIpkg</w:t>
      </w:r>
      <w:proofErr w:type="spellEnd"/>
      <w:r w:rsidR="00DD7676" w:rsidRPr="006A37F1">
        <w:rPr>
          <w:rFonts w:cstheme="minorHAnsi"/>
        </w:rPr>
        <w:t xml:space="preserve"> package version 0.2.3 in R (</w:t>
      </w:r>
      <w:hyperlink r:id="rId11" w:history="1">
        <w:r w:rsidR="00DD7676" w:rsidRPr="006A37F1">
          <w:rPr>
            <w:rStyle w:val="Hyperlink"/>
            <w:rFonts w:cstheme="minorHAnsi"/>
            <w:color w:val="auto"/>
          </w:rPr>
          <w:t>https://cran.r-project.org/web/packages/RVIpkg/RVIpkg.pdf</w:t>
        </w:r>
      </w:hyperlink>
      <w:r w:rsidR="00DD7676" w:rsidRPr="006A37F1">
        <w:rPr>
          <w:rFonts w:cstheme="minorHAnsi"/>
          <w:u w:val="single"/>
        </w:rPr>
        <w:t>).</w:t>
      </w:r>
    </w:p>
    <w:p w14:paraId="67A3D721" w14:textId="56484692" w:rsidR="00273B41" w:rsidRDefault="00273B41" w:rsidP="00BE2BE5">
      <w:pPr>
        <w:spacing w:line="276" w:lineRule="auto"/>
      </w:pPr>
    </w:p>
    <w:p w14:paraId="3762908B" w14:textId="77777777" w:rsidR="005147AC" w:rsidRDefault="005147AC" w:rsidP="00BE2BE5">
      <w:pPr>
        <w:spacing w:line="276" w:lineRule="auto"/>
      </w:pPr>
    </w:p>
    <w:p w14:paraId="6803BA27" w14:textId="5EBD0065" w:rsidR="00273B41" w:rsidRPr="005147AC" w:rsidRDefault="00273B41" w:rsidP="00273B41">
      <w:pPr>
        <w:pStyle w:val="ListParagraph"/>
        <w:numPr>
          <w:ilvl w:val="0"/>
          <w:numId w:val="1"/>
        </w:numPr>
        <w:spacing w:after="0" w:line="276" w:lineRule="auto"/>
        <w:rPr>
          <w:rFonts w:cstheme="minorHAnsi"/>
          <w:b/>
          <w:bCs/>
        </w:rPr>
      </w:pPr>
      <w:r w:rsidRPr="0035787D">
        <w:rPr>
          <w:rFonts w:cstheme="minorHAnsi"/>
          <w:b/>
          <w:bCs/>
        </w:rPr>
        <w:t xml:space="preserve">Phenotypes </w:t>
      </w:r>
      <w:r w:rsidR="00BE6664">
        <w:rPr>
          <w:rFonts w:cstheme="minorHAnsi"/>
          <w:b/>
          <w:bCs/>
        </w:rPr>
        <w:t>included in</w:t>
      </w:r>
      <w:r w:rsidRPr="0035787D">
        <w:rPr>
          <w:rFonts w:cstheme="minorHAnsi"/>
          <w:b/>
          <w:bCs/>
        </w:rPr>
        <w:t xml:space="preserve"> summary statistics</w:t>
      </w:r>
      <w:r w:rsidR="0035787D">
        <w:rPr>
          <w:rFonts w:cstheme="minorHAnsi"/>
          <w:b/>
          <w:bCs/>
        </w:rPr>
        <w:t xml:space="preserve"> used for PRS calculation</w:t>
      </w:r>
      <w:r w:rsidRPr="0035787D">
        <w:rPr>
          <w:rFonts w:cstheme="minorHAnsi"/>
          <w:b/>
          <w:bCs/>
        </w:rPr>
        <w:t xml:space="preserve"> </w:t>
      </w:r>
    </w:p>
    <w:p w14:paraId="34E4BA21" w14:textId="77777777" w:rsidR="00232030" w:rsidRDefault="00232030" w:rsidP="00DF5A91"/>
    <w:p w14:paraId="1FD0E7AC" w14:textId="05E81E72" w:rsidR="00273B41" w:rsidRDefault="0035787D" w:rsidP="00DE6D7B">
      <w:pPr>
        <w:spacing w:line="276" w:lineRule="auto"/>
      </w:pPr>
      <w:r w:rsidRPr="00DF5A91">
        <w:t xml:space="preserve">Summary statistics were obtained from Howard et al </w:t>
      </w:r>
      <w:r w:rsidR="00AB4F6C">
        <w:t>[9].</w:t>
      </w:r>
      <w:r w:rsidRPr="00DF5A91">
        <w:t xml:space="preserve"> Three different cohorts were included in the meta-analysis: UK Biobank, 23nMe and Psychiatric Genetics Consortium (PGC). </w:t>
      </w:r>
      <w:r w:rsidR="00273B41" w:rsidRPr="00DF5A91">
        <w:t>Within UK Biobank, the broad definition of depressi</w:t>
      </w:r>
      <w:r w:rsidRPr="00DF5A91">
        <w:t xml:space="preserve">on was used, where subjects </w:t>
      </w:r>
      <w:r w:rsidR="00456D6E">
        <w:t>were asked:</w:t>
      </w:r>
      <w:r w:rsidR="00273B41" w:rsidRPr="00DF5A91">
        <w:t xml:space="preserve"> ‘Have you ever seen a general practitioner for nerves, anxiety, </w:t>
      </w:r>
      <w:proofErr w:type="gramStart"/>
      <w:r w:rsidR="00273B41" w:rsidRPr="00DF5A91">
        <w:t>tension</w:t>
      </w:r>
      <w:proofErr w:type="gramEnd"/>
      <w:r w:rsidR="00273B41" w:rsidRPr="00DF5A91">
        <w:t xml:space="preserve"> or depression?’ or ‘Have you ever seen a psychiatrist for nerves, anxiety, tension or depression?’.</w:t>
      </w:r>
      <w:r w:rsidRPr="00DF5A91">
        <w:t xml:space="preserve"> Within 23nMe, p</w:t>
      </w:r>
      <w:r w:rsidR="00273B41" w:rsidRPr="00DF5A91">
        <w:t>henotypic status was based on responses to web-based surveys, with individuals that self-reported as having received a clinical diagnosis or treatment for depression classified as cases. </w:t>
      </w:r>
      <w:r w:rsidRPr="00DF5A91">
        <w:t>For PGC,</w:t>
      </w:r>
      <w:r w:rsidR="00273B41" w:rsidRPr="00DF5A91">
        <w:t xml:space="preserve"> </w:t>
      </w:r>
      <w:r w:rsidR="00DF5A91" w:rsidRPr="00DF5A91">
        <w:t>c</w:t>
      </w:r>
      <w:r w:rsidR="00273B41" w:rsidRPr="00DF5A91">
        <w:t>ases were required to meet international consensus criteria (DSM-IV, ICD-9, or ICD-10</w:t>
      </w:r>
      <w:r w:rsidR="00DF5A91" w:rsidRPr="00DF5A91">
        <w:t xml:space="preserve">) </w:t>
      </w:r>
      <w:r w:rsidR="00273B41" w:rsidRPr="00DF5A91">
        <w:t>for a lifetime diagnosis of MDD established using structured diagnostic instruments from assessments by trained interviewers, clinician-administered checklists, or medical record review. </w:t>
      </w:r>
    </w:p>
    <w:p w14:paraId="09CD7FEA" w14:textId="2BB0EB4E" w:rsidR="005147AC" w:rsidRDefault="005147AC" w:rsidP="00DF5A91"/>
    <w:p w14:paraId="3D3FEB20" w14:textId="77777777" w:rsidR="005147AC" w:rsidRPr="00DF5A91" w:rsidRDefault="005147AC" w:rsidP="00DF5A91"/>
    <w:p w14:paraId="3AAFB7FF" w14:textId="77777777" w:rsidR="00273B41" w:rsidRPr="00273B41" w:rsidRDefault="00273B41" w:rsidP="00273B41">
      <w:pPr>
        <w:spacing w:line="276" w:lineRule="auto"/>
        <w:rPr>
          <w:rFonts w:cstheme="minorHAnsi"/>
        </w:rPr>
      </w:pPr>
    </w:p>
    <w:p w14:paraId="3598639D" w14:textId="77777777" w:rsidR="00BE2BE5" w:rsidRPr="009258B7" w:rsidRDefault="00BE2BE5" w:rsidP="00BE2BE5">
      <w:pPr>
        <w:rPr>
          <w:rFonts w:cstheme="minorHAnsi"/>
          <w:b/>
          <w:bCs/>
        </w:rPr>
      </w:pPr>
      <w:r>
        <w:rPr>
          <w:rFonts w:cstheme="minorHAnsi"/>
          <w:b/>
          <w:bCs/>
        </w:rPr>
        <w:br w:type="page"/>
      </w:r>
      <w:r w:rsidRPr="009D72E1">
        <w:rPr>
          <w:rFonts w:cstheme="minorHAnsi"/>
          <w:b/>
          <w:bCs/>
          <w:sz w:val="28"/>
          <w:szCs w:val="28"/>
        </w:rPr>
        <w:lastRenderedPageBreak/>
        <w:t>Supplementary Figures</w:t>
      </w:r>
    </w:p>
    <w:p w14:paraId="3232454B" w14:textId="77777777" w:rsidR="00BE2BE5" w:rsidRDefault="00BE2BE5" w:rsidP="00BE2BE5">
      <w:pPr>
        <w:spacing w:line="276" w:lineRule="auto"/>
        <w:rPr>
          <w:rFonts w:cstheme="minorHAnsi"/>
        </w:rPr>
      </w:pPr>
    </w:p>
    <w:p w14:paraId="4D991E1F" w14:textId="77777777" w:rsidR="00BE2BE5" w:rsidRPr="0020775C" w:rsidRDefault="00BE2BE5" w:rsidP="00BE2BE5">
      <w:pPr>
        <w:spacing w:line="276" w:lineRule="auto"/>
        <w:rPr>
          <w:rFonts w:cstheme="minorHAnsi"/>
        </w:rPr>
      </w:pPr>
      <w:r>
        <w:rPr>
          <w:noProof/>
        </w:rPr>
        <w:drawing>
          <wp:anchor distT="0" distB="0" distL="114300" distR="114300" simplePos="0" relativeHeight="251659264" behindDoc="0" locked="0" layoutInCell="1" allowOverlap="1" wp14:anchorId="4158CD9D" wp14:editId="06D4DB14">
            <wp:simplePos x="0" y="0"/>
            <wp:positionH relativeFrom="margin">
              <wp:posOffset>405245</wp:posOffset>
            </wp:positionH>
            <wp:positionV relativeFrom="paragraph">
              <wp:posOffset>153093</wp:posOffset>
            </wp:positionV>
            <wp:extent cx="4819650" cy="4592955"/>
            <wp:effectExtent l="0" t="0" r="0" b="0"/>
            <wp:wrapSquare wrapText="bothSides"/>
            <wp:docPr id="4" name="Picture 4"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scatter ch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19650" cy="4592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2556DE" w14:textId="77777777" w:rsidR="00BE2BE5" w:rsidRDefault="00BE2BE5" w:rsidP="00BE2BE5">
      <w:pPr>
        <w:spacing w:line="276" w:lineRule="auto"/>
        <w:rPr>
          <w:b/>
          <w:bCs/>
        </w:rPr>
      </w:pPr>
    </w:p>
    <w:p w14:paraId="618240B0" w14:textId="77777777" w:rsidR="00BE2BE5" w:rsidRDefault="00BE2BE5" w:rsidP="00BE2BE5">
      <w:pPr>
        <w:spacing w:line="276" w:lineRule="auto"/>
        <w:rPr>
          <w:b/>
          <w:bCs/>
        </w:rPr>
      </w:pPr>
    </w:p>
    <w:p w14:paraId="5CF8890F" w14:textId="77777777" w:rsidR="00BE2BE5" w:rsidRDefault="00BE2BE5" w:rsidP="00BE2BE5">
      <w:pPr>
        <w:spacing w:line="276" w:lineRule="auto"/>
        <w:rPr>
          <w:b/>
          <w:bCs/>
        </w:rPr>
      </w:pPr>
    </w:p>
    <w:p w14:paraId="45AEFE95" w14:textId="77777777" w:rsidR="00BE2BE5" w:rsidRDefault="00BE2BE5" w:rsidP="00BE2BE5">
      <w:pPr>
        <w:spacing w:line="276" w:lineRule="auto"/>
        <w:rPr>
          <w:b/>
          <w:bCs/>
        </w:rPr>
      </w:pPr>
    </w:p>
    <w:p w14:paraId="656976D0" w14:textId="77777777" w:rsidR="00BE2BE5" w:rsidRDefault="00BE2BE5" w:rsidP="00BE2BE5">
      <w:pPr>
        <w:spacing w:line="276" w:lineRule="auto"/>
        <w:rPr>
          <w:b/>
          <w:bCs/>
        </w:rPr>
      </w:pPr>
    </w:p>
    <w:p w14:paraId="19FFFDDB" w14:textId="77777777" w:rsidR="00BE2BE5" w:rsidRDefault="00BE2BE5" w:rsidP="00BE2BE5">
      <w:pPr>
        <w:spacing w:line="276" w:lineRule="auto"/>
        <w:rPr>
          <w:b/>
          <w:bCs/>
        </w:rPr>
      </w:pPr>
    </w:p>
    <w:p w14:paraId="0CBA6A71" w14:textId="77777777" w:rsidR="00BE2BE5" w:rsidRDefault="00BE2BE5" w:rsidP="00BE2BE5">
      <w:pPr>
        <w:spacing w:line="276" w:lineRule="auto"/>
        <w:rPr>
          <w:b/>
          <w:bCs/>
        </w:rPr>
      </w:pPr>
    </w:p>
    <w:p w14:paraId="66922726" w14:textId="77777777" w:rsidR="00BE2BE5" w:rsidRDefault="00BE2BE5" w:rsidP="00BE2BE5">
      <w:pPr>
        <w:spacing w:line="276" w:lineRule="auto"/>
        <w:rPr>
          <w:b/>
          <w:bCs/>
        </w:rPr>
      </w:pPr>
    </w:p>
    <w:p w14:paraId="0FF4BC31" w14:textId="77777777" w:rsidR="00BE2BE5" w:rsidRDefault="00BE2BE5" w:rsidP="00BE2BE5">
      <w:pPr>
        <w:spacing w:line="276" w:lineRule="auto"/>
        <w:rPr>
          <w:b/>
          <w:bCs/>
        </w:rPr>
      </w:pPr>
    </w:p>
    <w:p w14:paraId="3AE4600B" w14:textId="77777777" w:rsidR="00BE2BE5" w:rsidRDefault="00BE2BE5" w:rsidP="00BE2BE5">
      <w:pPr>
        <w:spacing w:line="276" w:lineRule="auto"/>
        <w:rPr>
          <w:b/>
          <w:bCs/>
        </w:rPr>
      </w:pPr>
    </w:p>
    <w:p w14:paraId="66456155" w14:textId="77777777" w:rsidR="00BE2BE5" w:rsidRDefault="00BE2BE5" w:rsidP="00BE2BE5">
      <w:pPr>
        <w:spacing w:line="276" w:lineRule="auto"/>
        <w:rPr>
          <w:b/>
          <w:bCs/>
        </w:rPr>
      </w:pPr>
    </w:p>
    <w:p w14:paraId="0EB3E3D5" w14:textId="77777777" w:rsidR="00BE2BE5" w:rsidRDefault="00BE2BE5" w:rsidP="00BE2BE5">
      <w:pPr>
        <w:spacing w:line="276" w:lineRule="auto"/>
        <w:rPr>
          <w:b/>
          <w:bCs/>
        </w:rPr>
      </w:pPr>
    </w:p>
    <w:p w14:paraId="26380FB6" w14:textId="77777777" w:rsidR="00BE2BE5" w:rsidRDefault="00BE2BE5" w:rsidP="00BE2BE5">
      <w:pPr>
        <w:spacing w:line="276" w:lineRule="auto"/>
        <w:rPr>
          <w:b/>
          <w:bCs/>
        </w:rPr>
      </w:pPr>
    </w:p>
    <w:p w14:paraId="4FBF8ED6" w14:textId="77777777" w:rsidR="00BE2BE5" w:rsidRDefault="00BE2BE5" w:rsidP="00BE2BE5">
      <w:pPr>
        <w:spacing w:line="276" w:lineRule="auto"/>
        <w:rPr>
          <w:b/>
          <w:bCs/>
        </w:rPr>
      </w:pPr>
    </w:p>
    <w:p w14:paraId="02D779CB" w14:textId="77777777" w:rsidR="00BE2BE5" w:rsidRDefault="00BE2BE5" w:rsidP="00BE2BE5">
      <w:pPr>
        <w:spacing w:line="276" w:lineRule="auto"/>
        <w:rPr>
          <w:rFonts w:cstheme="minorHAnsi"/>
          <w:b/>
          <w:bCs/>
        </w:rPr>
      </w:pPr>
    </w:p>
    <w:p w14:paraId="1F681041" w14:textId="77777777" w:rsidR="00BE2BE5" w:rsidRDefault="00BE2BE5" w:rsidP="00BE2BE5">
      <w:pPr>
        <w:spacing w:line="276" w:lineRule="auto"/>
        <w:rPr>
          <w:rFonts w:cstheme="minorHAnsi"/>
          <w:b/>
          <w:bCs/>
        </w:rPr>
      </w:pPr>
    </w:p>
    <w:p w14:paraId="7644473C" w14:textId="77777777" w:rsidR="00BE2BE5" w:rsidRDefault="00BE2BE5" w:rsidP="00BE2BE5">
      <w:pPr>
        <w:rPr>
          <w:rFonts w:cstheme="minorHAnsi"/>
          <w:b/>
          <w:bCs/>
        </w:rPr>
      </w:pPr>
    </w:p>
    <w:p w14:paraId="346DAD6D" w14:textId="77777777" w:rsidR="00BE2BE5" w:rsidRDefault="00BE2BE5" w:rsidP="00BE2BE5">
      <w:pPr>
        <w:rPr>
          <w:rFonts w:cstheme="minorHAnsi"/>
          <w:b/>
          <w:bCs/>
        </w:rPr>
      </w:pPr>
    </w:p>
    <w:p w14:paraId="6EA30656" w14:textId="77777777" w:rsidR="00BE2BE5" w:rsidRDefault="00BE2BE5" w:rsidP="00BE2BE5">
      <w:pPr>
        <w:rPr>
          <w:rFonts w:cstheme="minorHAnsi"/>
          <w:b/>
          <w:bCs/>
        </w:rPr>
      </w:pPr>
    </w:p>
    <w:p w14:paraId="7F3705FA" w14:textId="77777777" w:rsidR="00BE2BE5" w:rsidRDefault="00BE2BE5" w:rsidP="00BE2BE5">
      <w:pPr>
        <w:rPr>
          <w:rFonts w:cstheme="minorHAnsi"/>
          <w:b/>
          <w:bCs/>
        </w:rPr>
      </w:pPr>
    </w:p>
    <w:p w14:paraId="7CED4805" w14:textId="77777777" w:rsidR="00BE2BE5" w:rsidRDefault="00BE2BE5" w:rsidP="00BE2BE5">
      <w:pPr>
        <w:rPr>
          <w:rFonts w:cstheme="minorHAnsi"/>
          <w:b/>
          <w:bCs/>
        </w:rPr>
      </w:pPr>
    </w:p>
    <w:p w14:paraId="35F0DFED" w14:textId="77777777" w:rsidR="00BE2BE5" w:rsidRDefault="00BE2BE5" w:rsidP="00BE2BE5">
      <w:pPr>
        <w:rPr>
          <w:rFonts w:cstheme="minorHAnsi"/>
          <w:b/>
          <w:bCs/>
        </w:rPr>
      </w:pPr>
    </w:p>
    <w:p w14:paraId="74CB6787" w14:textId="77777777" w:rsidR="00BE2BE5" w:rsidRDefault="00BE2BE5" w:rsidP="00BE2BE5">
      <w:pPr>
        <w:rPr>
          <w:rFonts w:cstheme="minorHAnsi"/>
          <w:b/>
          <w:bCs/>
        </w:rPr>
      </w:pPr>
    </w:p>
    <w:p w14:paraId="3A4F9D7B" w14:textId="77777777" w:rsidR="00BE2BE5" w:rsidRDefault="00BE2BE5" w:rsidP="00BE2BE5">
      <w:pPr>
        <w:rPr>
          <w:rFonts w:cstheme="minorHAnsi"/>
          <w:b/>
          <w:bCs/>
        </w:rPr>
      </w:pPr>
    </w:p>
    <w:p w14:paraId="1B593FD8" w14:textId="77777777" w:rsidR="00BE2BE5" w:rsidRDefault="00BE2BE5" w:rsidP="00BE2BE5">
      <w:pPr>
        <w:rPr>
          <w:rFonts w:cstheme="minorHAnsi"/>
          <w:b/>
          <w:bCs/>
        </w:rPr>
      </w:pPr>
    </w:p>
    <w:p w14:paraId="49F2F1DF" w14:textId="77777777" w:rsidR="00BE2BE5" w:rsidRDefault="00BE2BE5" w:rsidP="00BE2BE5">
      <w:pPr>
        <w:rPr>
          <w:rFonts w:cstheme="minorHAnsi"/>
        </w:rPr>
      </w:pPr>
      <w:r>
        <w:rPr>
          <w:rFonts w:cstheme="minorHAnsi"/>
          <w:b/>
          <w:bCs/>
        </w:rPr>
        <w:t xml:space="preserve">Figure S1. </w:t>
      </w:r>
      <w:r w:rsidRPr="00AF3577">
        <w:rPr>
          <w:rFonts w:cstheme="minorHAnsi"/>
        </w:rPr>
        <w:t>PCA plot using ABCD gen</w:t>
      </w:r>
      <w:r>
        <w:rPr>
          <w:rFonts w:cstheme="minorHAnsi"/>
        </w:rPr>
        <w:t xml:space="preserve">otyped </w:t>
      </w:r>
      <w:r w:rsidRPr="00AF3577">
        <w:rPr>
          <w:rFonts w:cstheme="minorHAnsi"/>
        </w:rPr>
        <w:t>data and 1000</w:t>
      </w:r>
      <w:r>
        <w:rPr>
          <w:rFonts w:cstheme="minorHAnsi"/>
        </w:rPr>
        <w:t xml:space="preserve"> </w:t>
      </w:r>
      <w:r w:rsidRPr="00AF3577">
        <w:rPr>
          <w:rFonts w:cstheme="minorHAnsi"/>
        </w:rPr>
        <w:t>Genomes genetic data. The ABCD sample used in</w:t>
      </w:r>
      <w:r w:rsidRPr="007C4B71">
        <w:rPr>
          <w:rFonts w:cstheme="minorHAnsi"/>
        </w:rPr>
        <w:t xml:space="preserve"> the current analyses were mostly of </w:t>
      </w:r>
      <w:r>
        <w:rPr>
          <w:rFonts w:cstheme="minorHAnsi"/>
        </w:rPr>
        <w:t>European</w:t>
      </w:r>
      <w:r w:rsidRPr="007C4B71">
        <w:rPr>
          <w:rFonts w:cstheme="minorHAnsi"/>
        </w:rPr>
        <w:t xml:space="preserve"> ancestry, as indicated by the overlap with the 1000</w:t>
      </w:r>
      <w:r>
        <w:rPr>
          <w:rFonts w:cstheme="minorHAnsi"/>
        </w:rPr>
        <w:t xml:space="preserve"> </w:t>
      </w:r>
      <w:r w:rsidRPr="007C4B71">
        <w:rPr>
          <w:rFonts w:cstheme="minorHAnsi"/>
        </w:rPr>
        <w:t>Genomes European population.</w:t>
      </w:r>
      <w:r>
        <w:rPr>
          <w:rFonts w:cstheme="minorHAnsi"/>
        </w:rPr>
        <w:t xml:space="preserve"> Figure legend: EUR – European, ASN – Asian, AMR – American, AFR – African, OWN – ABCD European-only sample.</w:t>
      </w:r>
    </w:p>
    <w:p w14:paraId="62CE4667" w14:textId="77777777" w:rsidR="00A900D6" w:rsidRDefault="00A900D6">
      <w:pPr>
        <w:rPr>
          <w:b/>
          <w:bCs/>
        </w:rPr>
      </w:pPr>
      <w:r>
        <w:rPr>
          <w:b/>
          <w:bCs/>
        </w:rPr>
        <w:br w:type="page"/>
      </w:r>
    </w:p>
    <w:p w14:paraId="2B2E2F8D" w14:textId="57A43E6D" w:rsidR="001A20DA" w:rsidRDefault="001A20DA" w:rsidP="001A20DA">
      <w:pPr>
        <w:rPr>
          <w:rFonts w:cstheme="minorHAnsi"/>
          <w:b/>
          <w:bCs/>
        </w:rPr>
      </w:pPr>
    </w:p>
    <w:p w14:paraId="76617225" w14:textId="5DCE01EC" w:rsidR="001A20DA" w:rsidRDefault="002B54BB" w:rsidP="001A20DA">
      <w:pPr>
        <w:rPr>
          <w:rFonts w:cstheme="minorHAnsi"/>
          <w:b/>
          <w:bCs/>
        </w:rPr>
      </w:pPr>
      <w:r>
        <w:rPr>
          <w:b/>
          <w:bCs/>
          <w:noProof/>
        </w:rPr>
        <w:drawing>
          <wp:inline distT="0" distB="0" distL="0" distR="0" wp14:anchorId="22E0882B" wp14:editId="20217F04">
            <wp:extent cx="5730240" cy="23317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b="27660"/>
                    <a:stretch/>
                  </pic:blipFill>
                  <pic:spPr bwMode="auto">
                    <a:xfrm>
                      <a:off x="0" y="0"/>
                      <a:ext cx="5730240" cy="2331720"/>
                    </a:xfrm>
                    <a:prstGeom prst="rect">
                      <a:avLst/>
                    </a:prstGeom>
                    <a:noFill/>
                    <a:ln>
                      <a:noFill/>
                    </a:ln>
                    <a:extLst>
                      <a:ext uri="{53640926-AAD7-44D8-BBD7-CCE9431645EC}">
                        <a14:shadowObscured xmlns:a14="http://schemas.microsoft.com/office/drawing/2010/main"/>
                      </a:ext>
                    </a:extLst>
                  </pic:spPr>
                </pic:pic>
              </a:graphicData>
            </a:graphic>
          </wp:inline>
        </w:drawing>
      </w:r>
    </w:p>
    <w:p w14:paraId="3B048B13" w14:textId="6350ED92" w:rsidR="001A20DA" w:rsidRDefault="001A20DA" w:rsidP="001A20DA">
      <w:pPr>
        <w:rPr>
          <w:rFonts w:cstheme="minorHAnsi"/>
        </w:rPr>
      </w:pPr>
      <w:r>
        <w:rPr>
          <w:rFonts w:cstheme="minorHAnsi"/>
          <w:b/>
          <w:bCs/>
        </w:rPr>
        <w:t xml:space="preserve">Figure S2. </w:t>
      </w:r>
      <w:r w:rsidR="009B5275">
        <w:rPr>
          <w:rFonts w:cstheme="minorHAnsi"/>
        </w:rPr>
        <w:t xml:space="preserve">Correlation coefficients between the different </w:t>
      </w:r>
      <w:r w:rsidR="00EB5E13">
        <w:rPr>
          <w:rFonts w:cstheme="minorHAnsi"/>
        </w:rPr>
        <w:t>MDD-</w:t>
      </w:r>
      <w:r w:rsidR="009B5275">
        <w:rPr>
          <w:rFonts w:cstheme="minorHAnsi"/>
        </w:rPr>
        <w:t>RVI</w:t>
      </w:r>
      <w:r w:rsidR="00EB5E13">
        <w:rPr>
          <w:rFonts w:cstheme="minorHAnsi"/>
        </w:rPr>
        <w:t xml:space="preserve">s </w:t>
      </w:r>
      <w:r w:rsidR="009B5275">
        <w:rPr>
          <w:rFonts w:cstheme="minorHAnsi"/>
        </w:rPr>
        <w:t xml:space="preserve">and </w:t>
      </w:r>
      <w:r w:rsidR="00EB5E13">
        <w:rPr>
          <w:rFonts w:cstheme="minorHAnsi"/>
        </w:rPr>
        <w:t>MDD-</w:t>
      </w:r>
      <w:r w:rsidR="009B5275">
        <w:rPr>
          <w:rFonts w:cstheme="minorHAnsi"/>
        </w:rPr>
        <w:t>PRS at pT_0.1 for (A) GS-Imaging, (B) ABCD (Baseline), and (C) ABCD (Two-year). Boxes with “*” indicate that the correlation coefficient is significant at p&lt;0.05.</w:t>
      </w:r>
    </w:p>
    <w:p w14:paraId="0835DEE4" w14:textId="69087F3F" w:rsidR="00BE2BE5" w:rsidRDefault="00BE2BE5" w:rsidP="00BE2BE5">
      <w:pPr>
        <w:spacing w:line="276" w:lineRule="auto"/>
        <w:rPr>
          <w:b/>
          <w:bCs/>
        </w:rPr>
      </w:pPr>
      <w:r>
        <w:rPr>
          <w:b/>
          <w:bCs/>
        </w:rPr>
        <w:br w:type="page"/>
      </w:r>
    </w:p>
    <w:p w14:paraId="15B4935E" w14:textId="77777777" w:rsidR="00BE2BE5" w:rsidRPr="00930AC0" w:rsidRDefault="00BE2BE5" w:rsidP="00BE2BE5">
      <w:pPr>
        <w:spacing w:line="276" w:lineRule="auto"/>
        <w:rPr>
          <w:b/>
          <w:bCs/>
        </w:rPr>
      </w:pPr>
    </w:p>
    <w:p w14:paraId="2DAACD0B" w14:textId="17D5362B" w:rsidR="00BE2BE5" w:rsidRPr="00E908C4" w:rsidRDefault="00BE2BE5" w:rsidP="00BE2BE5">
      <w:pPr>
        <w:spacing w:line="276" w:lineRule="auto"/>
        <w:rPr>
          <w:b/>
          <w:bCs/>
          <w:lang w:val="en-GB"/>
        </w:rPr>
      </w:pPr>
      <w:r w:rsidRPr="00E908C4">
        <w:rPr>
          <w:b/>
          <w:bCs/>
          <w:lang w:val="en-GB"/>
        </w:rPr>
        <w:t xml:space="preserve">Supplementary </w:t>
      </w:r>
      <w:r>
        <w:rPr>
          <w:b/>
          <w:bCs/>
          <w:lang w:val="en-GB"/>
        </w:rPr>
        <w:t>figures</w:t>
      </w:r>
      <w:r w:rsidRPr="00E908C4">
        <w:rPr>
          <w:b/>
          <w:bCs/>
          <w:lang w:val="en-GB"/>
        </w:rPr>
        <w:t xml:space="preserve"> for GS-Imaging</w:t>
      </w:r>
    </w:p>
    <w:p w14:paraId="0C88EEF3" w14:textId="6AFEE91E" w:rsidR="00BE2BE5" w:rsidRDefault="00BE2BE5" w:rsidP="00BE2BE5">
      <w:pPr>
        <w:spacing w:line="276" w:lineRule="auto"/>
        <w:rPr>
          <w:b/>
          <w:bCs/>
          <w:lang w:val="en-GB"/>
        </w:rPr>
      </w:pPr>
    </w:p>
    <w:p w14:paraId="7C438C7B" w14:textId="7A04574E" w:rsidR="00BE2BE5" w:rsidRDefault="00BE2BE5" w:rsidP="00BE2BE5">
      <w:pPr>
        <w:spacing w:line="276" w:lineRule="auto"/>
        <w:rPr>
          <w:b/>
          <w:bCs/>
          <w:lang w:val="en-GB"/>
        </w:rPr>
      </w:pPr>
    </w:p>
    <w:p w14:paraId="46715154" w14:textId="698BCEC9" w:rsidR="00BE2BE5" w:rsidRPr="000F158B" w:rsidRDefault="00E20D42" w:rsidP="00BE2BE5">
      <w:pPr>
        <w:spacing w:line="276" w:lineRule="auto"/>
        <w:rPr>
          <w:b/>
          <w:bCs/>
          <w:lang w:val="en-GB"/>
        </w:rPr>
      </w:pPr>
      <w:r>
        <w:rPr>
          <w:b/>
          <w:bCs/>
          <w:noProof/>
          <w:lang w:val="en-GB"/>
        </w:rPr>
        <w:drawing>
          <wp:anchor distT="0" distB="0" distL="114300" distR="114300" simplePos="0" relativeHeight="251662336" behindDoc="0" locked="0" layoutInCell="1" allowOverlap="1" wp14:anchorId="76033EB4" wp14:editId="3F5E69EC">
            <wp:simplePos x="0" y="0"/>
            <wp:positionH relativeFrom="column">
              <wp:posOffset>1143000</wp:posOffset>
            </wp:positionH>
            <wp:positionV relativeFrom="paragraph">
              <wp:posOffset>6985</wp:posOffset>
            </wp:positionV>
            <wp:extent cx="2878455" cy="540194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78455" cy="5401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49ED18" w14:textId="77777777" w:rsidR="00BE2BE5" w:rsidRPr="00CF5E16" w:rsidRDefault="00BE2BE5" w:rsidP="00BE2BE5">
      <w:pPr>
        <w:spacing w:line="276" w:lineRule="auto"/>
        <w:rPr>
          <w:b/>
          <w:bCs/>
          <w:lang w:val="en-GB"/>
        </w:rPr>
      </w:pPr>
    </w:p>
    <w:p w14:paraId="23196293" w14:textId="77777777" w:rsidR="00BE2BE5" w:rsidRPr="0041094B" w:rsidRDefault="00BE2BE5" w:rsidP="00BE2BE5">
      <w:pPr>
        <w:spacing w:line="276" w:lineRule="auto"/>
        <w:rPr>
          <w:b/>
          <w:bCs/>
          <w:lang w:val="en-GB"/>
        </w:rPr>
      </w:pPr>
    </w:p>
    <w:p w14:paraId="1FE7655D" w14:textId="77777777" w:rsidR="00BE2BE5" w:rsidRDefault="00BE2BE5" w:rsidP="00BE2BE5">
      <w:pPr>
        <w:rPr>
          <w:b/>
          <w:bCs/>
          <w:lang w:val="en-GB"/>
        </w:rPr>
      </w:pPr>
    </w:p>
    <w:p w14:paraId="0B2870F6" w14:textId="77777777" w:rsidR="00BE2BE5" w:rsidRDefault="00BE2BE5" w:rsidP="00BE2BE5">
      <w:pPr>
        <w:rPr>
          <w:b/>
          <w:bCs/>
          <w:lang w:val="en-GB"/>
        </w:rPr>
      </w:pPr>
    </w:p>
    <w:p w14:paraId="29824E7B" w14:textId="77777777" w:rsidR="00BE2BE5" w:rsidRDefault="00BE2BE5" w:rsidP="00BE2BE5">
      <w:pPr>
        <w:rPr>
          <w:b/>
          <w:bCs/>
          <w:lang w:val="en-GB"/>
        </w:rPr>
      </w:pPr>
    </w:p>
    <w:p w14:paraId="0709989B" w14:textId="77777777" w:rsidR="00BE2BE5" w:rsidRDefault="00BE2BE5" w:rsidP="00BE2BE5">
      <w:pPr>
        <w:rPr>
          <w:b/>
          <w:bCs/>
          <w:lang w:val="en-GB"/>
        </w:rPr>
      </w:pPr>
    </w:p>
    <w:p w14:paraId="16303692" w14:textId="77777777" w:rsidR="00BE2BE5" w:rsidRDefault="00BE2BE5" w:rsidP="00BE2BE5">
      <w:pPr>
        <w:rPr>
          <w:b/>
          <w:bCs/>
          <w:lang w:val="en-GB"/>
        </w:rPr>
      </w:pPr>
    </w:p>
    <w:p w14:paraId="52AA44B9" w14:textId="77777777" w:rsidR="00BE2BE5" w:rsidRDefault="00BE2BE5" w:rsidP="00BE2BE5">
      <w:pPr>
        <w:rPr>
          <w:b/>
          <w:bCs/>
          <w:lang w:val="en-GB"/>
        </w:rPr>
      </w:pPr>
    </w:p>
    <w:p w14:paraId="691B4432" w14:textId="77777777" w:rsidR="00BE2BE5" w:rsidRDefault="00BE2BE5" w:rsidP="00BE2BE5">
      <w:pPr>
        <w:rPr>
          <w:b/>
          <w:bCs/>
          <w:lang w:val="en-GB"/>
        </w:rPr>
      </w:pPr>
    </w:p>
    <w:p w14:paraId="56142DF2" w14:textId="77777777" w:rsidR="00BE2BE5" w:rsidRDefault="00BE2BE5" w:rsidP="00BE2BE5">
      <w:pPr>
        <w:rPr>
          <w:b/>
          <w:bCs/>
          <w:lang w:val="en-GB"/>
        </w:rPr>
      </w:pPr>
    </w:p>
    <w:p w14:paraId="5F337973" w14:textId="77777777" w:rsidR="00BE2BE5" w:rsidRDefault="00BE2BE5" w:rsidP="00BE2BE5">
      <w:pPr>
        <w:rPr>
          <w:b/>
          <w:bCs/>
          <w:lang w:val="en-GB"/>
        </w:rPr>
      </w:pPr>
    </w:p>
    <w:p w14:paraId="54C71721" w14:textId="77777777" w:rsidR="00BE2BE5" w:rsidRDefault="00BE2BE5" w:rsidP="00BE2BE5">
      <w:pPr>
        <w:rPr>
          <w:b/>
          <w:bCs/>
          <w:lang w:val="en-GB"/>
        </w:rPr>
      </w:pPr>
    </w:p>
    <w:p w14:paraId="74CF2B78" w14:textId="77777777" w:rsidR="00BE2BE5" w:rsidRDefault="00BE2BE5" w:rsidP="00BE2BE5">
      <w:pPr>
        <w:rPr>
          <w:b/>
          <w:bCs/>
          <w:lang w:val="en-GB"/>
        </w:rPr>
      </w:pPr>
    </w:p>
    <w:p w14:paraId="4AC39CAB" w14:textId="77777777" w:rsidR="00BE2BE5" w:rsidRDefault="00BE2BE5" w:rsidP="00BE2BE5">
      <w:pPr>
        <w:rPr>
          <w:b/>
          <w:bCs/>
          <w:lang w:val="en-GB"/>
        </w:rPr>
      </w:pPr>
    </w:p>
    <w:p w14:paraId="4D5E328C" w14:textId="77777777" w:rsidR="00BE2BE5" w:rsidRDefault="00BE2BE5" w:rsidP="00BE2BE5">
      <w:pPr>
        <w:rPr>
          <w:b/>
          <w:bCs/>
          <w:lang w:val="en-GB"/>
        </w:rPr>
      </w:pPr>
    </w:p>
    <w:p w14:paraId="31C60A50" w14:textId="77777777" w:rsidR="00BE2BE5" w:rsidRDefault="00BE2BE5" w:rsidP="00BE2BE5">
      <w:pPr>
        <w:rPr>
          <w:b/>
          <w:bCs/>
          <w:lang w:val="en-GB"/>
        </w:rPr>
      </w:pPr>
    </w:p>
    <w:p w14:paraId="158676A8" w14:textId="77777777" w:rsidR="00BE2BE5" w:rsidRDefault="00BE2BE5" w:rsidP="00BE2BE5">
      <w:pPr>
        <w:rPr>
          <w:b/>
          <w:bCs/>
          <w:lang w:val="en-GB"/>
        </w:rPr>
      </w:pPr>
    </w:p>
    <w:p w14:paraId="6282CB78" w14:textId="77777777" w:rsidR="00BE2BE5" w:rsidRDefault="00BE2BE5" w:rsidP="00BE2BE5">
      <w:pPr>
        <w:rPr>
          <w:b/>
          <w:bCs/>
          <w:lang w:val="en-GB"/>
        </w:rPr>
      </w:pPr>
    </w:p>
    <w:p w14:paraId="4EC49C86" w14:textId="77777777" w:rsidR="00BE2BE5" w:rsidRDefault="00BE2BE5" w:rsidP="00BE2BE5">
      <w:pPr>
        <w:rPr>
          <w:b/>
          <w:bCs/>
          <w:lang w:val="en-GB"/>
        </w:rPr>
      </w:pPr>
    </w:p>
    <w:p w14:paraId="67B5AA07" w14:textId="77777777" w:rsidR="00BE2BE5" w:rsidRDefault="00BE2BE5" w:rsidP="00BE2BE5">
      <w:pPr>
        <w:rPr>
          <w:b/>
          <w:bCs/>
          <w:lang w:val="en-GB"/>
        </w:rPr>
      </w:pPr>
    </w:p>
    <w:p w14:paraId="3F48B738" w14:textId="77777777" w:rsidR="00BE2BE5" w:rsidRDefault="00BE2BE5" w:rsidP="00BE2BE5">
      <w:pPr>
        <w:rPr>
          <w:b/>
          <w:bCs/>
          <w:lang w:val="en-GB"/>
        </w:rPr>
      </w:pPr>
    </w:p>
    <w:p w14:paraId="63A9AFAA" w14:textId="77777777" w:rsidR="00BE2BE5" w:rsidRDefault="00BE2BE5" w:rsidP="00BE2BE5">
      <w:pPr>
        <w:rPr>
          <w:b/>
          <w:bCs/>
          <w:lang w:val="en-GB"/>
        </w:rPr>
      </w:pPr>
    </w:p>
    <w:p w14:paraId="7FC5022B" w14:textId="77777777" w:rsidR="00BE2BE5" w:rsidRDefault="00BE2BE5" w:rsidP="00BE2BE5">
      <w:pPr>
        <w:rPr>
          <w:b/>
          <w:bCs/>
          <w:lang w:val="en-GB"/>
        </w:rPr>
      </w:pPr>
    </w:p>
    <w:p w14:paraId="43F11DA9" w14:textId="77777777" w:rsidR="00BE2BE5" w:rsidRDefault="00BE2BE5" w:rsidP="00BE2BE5">
      <w:pPr>
        <w:rPr>
          <w:b/>
          <w:bCs/>
          <w:lang w:val="en-GB"/>
        </w:rPr>
      </w:pPr>
    </w:p>
    <w:p w14:paraId="140BC7EB" w14:textId="77777777" w:rsidR="00BE2BE5" w:rsidRDefault="00BE2BE5" w:rsidP="00BE2BE5">
      <w:pPr>
        <w:rPr>
          <w:b/>
          <w:bCs/>
          <w:lang w:val="en-GB"/>
        </w:rPr>
      </w:pPr>
    </w:p>
    <w:p w14:paraId="06A72839" w14:textId="77777777" w:rsidR="00E20D42" w:rsidRDefault="00E20D42" w:rsidP="00BE2BE5">
      <w:pPr>
        <w:rPr>
          <w:b/>
          <w:bCs/>
          <w:lang w:val="en-GB"/>
        </w:rPr>
      </w:pPr>
    </w:p>
    <w:p w14:paraId="136103C4" w14:textId="77777777" w:rsidR="00E20D42" w:rsidRDefault="00E20D42" w:rsidP="00BE2BE5">
      <w:pPr>
        <w:rPr>
          <w:b/>
          <w:bCs/>
          <w:lang w:val="en-GB"/>
        </w:rPr>
      </w:pPr>
    </w:p>
    <w:p w14:paraId="4C91BD78" w14:textId="77777777" w:rsidR="00E20D42" w:rsidRDefault="00E20D42" w:rsidP="00BE2BE5">
      <w:pPr>
        <w:rPr>
          <w:b/>
          <w:bCs/>
          <w:lang w:val="en-GB"/>
        </w:rPr>
      </w:pPr>
    </w:p>
    <w:p w14:paraId="41080F77" w14:textId="77777777" w:rsidR="00E20D42" w:rsidRDefault="00E20D42" w:rsidP="00BE2BE5">
      <w:pPr>
        <w:rPr>
          <w:b/>
          <w:bCs/>
          <w:lang w:val="en-GB"/>
        </w:rPr>
      </w:pPr>
    </w:p>
    <w:p w14:paraId="358D6A1C" w14:textId="77777777" w:rsidR="00E20D42" w:rsidRDefault="00E20D42" w:rsidP="00BE2BE5">
      <w:pPr>
        <w:rPr>
          <w:b/>
          <w:bCs/>
          <w:lang w:val="en-GB"/>
        </w:rPr>
      </w:pPr>
    </w:p>
    <w:p w14:paraId="0098E30B" w14:textId="77777777" w:rsidR="00E20D42" w:rsidRDefault="00E20D42" w:rsidP="00BE2BE5">
      <w:pPr>
        <w:rPr>
          <w:b/>
          <w:bCs/>
          <w:lang w:val="en-GB"/>
        </w:rPr>
      </w:pPr>
    </w:p>
    <w:p w14:paraId="44634CAF" w14:textId="77777777" w:rsidR="00E20D42" w:rsidRDefault="00E20D42" w:rsidP="00BE2BE5">
      <w:pPr>
        <w:rPr>
          <w:b/>
          <w:bCs/>
          <w:lang w:val="en-GB"/>
        </w:rPr>
      </w:pPr>
    </w:p>
    <w:p w14:paraId="23014EF3" w14:textId="68F303BE" w:rsidR="00BE2BE5" w:rsidRPr="00E20D42" w:rsidRDefault="00BE2BE5" w:rsidP="00BE2BE5">
      <w:pPr>
        <w:rPr>
          <w:rFonts w:cstheme="minorHAnsi"/>
        </w:rPr>
      </w:pPr>
      <w:r w:rsidRPr="00CF5E16">
        <w:rPr>
          <w:b/>
          <w:bCs/>
          <w:lang w:val="en-GB"/>
        </w:rPr>
        <w:t xml:space="preserve">Figure </w:t>
      </w:r>
      <w:r>
        <w:rPr>
          <w:b/>
          <w:bCs/>
          <w:lang w:val="en-GB"/>
        </w:rPr>
        <w:t>S</w:t>
      </w:r>
      <w:r w:rsidR="000B4897">
        <w:rPr>
          <w:b/>
          <w:bCs/>
          <w:lang w:val="en-GB"/>
        </w:rPr>
        <w:t>3</w:t>
      </w:r>
      <w:r w:rsidRPr="00CF5E16">
        <w:rPr>
          <w:b/>
          <w:bCs/>
          <w:lang w:val="en-GB"/>
        </w:rPr>
        <w:t xml:space="preserve">. </w:t>
      </w:r>
      <w:r>
        <w:rPr>
          <w:rFonts w:cstheme="minorHAnsi"/>
        </w:rPr>
        <w:t xml:space="preserve">Association between </w:t>
      </w:r>
      <w:r w:rsidR="002E1C1C">
        <w:rPr>
          <w:rFonts w:cstheme="minorHAnsi"/>
        </w:rPr>
        <w:t>MDD-</w:t>
      </w:r>
      <w:r>
        <w:rPr>
          <w:rFonts w:cstheme="minorHAnsi"/>
        </w:rPr>
        <w:t xml:space="preserve">RVIs/MDD-PRS (all thresholds) with Lifetime-MDD and </w:t>
      </w:r>
      <w:proofErr w:type="spellStart"/>
      <w:r>
        <w:rPr>
          <w:rFonts w:cstheme="minorHAnsi"/>
        </w:rPr>
        <w:t>TotalQIDS</w:t>
      </w:r>
      <w:proofErr w:type="spellEnd"/>
      <w:r>
        <w:rPr>
          <w:rFonts w:cstheme="minorHAnsi"/>
        </w:rPr>
        <w:t xml:space="preserve"> in GS-Imaging. The x-axis represents the standardised effect sizes and the y-axis represent the different RVI types and the MDD-PRS calculated at the different p-value thresholds.</w:t>
      </w:r>
    </w:p>
    <w:p w14:paraId="043E8C2F" w14:textId="77777777" w:rsidR="00BE2BE5" w:rsidRDefault="00BE2BE5" w:rsidP="00BE2BE5">
      <w:pPr>
        <w:spacing w:line="276" w:lineRule="auto"/>
        <w:rPr>
          <w:b/>
          <w:bCs/>
          <w:lang w:val="en-GB"/>
        </w:rPr>
      </w:pPr>
    </w:p>
    <w:p w14:paraId="6E949A9F" w14:textId="77777777" w:rsidR="00BE2BE5" w:rsidRPr="00B17877" w:rsidRDefault="00BE2BE5" w:rsidP="00BE2BE5">
      <w:pPr>
        <w:spacing w:line="276" w:lineRule="auto"/>
        <w:rPr>
          <w:b/>
          <w:bCs/>
          <w:lang w:val="en-GB"/>
        </w:rPr>
      </w:pPr>
      <w:r>
        <w:rPr>
          <w:b/>
          <w:bCs/>
          <w:lang w:val="en-GB"/>
        </w:rPr>
        <w:br w:type="page"/>
      </w:r>
    </w:p>
    <w:p w14:paraId="55FCC4C4" w14:textId="66DE74B7" w:rsidR="00BE2BE5" w:rsidRDefault="008245C5" w:rsidP="00BE2BE5">
      <w:pPr>
        <w:rPr>
          <w:b/>
          <w:bCs/>
          <w:lang w:val="en-GB"/>
        </w:rPr>
      </w:pPr>
      <w:r>
        <w:rPr>
          <w:noProof/>
        </w:rPr>
        <w:lastRenderedPageBreak/>
        <w:drawing>
          <wp:inline distT="0" distB="0" distL="0" distR="0" wp14:anchorId="4319CE1A" wp14:editId="156BE28A">
            <wp:extent cx="5732145" cy="32766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2145" cy="3276600"/>
                    </a:xfrm>
                    <a:prstGeom prst="rect">
                      <a:avLst/>
                    </a:prstGeom>
                    <a:noFill/>
                    <a:ln>
                      <a:noFill/>
                    </a:ln>
                  </pic:spPr>
                </pic:pic>
              </a:graphicData>
            </a:graphic>
          </wp:inline>
        </w:drawing>
      </w:r>
    </w:p>
    <w:p w14:paraId="5D15688C" w14:textId="77777777" w:rsidR="00BE2BE5" w:rsidRDefault="00BE2BE5" w:rsidP="00BE2BE5">
      <w:pPr>
        <w:rPr>
          <w:b/>
          <w:bCs/>
          <w:lang w:val="en-GB"/>
        </w:rPr>
      </w:pPr>
    </w:p>
    <w:p w14:paraId="1958986E" w14:textId="4CB09192" w:rsidR="00BE2BE5" w:rsidRDefault="00BE2BE5" w:rsidP="00BE2BE5">
      <w:pPr>
        <w:rPr>
          <w:rFonts w:cstheme="minorHAnsi"/>
        </w:rPr>
      </w:pPr>
      <w:r w:rsidRPr="00CF5E16">
        <w:rPr>
          <w:b/>
          <w:bCs/>
          <w:lang w:val="en-GB"/>
        </w:rPr>
        <w:t xml:space="preserve">Figure </w:t>
      </w:r>
      <w:r>
        <w:rPr>
          <w:b/>
          <w:bCs/>
          <w:lang w:val="en-GB"/>
        </w:rPr>
        <w:t>S</w:t>
      </w:r>
      <w:r w:rsidR="000B4897">
        <w:rPr>
          <w:b/>
          <w:bCs/>
          <w:lang w:val="en-GB"/>
        </w:rPr>
        <w:t>4</w:t>
      </w:r>
      <w:r w:rsidRPr="00CF5E16">
        <w:rPr>
          <w:b/>
          <w:bCs/>
          <w:lang w:val="en-GB"/>
        </w:rPr>
        <w:t xml:space="preserve">. </w:t>
      </w:r>
      <w:r w:rsidRPr="00E6075C">
        <w:rPr>
          <w:lang w:val="en-GB"/>
        </w:rPr>
        <w:t>(A)</w:t>
      </w:r>
      <w:r>
        <w:rPr>
          <w:b/>
          <w:bCs/>
          <w:lang w:val="en-GB"/>
        </w:rPr>
        <w:t xml:space="preserve"> </w:t>
      </w:r>
      <w:r>
        <w:rPr>
          <w:rFonts w:cstheme="minorHAnsi"/>
        </w:rPr>
        <w:t xml:space="preserve">Association between MDD-PRS and lifetime MDD diagnosis in the full unrelated GS sample (N=6,946) defined in Howard et al </w:t>
      </w:r>
      <w:r w:rsidR="00AB4F6C">
        <w:rPr>
          <w:rFonts w:cstheme="minorHAnsi"/>
        </w:rPr>
        <w:t>[9]</w:t>
      </w:r>
      <w:r>
        <w:rPr>
          <w:rFonts w:cstheme="minorHAnsi"/>
        </w:rPr>
        <w:t xml:space="preserve">. Individuals were defined as cases if they were given a MDD diagnosis using the Structured Clinical Interview for DSM disorders (975 cases and 5,975 controls). The x-axis represents the standardised effect sizes and the y-axis represent the different RVI types and the MDD-PRS calculated at the different p-value thresholds. (B) The </w:t>
      </w:r>
      <w:r w:rsidR="0028019D">
        <w:rPr>
          <w:rFonts w:cstheme="minorHAnsi"/>
        </w:rPr>
        <w:t>change in</w:t>
      </w:r>
      <w:r>
        <w:rPr>
          <w:rFonts w:cstheme="minorHAnsi"/>
        </w:rPr>
        <w:t xml:space="preserve"> McFadden Pseudo-R</w:t>
      </w:r>
      <w:r w:rsidRPr="00E6075C">
        <w:rPr>
          <w:rFonts w:cstheme="minorHAnsi"/>
          <w:vertAlign w:val="superscript"/>
        </w:rPr>
        <w:t>2</w:t>
      </w:r>
      <w:r>
        <w:rPr>
          <w:rFonts w:cstheme="minorHAnsi"/>
        </w:rPr>
        <w:t xml:space="preserve"> was calculated for each p-value threshold to assess the improvement in model fit upon adding MDD-PRS as a predictor, relative to the null model including only covariates. </w:t>
      </w:r>
    </w:p>
    <w:p w14:paraId="6DCAF82F" w14:textId="77777777" w:rsidR="000F2EB1" w:rsidRDefault="000F2EB1">
      <w:pPr>
        <w:rPr>
          <w:rFonts w:cstheme="minorHAnsi"/>
        </w:rPr>
      </w:pPr>
      <w:r>
        <w:rPr>
          <w:rFonts w:cstheme="minorHAnsi"/>
        </w:rPr>
        <w:br w:type="page"/>
      </w:r>
    </w:p>
    <w:p w14:paraId="33224C2F" w14:textId="4CFFCBE6" w:rsidR="000F2EB1" w:rsidRDefault="000F2EB1" w:rsidP="000F2EB1">
      <w:pPr>
        <w:spacing w:line="276" w:lineRule="auto"/>
        <w:rPr>
          <w:rFonts w:eastAsia="Times New Roman"/>
          <w:noProof/>
          <w:color w:val="0070C0"/>
        </w:rPr>
      </w:pPr>
      <w:r>
        <w:rPr>
          <w:rFonts w:eastAsia="Times New Roman"/>
          <w:noProof/>
        </w:rPr>
        <w:lastRenderedPageBreak/>
        <w:drawing>
          <wp:anchor distT="0" distB="0" distL="114300" distR="114300" simplePos="0" relativeHeight="251665408" behindDoc="0" locked="0" layoutInCell="1" allowOverlap="1" wp14:anchorId="4A3F3667" wp14:editId="0C3E0A8E">
            <wp:simplePos x="0" y="0"/>
            <wp:positionH relativeFrom="margin">
              <wp:align>center</wp:align>
            </wp:positionH>
            <wp:positionV relativeFrom="paragraph">
              <wp:posOffset>8255</wp:posOffset>
            </wp:positionV>
            <wp:extent cx="4567557" cy="3575050"/>
            <wp:effectExtent l="0" t="0" r="4445" b="6350"/>
            <wp:wrapSquare wrapText="bothSides"/>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67557" cy="3575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4F0A6" w14:textId="77777777" w:rsidR="000F2EB1" w:rsidRDefault="000F2EB1" w:rsidP="000F2EB1">
      <w:pPr>
        <w:spacing w:line="276" w:lineRule="auto"/>
        <w:rPr>
          <w:rFonts w:eastAsia="Times New Roman"/>
          <w:noProof/>
          <w:color w:val="0070C0"/>
        </w:rPr>
      </w:pPr>
    </w:p>
    <w:p w14:paraId="34A7BA46" w14:textId="79087AB1" w:rsidR="000F2EB1" w:rsidRDefault="000F2EB1" w:rsidP="000F2EB1">
      <w:pPr>
        <w:spacing w:line="276" w:lineRule="auto"/>
        <w:rPr>
          <w:rFonts w:eastAsia="Times New Roman"/>
          <w:noProof/>
          <w:color w:val="0070C0"/>
        </w:rPr>
      </w:pPr>
    </w:p>
    <w:p w14:paraId="58E3EBBE" w14:textId="77777777" w:rsidR="000F2EB1" w:rsidRDefault="000F2EB1" w:rsidP="000F2EB1">
      <w:pPr>
        <w:spacing w:line="276" w:lineRule="auto"/>
        <w:rPr>
          <w:rFonts w:eastAsia="Times New Roman"/>
          <w:noProof/>
          <w:color w:val="0070C0"/>
        </w:rPr>
      </w:pPr>
    </w:p>
    <w:p w14:paraId="7F4B02E7" w14:textId="7695BD82" w:rsidR="000F2EB1" w:rsidRDefault="000F2EB1" w:rsidP="000F2EB1">
      <w:pPr>
        <w:spacing w:line="276" w:lineRule="auto"/>
        <w:rPr>
          <w:rFonts w:eastAsia="Times New Roman"/>
          <w:noProof/>
          <w:color w:val="0070C0"/>
        </w:rPr>
      </w:pPr>
    </w:p>
    <w:p w14:paraId="5CC8F3AA" w14:textId="77777777" w:rsidR="000F2EB1" w:rsidRDefault="000F2EB1" w:rsidP="000F2EB1">
      <w:pPr>
        <w:spacing w:line="276" w:lineRule="auto"/>
        <w:rPr>
          <w:rFonts w:eastAsia="Times New Roman"/>
          <w:noProof/>
          <w:color w:val="0070C0"/>
        </w:rPr>
      </w:pPr>
    </w:p>
    <w:p w14:paraId="5F90B9B4" w14:textId="77777777" w:rsidR="000F2EB1" w:rsidRDefault="000F2EB1" w:rsidP="000F2EB1">
      <w:pPr>
        <w:spacing w:line="276" w:lineRule="auto"/>
        <w:rPr>
          <w:rFonts w:eastAsia="Times New Roman"/>
          <w:noProof/>
          <w:color w:val="0070C0"/>
        </w:rPr>
      </w:pPr>
    </w:p>
    <w:p w14:paraId="49B6B55F" w14:textId="77777777" w:rsidR="000F2EB1" w:rsidRDefault="000F2EB1" w:rsidP="000F2EB1">
      <w:pPr>
        <w:spacing w:line="276" w:lineRule="auto"/>
        <w:rPr>
          <w:rFonts w:eastAsia="Times New Roman"/>
          <w:noProof/>
          <w:color w:val="0070C0"/>
        </w:rPr>
      </w:pPr>
    </w:p>
    <w:p w14:paraId="4B5B2610" w14:textId="77777777" w:rsidR="000F2EB1" w:rsidRDefault="000F2EB1" w:rsidP="000F2EB1">
      <w:pPr>
        <w:spacing w:line="276" w:lineRule="auto"/>
        <w:rPr>
          <w:rFonts w:eastAsia="Times New Roman"/>
          <w:noProof/>
          <w:color w:val="0070C0"/>
        </w:rPr>
      </w:pPr>
    </w:p>
    <w:p w14:paraId="00B7532E" w14:textId="77777777" w:rsidR="000F2EB1" w:rsidRDefault="000F2EB1" w:rsidP="000F2EB1">
      <w:pPr>
        <w:spacing w:line="276" w:lineRule="auto"/>
        <w:rPr>
          <w:rFonts w:eastAsia="Times New Roman"/>
          <w:noProof/>
          <w:color w:val="0070C0"/>
        </w:rPr>
      </w:pPr>
    </w:p>
    <w:p w14:paraId="3110250E" w14:textId="77777777" w:rsidR="000F2EB1" w:rsidRDefault="000F2EB1" w:rsidP="000F2EB1">
      <w:pPr>
        <w:spacing w:line="276" w:lineRule="auto"/>
        <w:rPr>
          <w:rFonts w:eastAsia="Times New Roman"/>
          <w:noProof/>
          <w:color w:val="0070C0"/>
        </w:rPr>
      </w:pPr>
    </w:p>
    <w:p w14:paraId="2F5A44EE" w14:textId="77777777" w:rsidR="000F2EB1" w:rsidRDefault="000F2EB1" w:rsidP="000F2EB1">
      <w:pPr>
        <w:spacing w:line="276" w:lineRule="auto"/>
        <w:rPr>
          <w:rFonts w:eastAsia="Times New Roman"/>
          <w:noProof/>
          <w:color w:val="0070C0"/>
        </w:rPr>
      </w:pPr>
    </w:p>
    <w:p w14:paraId="3D835239" w14:textId="77777777" w:rsidR="000F2EB1" w:rsidRDefault="000F2EB1" w:rsidP="000F2EB1">
      <w:pPr>
        <w:spacing w:line="276" w:lineRule="auto"/>
        <w:rPr>
          <w:rFonts w:eastAsia="Times New Roman"/>
          <w:noProof/>
          <w:color w:val="0070C0"/>
        </w:rPr>
      </w:pPr>
    </w:p>
    <w:p w14:paraId="0B47EF57" w14:textId="77777777" w:rsidR="000F2EB1" w:rsidRDefault="000F2EB1" w:rsidP="000F2EB1">
      <w:pPr>
        <w:spacing w:line="276" w:lineRule="auto"/>
        <w:rPr>
          <w:rFonts w:eastAsia="Times New Roman"/>
          <w:noProof/>
          <w:color w:val="0070C0"/>
        </w:rPr>
      </w:pPr>
    </w:p>
    <w:p w14:paraId="0B3D6023" w14:textId="77777777" w:rsidR="000F2EB1" w:rsidRDefault="000F2EB1" w:rsidP="000F2EB1">
      <w:pPr>
        <w:spacing w:line="276" w:lineRule="auto"/>
        <w:rPr>
          <w:rFonts w:eastAsia="Times New Roman"/>
          <w:noProof/>
          <w:color w:val="0070C0"/>
        </w:rPr>
      </w:pPr>
    </w:p>
    <w:p w14:paraId="5B5C4D14" w14:textId="77777777" w:rsidR="000F2EB1" w:rsidRDefault="000F2EB1" w:rsidP="000F2EB1">
      <w:pPr>
        <w:spacing w:line="276" w:lineRule="auto"/>
        <w:rPr>
          <w:rFonts w:eastAsia="Times New Roman"/>
          <w:noProof/>
          <w:color w:val="0070C0"/>
        </w:rPr>
      </w:pPr>
    </w:p>
    <w:p w14:paraId="1ED59669" w14:textId="77777777" w:rsidR="000F2EB1" w:rsidRDefault="000F2EB1" w:rsidP="000F2EB1">
      <w:pPr>
        <w:spacing w:line="276" w:lineRule="auto"/>
        <w:rPr>
          <w:rFonts w:eastAsia="Times New Roman"/>
          <w:noProof/>
          <w:color w:val="0070C0"/>
        </w:rPr>
      </w:pPr>
    </w:p>
    <w:p w14:paraId="010F88A3" w14:textId="77777777" w:rsidR="000F2EB1" w:rsidRDefault="000F2EB1" w:rsidP="000F2EB1">
      <w:pPr>
        <w:spacing w:line="276" w:lineRule="auto"/>
        <w:rPr>
          <w:rFonts w:eastAsia="Times New Roman"/>
          <w:noProof/>
          <w:color w:val="0070C0"/>
        </w:rPr>
      </w:pPr>
    </w:p>
    <w:p w14:paraId="40B8830E" w14:textId="77777777" w:rsidR="000F2EB1" w:rsidRDefault="000F2EB1" w:rsidP="000F2EB1">
      <w:pPr>
        <w:spacing w:line="276" w:lineRule="auto"/>
        <w:rPr>
          <w:rFonts w:eastAsia="Times New Roman"/>
          <w:noProof/>
          <w:color w:val="0070C0"/>
        </w:rPr>
      </w:pPr>
    </w:p>
    <w:p w14:paraId="095E51A8" w14:textId="6C76ADE8" w:rsidR="000F2EB1" w:rsidRPr="000F2EB1" w:rsidRDefault="000F2EB1" w:rsidP="000F2EB1">
      <w:pPr>
        <w:spacing w:line="276" w:lineRule="auto"/>
        <w:rPr>
          <w:rFonts w:eastAsia="Times New Roman"/>
          <w:noProof/>
        </w:rPr>
      </w:pPr>
      <w:r w:rsidRPr="000F2EB1">
        <w:rPr>
          <w:rFonts w:eastAsia="Times New Roman"/>
          <w:b/>
          <w:bCs/>
          <w:noProof/>
        </w:rPr>
        <w:t>Figure S</w:t>
      </w:r>
      <w:r w:rsidRPr="000F2EB1">
        <w:rPr>
          <w:rFonts w:eastAsia="Times New Roman"/>
          <w:b/>
          <w:bCs/>
          <w:noProof/>
        </w:rPr>
        <w:t>5</w:t>
      </w:r>
      <w:r w:rsidRPr="000F2EB1">
        <w:rPr>
          <w:rFonts w:eastAsia="Times New Roman"/>
          <w:noProof/>
        </w:rPr>
        <w:t>. Additional information on number/duration of MDD episodes and age of first/most recent onset in GS-Imaging.</w:t>
      </w:r>
    </w:p>
    <w:p w14:paraId="76DC7811" w14:textId="6AFF7E6D" w:rsidR="00BE2BE5" w:rsidRPr="00D85F66" w:rsidRDefault="00BE2BE5" w:rsidP="00BE2BE5">
      <w:pPr>
        <w:spacing w:line="276" w:lineRule="auto"/>
        <w:rPr>
          <w:b/>
          <w:bCs/>
          <w:lang w:val="en-GB"/>
        </w:rPr>
      </w:pPr>
      <w:r>
        <w:rPr>
          <w:rFonts w:cstheme="minorHAnsi"/>
        </w:rPr>
        <w:br w:type="page"/>
      </w:r>
    </w:p>
    <w:p w14:paraId="02F728A7" w14:textId="77777777" w:rsidR="00BE2BE5" w:rsidRPr="0025377F" w:rsidRDefault="00BE2BE5" w:rsidP="00BE2BE5">
      <w:pPr>
        <w:spacing w:line="276" w:lineRule="auto"/>
        <w:rPr>
          <w:b/>
          <w:bCs/>
          <w:lang w:val="en-GB"/>
        </w:rPr>
      </w:pPr>
      <w:r w:rsidRPr="0025377F">
        <w:rPr>
          <w:b/>
          <w:bCs/>
          <w:lang w:val="en-GB"/>
        </w:rPr>
        <w:lastRenderedPageBreak/>
        <w:t>Supplementary</w:t>
      </w:r>
      <w:r>
        <w:rPr>
          <w:b/>
          <w:bCs/>
          <w:lang w:val="en-GB"/>
        </w:rPr>
        <w:t xml:space="preserve"> figures for</w:t>
      </w:r>
      <w:r w:rsidRPr="0025377F">
        <w:rPr>
          <w:b/>
          <w:bCs/>
          <w:lang w:val="en-GB"/>
        </w:rPr>
        <w:t xml:space="preserve"> ABCD </w:t>
      </w:r>
    </w:p>
    <w:p w14:paraId="5EDF4789" w14:textId="140FEAC2" w:rsidR="00BE2BE5" w:rsidRDefault="003E1F68" w:rsidP="00BE2BE5">
      <w:pPr>
        <w:spacing w:line="276" w:lineRule="auto"/>
        <w:rPr>
          <w:b/>
          <w:bCs/>
          <w:lang w:val="en-GB"/>
        </w:rPr>
      </w:pPr>
      <w:r>
        <w:rPr>
          <w:noProof/>
        </w:rPr>
        <w:drawing>
          <wp:anchor distT="0" distB="0" distL="114300" distR="114300" simplePos="0" relativeHeight="251663360" behindDoc="0" locked="0" layoutInCell="1" allowOverlap="1" wp14:anchorId="2356D72C" wp14:editId="67882926">
            <wp:simplePos x="0" y="0"/>
            <wp:positionH relativeFrom="column">
              <wp:posOffset>1159510</wp:posOffset>
            </wp:positionH>
            <wp:positionV relativeFrom="paragraph">
              <wp:posOffset>192616</wp:posOffset>
            </wp:positionV>
            <wp:extent cx="2878455" cy="5401945"/>
            <wp:effectExtent l="0" t="0" r="0"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78455" cy="5401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C84DCE" w14:textId="0C683041" w:rsidR="00BE2BE5" w:rsidRDefault="00BE2BE5" w:rsidP="00BE2BE5">
      <w:pPr>
        <w:spacing w:line="276" w:lineRule="auto"/>
        <w:rPr>
          <w:b/>
          <w:bCs/>
          <w:lang w:val="en-GB"/>
        </w:rPr>
      </w:pPr>
    </w:p>
    <w:p w14:paraId="3D5DAC0E" w14:textId="77777777" w:rsidR="00BE2BE5" w:rsidRPr="003272B7" w:rsidRDefault="00BE2BE5" w:rsidP="00BE2BE5">
      <w:pPr>
        <w:spacing w:line="276" w:lineRule="auto"/>
        <w:rPr>
          <w:b/>
          <w:bCs/>
          <w:lang w:val="en-GB"/>
        </w:rPr>
      </w:pPr>
    </w:p>
    <w:p w14:paraId="4D9E7538" w14:textId="77777777" w:rsidR="00BE2BE5" w:rsidRDefault="00BE2BE5" w:rsidP="00BE2BE5">
      <w:pPr>
        <w:spacing w:line="276" w:lineRule="auto"/>
        <w:rPr>
          <w:b/>
          <w:bCs/>
        </w:rPr>
      </w:pPr>
    </w:p>
    <w:p w14:paraId="5303C0E8" w14:textId="77777777" w:rsidR="00BE2BE5" w:rsidRDefault="00BE2BE5" w:rsidP="00BE2BE5">
      <w:pPr>
        <w:spacing w:line="276" w:lineRule="auto"/>
        <w:rPr>
          <w:b/>
          <w:bCs/>
          <w:lang w:val="en-GB"/>
        </w:rPr>
      </w:pPr>
    </w:p>
    <w:p w14:paraId="520C5CC5" w14:textId="77777777" w:rsidR="00BE2BE5" w:rsidRDefault="00BE2BE5" w:rsidP="00BE2BE5">
      <w:pPr>
        <w:spacing w:line="276" w:lineRule="auto"/>
        <w:rPr>
          <w:b/>
          <w:bCs/>
          <w:lang w:val="en-GB"/>
        </w:rPr>
      </w:pPr>
    </w:p>
    <w:p w14:paraId="3F4FDF43" w14:textId="77777777" w:rsidR="00BE2BE5" w:rsidRDefault="00BE2BE5" w:rsidP="00BE2BE5">
      <w:pPr>
        <w:spacing w:line="276" w:lineRule="auto"/>
        <w:rPr>
          <w:b/>
          <w:bCs/>
          <w:lang w:val="en-GB"/>
        </w:rPr>
      </w:pPr>
    </w:p>
    <w:p w14:paraId="7634E42E" w14:textId="77777777" w:rsidR="00BE2BE5" w:rsidRDefault="00BE2BE5" w:rsidP="00BE2BE5">
      <w:pPr>
        <w:spacing w:line="276" w:lineRule="auto"/>
        <w:rPr>
          <w:b/>
          <w:bCs/>
          <w:lang w:val="en-GB"/>
        </w:rPr>
      </w:pPr>
    </w:p>
    <w:p w14:paraId="6622A68E" w14:textId="77777777" w:rsidR="00BE2BE5" w:rsidRDefault="00BE2BE5" w:rsidP="00BE2BE5">
      <w:pPr>
        <w:spacing w:line="276" w:lineRule="auto"/>
        <w:rPr>
          <w:b/>
          <w:bCs/>
          <w:lang w:val="en-GB"/>
        </w:rPr>
      </w:pPr>
    </w:p>
    <w:p w14:paraId="5A5C7A83" w14:textId="77777777" w:rsidR="00BE2BE5" w:rsidRDefault="00BE2BE5" w:rsidP="00BE2BE5">
      <w:pPr>
        <w:spacing w:line="276" w:lineRule="auto"/>
        <w:rPr>
          <w:b/>
          <w:bCs/>
          <w:lang w:val="en-GB"/>
        </w:rPr>
      </w:pPr>
    </w:p>
    <w:p w14:paraId="28D4E722" w14:textId="77777777" w:rsidR="00BE2BE5" w:rsidRDefault="00BE2BE5" w:rsidP="00BE2BE5">
      <w:pPr>
        <w:spacing w:line="276" w:lineRule="auto"/>
        <w:rPr>
          <w:b/>
          <w:bCs/>
          <w:lang w:val="en-GB"/>
        </w:rPr>
      </w:pPr>
    </w:p>
    <w:p w14:paraId="0AB3BA47" w14:textId="77777777" w:rsidR="00BE2BE5" w:rsidRDefault="00BE2BE5" w:rsidP="00BE2BE5">
      <w:pPr>
        <w:spacing w:line="276" w:lineRule="auto"/>
        <w:rPr>
          <w:b/>
          <w:bCs/>
          <w:lang w:val="en-GB"/>
        </w:rPr>
      </w:pPr>
    </w:p>
    <w:p w14:paraId="2BFDEEBD" w14:textId="77777777" w:rsidR="00BE2BE5" w:rsidRDefault="00BE2BE5" w:rsidP="00BE2BE5">
      <w:pPr>
        <w:spacing w:line="276" w:lineRule="auto"/>
        <w:rPr>
          <w:b/>
          <w:bCs/>
          <w:lang w:val="en-GB"/>
        </w:rPr>
      </w:pPr>
    </w:p>
    <w:p w14:paraId="47BCA44C" w14:textId="77777777" w:rsidR="00BE2BE5" w:rsidRDefault="00BE2BE5" w:rsidP="00BE2BE5">
      <w:pPr>
        <w:spacing w:line="276" w:lineRule="auto"/>
        <w:rPr>
          <w:b/>
          <w:bCs/>
          <w:lang w:val="en-GB"/>
        </w:rPr>
      </w:pPr>
    </w:p>
    <w:p w14:paraId="2AF7D712" w14:textId="77777777" w:rsidR="00BE2BE5" w:rsidRDefault="00BE2BE5" w:rsidP="00BE2BE5">
      <w:pPr>
        <w:spacing w:line="276" w:lineRule="auto"/>
        <w:rPr>
          <w:b/>
          <w:bCs/>
          <w:lang w:val="en-GB"/>
        </w:rPr>
      </w:pPr>
    </w:p>
    <w:p w14:paraId="010290C1" w14:textId="77777777" w:rsidR="00BE2BE5" w:rsidRDefault="00BE2BE5" w:rsidP="00BE2BE5">
      <w:pPr>
        <w:spacing w:line="276" w:lineRule="auto"/>
        <w:rPr>
          <w:b/>
          <w:bCs/>
          <w:lang w:val="en-GB"/>
        </w:rPr>
      </w:pPr>
    </w:p>
    <w:p w14:paraId="5A77ECF7" w14:textId="77777777" w:rsidR="00BE2BE5" w:rsidRDefault="00BE2BE5" w:rsidP="00BE2BE5">
      <w:pPr>
        <w:spacing w:line="276" w:lineRule="auto"/>
        <w:rPr>
          <w:b/>
          <w:bCs/>
          <w:lang w:val="en-GB"/>
        </w:rPr>
      </w:pPr>
    </w:p>
    <w:p w14:paraId="45CAAA0E" w14:textId="77777777" w:rsidR="00BE2BE5" w:rsidRDefault="00BE2BE5" w:rsidP="00BE2BE5">
      <w:pPr>
        <w:spacing w:line="276" w:lineRule="auto"/>
        <w:rPr>
          <w:b/>
          <w:bCs/>
          <w:lang w:val="en-GB"/>
        </w:rPr>
      </w:pPr>
    </w:p>
    <w:p w14:paraId="0AEAB6BA" w14:textId="77777777" w:rsidR="00BE2BE5" w:rsidRDefault="00BE2BE5" w:rsidP="00BE2BE5">
      <w:pPr>
        <w:spacing w:line="276" w:lineRule="auto"/>
        <w:rPr>
          <w:b/>
          <w:bCs/>
          <w:lang w:val="en-GB"/>
        </w:rPr>
      </w:pPr>
    </w:p>
    <w:p w14:paraId="6970B6AA" w14:textId="77777777" w:rsidR="00BE2BE5" w:rsidRDefault="00BE2BE5" w:rsidP="00BE2BE5">
      <w:pPr>
        <w:spacing w:line="276" w:lineRule="auto"/>
        <w:rPr>
          <w:b/>
          <w:bCs/>
          <w:lang w:val="en-GB"/>
        </w:rPr>
      </w:pPr>
    </w:p>
    <w:p w14:paraId="241C8155" w14:textId="77777777" w:rsidR="00BE2BE5" w:rsidRDefault="00BE2BE5" w:rsidP="00BE2BE5">
      <w:pPr>
        <w:spacing w:line="276" w:lineRule="auto"/>
        <w:rPr>
          <w:b/>
          <w:bCs/>
          <w:lang w:val="en-GB"/>
        </w:rPr>
      </w:pPr>
    </w:p>
    <w:p w14:paraId="749A7118" w14:textId="77777777" w:rsidR="00BE2BE5" w:rsidRDefault="00BE2BE5" w:rsidP="00BE2BE5">
      <w:pPr>
        <w:spacing w:line="276" w:lineRule="auto"/>
        <w:rPr>
          <w:b/>
          <w:bCs/>
          <w:lang w:val="en-GB"/>
        </w:rPr>
      </w:pPr>
    </w:p>
    <w:p w14:paraId="63F1900A" w14:textId="77777777" w:rsidR="00BE2BE5" w:rsidRDefault="00BE2BE5" w:rsidP="00BE2BE5">
      <w:pPr>
        <w:spacing w:line="276" w:lineRule="auto"/>
        <w:rPr>
          <w:b/>
          <w:bCs/>
          <w:lang w:val="en-GB"/>
        </w:rPr>
      </w:pPr>
    </w:p>
    <w:p w14:paraId="452FC63F" w14:textId="77777777" w:rsidR="00BE2BE5" w:rsidRDefault="00BE2BE5" w:rsidP="00BE2BE5">
      <w:pPr>
        <w:spacing w:line="276" w:lineRule="auto"/>
        <w:rPr>
          <w:b/>
          <w:bCs/>
          <w:lang w:val="en-GB"/>
        </w:rPr>
      </w:pPr>
    </w:p>
    <w:p w14:paraId="54D526F7" w14:textId="77777777" w:rsidR="00BE2BE5" w:rsidRDefault="00BE2BE5" w:rsidP="00BE2BE5">
      <w:pPr>
        <w:spacing w:line="276" w:lineRule="auto"/>
        <w:rPr>
          <w:b/>
          <w:bCs/>
          <w:lang w:val="en-GB"/>
        </w:rPr>
      </w:pPr>
    </w:p>
    <w:p w14:paraId="1D3ED736" w14:textId="77777777" w:rsidR="003E1F68" w:rsidRDefault="003E1F68" w:rsidP="00BE2BE5">
      <w:pPr>
        <w:spacing w:line="276" w:lineRule="auto"/>
        <w:rPr>
          <w:b/>
          <w:bCs/>
          <w:lang w:val="en-GB"/>
        </w:rPr>
      </w:pPr>
    </w:p>
    <w:p w14:paraId="4ED455BB" w14:textId="77777777" w:rsidR="003E1F68" w:rsidRDefault="003E1F68" w:rsidP="00BE2BE5">
      <w:pPr>
        <w:spacing w:line="276" w:lineRule="auto"/>
        <w:rPr>
          <w:b/>
          <w:bCs/>
          <w:lang w:val="en-GB"/>
        </w:rPr>
      </w:pPr>
    </w:p>
    <w:p w14:paraId="1DBA706A" w14:textId="77777777" w:rsidR="003E1F68" w:rsidRDefault="003E1F68" w:rsidP="00BE2BE5">
      <w:pPr>
        <w:spacing w:line="276" w:lineRule="auto"/>
        <w:rPr>
          <w:b/>
          <w:bCs/>
          <w:lang w:val="en-GB"/>
        </w:rPr>
      </w:pPr>
    </w:p>
    <w:p w14:paraId="3EF2A426" w14:textId="77777777" w:rsidR="003E1F68" w:rsidRDefault="003E1F68" w:rsidP="00BE2BE5">
      <w:pPr>
        <w:spacing w:line="276" w:lineRule="auto"/>
        <w:rPr>
          <w:b/>
          <w:bCs/>
          <w:lang w:val="en-GB"/>
        </w:rPr>
      </w:pPr>
    </w:p>
    <w:p w14:paraId="1044C7E5" w14:textId="352571FB" w:rsidR="00BE2BE5" w:rsidRDefault="00BE2BE5" w:rsidP="00BE2BE5">
      <w:pPr>
        <w:spacing w:line="276" w:lineRule="auto"/>
        <w:rPr>
          <w:rFonts w:cstheme="minorHAnsi"/>
        </w:rPr>
      </w:pPr>
      <w:r w:rsidRPr="00CF5E16">
        <w:rPr>
          <w:b/>
          <w:bCs/>
          <w:lang w:val="en-GB"/>
        </w:rPr>
        <w:t xml:space="preserve">Figure </w:t>
      </w:r>
      <w:r>
        <w:rPr>
          <w:b/>
          <w:bCs/>
          <w:lang w:val="en-GB"/>
        </w:rPr>
        <w:t>S</w:t>
      </w:r>
      <w:r w:rsidR="00FB6104">
        <w:rPr>
          <w:b/>
          <w:bCs/>
          <w:lang w:val="en-GB"/>
        </w:rPr>
        <w:t>6</w:t>
      </w:r>
      <w:r w:rsidRPr="00CF5E16">
        <w:rPr>
          <w:b/>
          <w:bCs/>
          <w:lang w:val="en-GB"/>
        </w:rPr>
        <w:t xml:space="preserve">. </w:t>
      </w:r>
      <w:r>
        <w:rPr>
          <w:rFonts w:cstheme="minorHAnsi"/>
        </w:rPr>
        <w:t xml:space="preserve">Association between </w:t>
      </w:r>
      <w:r w:rsidR="002E1C1C">
        <w:rPr>
          <w:rFonts w:cstheme="minorHAnsi"/>
        </w:rPr>
        <w:t>MDD-</w:t>
      </w:r>
      <w:r>
        <w:rPr>
          <w:rFonts w:cstheme="minorHAnsi"/>
        </w:rPr>
        <w:t xml:space="preserve">RVIs/ MDD-PRS with CBCL-DSM-Depressed at baseline and two-year follow-up. The x-axis represents the standardised effect sizes and the y-axis represent the different RVI types and the MDD-PRS calculated at the different p-value thresholds. </w:t>
      </w:r>
    </w:p>
    <w:p w14:paraId="39B560D4" w14:textId="77777777" w:rsidR="00BE2BE5" w:rsidRDefault="00BE2BE5" w:rsidP="00BE2BE5">
      <w:pPr>
        <w:rPr>
          <w:rFonts w:cstheme="minorHAnsi"/>
        </w:rPr>
      </w:pPr>
      <w:r>
        <w:rPr>
          <w:rFonts w:cstheme="minorHAnsi"/>
        </w:rPr>
        <w:br w:type="page"/>
      </w:r>
    </w:p>
    <w:p w14:paraId="7E50672D" w14:textId="77777777" w:rsidR="00BE2BE5" w:rsidRPr="009D72E1" w:rsidRDefault="00BE2BE5" w:rsidP="00BE2BE5">
      <w:pPr>
        <w:spacing w:line="276" w:lineRule="auto"/>
        <w:rPr>
          <w:rFonts w:cstheme="minorHAnsi"/>
          <w:b/>
          <w:bCs/>
          <w:sz w:val="28"/>
          <w:szCs w:val="28"/>
        </w:rPr>
      </w:pPr>
      <w:r w:rsidRPr="009D72E1">
        <w:rPr>
          <w:rFonts w:cstheme="minorHAnsi"/>
          <w:b/>
          <w:bCs/>
          <w:sz w:val="28"/>
          <w:szCs w:val="28"/>
        </w:rPr>
        <w:lastRenderedPageBreak/>
        <w:t xml:space="preserve">Supplementary </w:t>
      </w:r>
      <w:r>
        <w:rPr>
          <w:rFonts w:cstheme="minorHAnsi"/>
          <w:b/>
          <w:bCs/>
          <w:sz w:val="28"/>
          <w:szCs w:val="28"/>
        </w:rPr>
        <w:t>Tables</w:t>
      </w:r>
    </w:p>
    <w:p w14:paraId="6D931218" w14:textId="77777777" w:rsidR="00BE2BE5" w:rsidRDefault="00BE2BE5" w:rsidP="00BE2BE5">
      <w:pPr>
        <w:spacing w:line="276" w:lineRule="auto"/>
        <w:rPr>
          <w:b/>
          <w:bCs/>
        </w:rPr>
      </w:pPr>
    </w:p>
    <w:p w14:paraId="3E2A2086" w14:textId="77777777" w:rsidR="00BE2BE5" w:rsidRDefault="00BE2BE5" w:rsidP="00BE2BE5">
      <w:pPr>
        <w:spacing w:line="276" w:lineRule="auto"/>
        <w:rPr>
          <w:b/>
          <w:bCs/>
        </w:rPr>
      </w:pPr>
      <w:r w:rsidRPr="00756862">
        <w:rPr>
          <w:b/>
          <w:bCs/>
        </w:rPr>
        <w:t>ENIGMA data tables</w:t>
      </w:r>
    </w:p>
    <w:p w14:paraId="712E8D9E" w14:textId="77777777" w:rsidR="00BE2BE5" w:rsidRDefault="00BE2BE5" w:rsidP="00BE2BE5">
      <w:pPr>
        <w:spacing w:line="276" w:lineRule="auto"/>
        <w:rPr>
          <w:b/>
          <w:bCs/>
        </w:rPr>
      </w:pPr>
    </w:p>
    <w:p w14:paraId="21FBD78B" w14:textId="006DA04E" w:rsidR="00BE2BE5" w:rsidRDefault="00BE2BE5" w:rsidP="00BE2BE5">
      <w:r w:rsidRPr="00B07E16">
        <w:rPr>
          <w:b/>
          <w:bCs/>
        </w:rPr>
        <w:t xml:space="preserve">Table </w:t>
      </w:r>
      <w:r>
        <w:rPr>
          <w:b/>
          <w:bCs/>
        </w:rPr>
        <w:t>S</w:t>
      </w:r>
      <w:r w:rsidRPr="00B07E16">
        <w:rPr>
          <w:b/>
          <w:bCs/>
        </w:rPr>
        <w:t>1</w:t>
      </w:r>
      <w:r w:rsidRPr="00B07E16">
        <w:t xml:space="preserve">. </w:t>
      </w:r>
      <w:r>
        <w:t>MDD case-control e</w:t>
      </w:r>
      <w:r w:rsidRPr="00475E82">
        <w:t xml:space="preserve">ffect sizes for subcortical volume obtained from Table 1 in </w:t>
      </w:r>
      <w:proofErr w:type="spellStart"/>
      <w:r w:rsidRPr="00475E82">
        <w:t>Schmaal</w:t>
      </w:r>
      <w:proofErr w:type="spellEnd"/>
      <w:r w:rsidRPr="00475E82">
        <w:t xml:space="preserve"> et al</w:t>
      </w:r>
      <w:r>
        <w:t xml:space="preserve"> </w:t>
      </w:r>
      <w:r w:rsidR="00946200">
        <w:t>[10]</w:t>
      </w:r>
      <w:r>
        <w:t>.</w:t>
      </w:r>
      <w:r w:rsidRPr="00691618">
        <w:rPr>
          <w:b/>
          <w:bCs/>
        </w:rPr>
        <w:t xml:space="preserve"> </w:t>
      </w:r>
      <w:r w:rsidRPr="00691618">
        <w:t>Covariates included age, sex, site and ICV.</w:t>
      </w:r>
    </w:p>
    <w:p w14:paraId="5588ADC3" w14:textId="77777777" w:rsidR="00BE2BE5" w:rsidRPr="00D45F53" w:rsidRDefault="00BE2BE5" w:rsidP="00BE2BE5">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423"/>
      </w:tblGrid>
      <w:tr w:rsidR="00BE2BE5" w:rsidRPr="00B45FC2" w14:paraId="1B530FBD" w14:textId="77777777" w:rsidTr="00083E4D">
        <w:trPr>
          <w:trHeight w:val="288"/>
        </w:trPr>
        <w:tc>
          <w:tcPr>
            <w:tcW w:w="3397" w:type="dxa"/>
            <w:noWrap/>
            <w:hideMark/>
          </w:tcPr>
          <w:p w14:paraId="777EE981" w14:textId="77777777" w:rsidR="00BE2BE5" w:rsidRPr="00B45FC2" w:rsidRDefault="00BE2BE5" w:rsidP="00083E4D">
            <w:pPr>
              <w:rPr>
                <w:b/>
                <w:bCs/>
              </w:rPr>
            </w:pPr>
            <w:r w:rsidRPr="00B45FC2">
              <w:rPr>
                <w:b/>
                <w:bCs/>
              </w:rPr>
              <w:t>Region</w:t>
            </w:r>
          </w:p>
        </w:tc>
        <w:tc>
          <w:tcPr>
            <w:tcW w:w="1423" w:type="dxa"/>
            <w:noWrap/>
            <w:hideMark/>
          </w:tcPr>
          <w:p w14:paraId="5AD0E7A2" w14:textId="77777777" w:rsidR="00BE2BE5" w:rsidRPr="00B45FC2" w:rsidRDefault="00BE2BE5" w:rsidP="00083E4D">
            <w:pPr>
              <w:rPr>
                <w:b/>
                <w:bCs/>
              </w:rPr>
            </w:pPr>
            <w:r w:rsidRPr="00B45FC2">
              <w:rPr>
                <w:b/>
                <w:bCs/>
              </w:rPr>
              <w:t>Cohen's d</w:t>
            </w:r>
          </w:p>
        </w:tc>
      </w:tr>
      <w:tr w:rsidR="00BE2BE5" w:rsidRPr="00B45FC2" w14:paraId="60EAA901" w14:textId="77777777" w:rsidTr="00083E4D">
        <w:trPr>
          <w:trHeight w:val="288"/>
        </w:trPr>
        <w:tc>
          <w:tcPr>
            <w:tcW w:w="3397" w:type="dxa"/>
            <w:noWrap/>
            <w:hideMark/>
          </w:tcPr>
          <w:p w14:paraId="5C8F8FFD" w14:textId="77777777" w:rsidR="00BE2BE5" w:rsidRPr="00B45FC2" w:rsidRDefault="00BE2BE5" w:rsidP="00083E4D">
            <w:proofErr w:type="spellStart"/>
            <w:r w:rsidRPr="00B45FC2">
              <w:t>Accumbens</w:t>
            </w:r>
            <w:proofErr w:type="spellEnd"/>
          </w:p>
        </w:tc>
        <w:tc>
          <w:tcPr>
            <w:tcW w:w="1423" w:type="dxa"/>
            <w:noWrap/>
            <w:hideMark/>
          </w:tcPr>
          <w:p w14:paraId="0A93BDF2" w14:textId="77777777" w:rsidR="00BE2BE5" w:rsidRPr="00B45FC2" w:rsidRDefault="00BE2BE5" w:rsidP="00083E4D">
            <w:r w:rsidRPr="00B45FC2">
              <w:t>-0.</w:t>
            </w:r>
            <w:r>
              <w:t>019</w:t>
            </w:r>
          </w:p>
        </w:tc>
      </w:tr>
      <w:tr w:rsidR="00BE2BE5" w:rsidRPr="00B45FC2" w14:paraId="65C484DF" w14:textId="77777777" w:rsidTr="00083E4D">
        <w:trPr>
          <w:trHeight w:val="288"/>
        </w:trPr>
        <w:tc>
          <w:tcPr>
            <w:tcW w:w="3397" w:type="dxa"/>
            <w:noWrap/>
            <w:hideMark/>
          </w:tcPr>
          <w:p w14:paraId="25627F21" w14:textId="77777777" w:rsidR="00BE2BE5" w:rsidRPr="00B45FC2" w:rsidRDefault="00BE2BE5" w:rsidP="00083E4D">
            <w:r w:rsidRPr="00B45FC2">
              <w:t>Amygdala</w:t>
            </w:r>
          </w:p>
        </w:tc>
        <w:tc>
          <w:tcPr>
            <w:tcW w:w="1423" w:type="dxa"/>
            <w:noWrap/>
            <w:hideMark/>
          </w:tcPr>
          <w:p w14:paraId="4EB3E0D1" w14:textId="77777777" w:rsidR="00BE2BE5" w:rsidRPr="00B45FC2" w:rsidRDefault="00BE2BE5" w:rsidP="00083E4D">
            <w:r w:rsidRPr="00B45FC2">
              <w:t>-0.0</w:t>
            </w:r>
            <w:r>
              <w:t>60</w:t>
            </w:r>
          </w:p>
        </w:tc>
      </w:tr>
      <w:tr w:rsidR="00BE2BE5" w:rsidRPr="00B45FC2" w14:paraId="135443C7" w14:textId="77777777" w:rsidTr="00083E4D">
        <w:trPr>
          <w:trHeight w:val="288"/>
        </w:trPr>
        <w:tc>
          <w:tcPr>
            <w:tcW w:w="3397" w:type="dxa"/>
            <w:noWrap/>
            <w:hideMark/>
          </w:tcPr>
          <w:p w14:paraId="3F2A3BC6" w14:textId="77777777" w:rsidR="00BE2BE5" w:rsidRPr="00B45FC2" w:rsidRDefault="00BE2BE5" w:rsidP="00083E4D">
            <w:r w:rsidRPr="00B45FC2">
              <w:t>Caudate</w:t>
            </w:r>
          </w:p>
        </w:tc>
        <w:tc>
          <w:tcPr>
            <w:tcW w:w="1423" w:type="dxa"/>
            <w:noWrap/>
            <w:hideMark/>
          </w:tcPr>
          <w:p w14:paraId="5243EFD3" w14:textId="77777777" w:rsidR="00BE2BE5" w:rsidRPr="00B45FC2" w:rsidRDefault="00BE2BE5" w:rsidP="00083E4D">
            <w:r w:rsidRPr="00B45FC2">
              <w:t>-0.0</w:t>
            </w:r>
            <w:r>
              <w:t>23</w:t>
            </w:r>
          </w:p>
        </w:tc>
      </w:tr>
      <w:tr w:rsidR="00BE2BE5" w:rsidRPr="00B45FC2" w14:paraId="5EF2E02D" w14:textId="77777777" w:rsidTr="00083E4D">
        <w:trPr>
          <w:trHeight w:val="288"/>
        </w:trPr>
        <w:tc>
          <w:tcPr>
            <w:tcW w:w="3397" w:type="dxa"/>
            <w:noWrap/>
            <w:hideMark/>
          </w:tcPr>
          <w:p w14:paraId="22B8DFC5" w14:textId="77777777" w:rsidR="00BE2BE5" w:rsidRPr="00B45FC2" w:rsidRDefault="00BE2BE5" w:rsidP="00083E4D">
            <w:r w:rsidRPr="00B45FC2">
              <w:t>Hippocampus</w:t>
            </w:r>
          </w:p>
        </w:tc>
        <w:tc>
          <w:tcPr>
            <w:tcW w:w="1423" w:type="dxa"/>
            <w:noWrap/>
            <w:hideMark/>
          </w:tcPr>
          <w:p w14:paraId="296D3E11" w14:textId="77777777" w:rsidR="00BE2BE5" w:rsidRPr="00B45FC2" w:rsidRDefault="00BE2BE5" w:rsidP="00083E4D">
            <w:r w:rsidRPr="00B45FC2">
              <w:t>-0.1</w:t>
            </w:r>
            <w:r>
              <w:t>44</w:t>
            </w:r>
          </w:p>
        </w:tc>
      </w:tr>
      <w:tr w:rsidR="00BE2BE5" w:rsidRPr="00B45FC2" w14:paraId="278177A5" w14:textId="77777777" w:rsidTr="00083E4D">
        <w:trPr>
          <w:trHeight w:val="288"/>
        </w:trPr>
        <w:tc>
          <w:tcPr>
            <w:tcW w:w="3397" w:type="dxa"/>
            <w:noWrap/>
            <w:hideMark/>
          </w:tcPr>
          <w:p w14:paraId="268EFB8F" w14:textId="77777777" w:rsidR="00BE2BE5" w:rsidRPr="00B45FC2" w:rsidRDefault="00BE2BE5" w:rsidP="00083E4D">
            <w:r w:rsidRPr="00B45FC2">
              <w:t>Pallidum</w:t>
            </w:r>
          </w:p>
        </w:tc>
        <w:tc>
          <w:tcPr>
            <w:tcW w:w="1423" w:type="dxa"/>
            <w:noWrap/>
            <w:hideMark/>
          </w:tcPr>
          <w:p w14:paraId="5655754A" w14:textId="77777777" w:rsidR="00BE2BE5" w:rsidRPr="00B45FC2" w:rsidRDefault="00BE2BE5" w:rsidP="00083E4D">
            <w:r w:rsidRPr="00B45FC2">
              <w:t>-0.0</w:t>
            </w:r>
            <w:r>
              <w:t>01</w:t>
            </w:r>
          </w:p>
        </w:tc>
      </w:tr>
      <w:tr w:rsidR="00BE2BE5" w:rsidRPr="00B45FC2" w14:paraId="2894BC3C" w14:textId="77777777" w:rsidTr="00083E4D">
        <w:trPr>
          <w:trHeight w:val="288"/>
        </w:trPr>
        <w:tc>
          <w:tcPr>
            <w:tcW w:w="3397" w:type="dxa"/>
            <w:noWrap/>
            <w:hideMark/>
          </w:tcPr>
          <w:p w14:paraId="2CD7ADAA" w14:textId="77777777" w:rsidR="00BE2BE5" w:rsidRPr="00B45FC2" w:rsidRDefault="00BE2BE5" w:rsidP="00083E4D">
            <w:r w:rsidRPr="00B45FC2">
              <w:t>Putamen</w:t>
            </w:r>
          </w:p>
        </w:tc>
        <w:tc>
          <w:tcPr>
            <w:tcW w:w="1423" w:type="dxa"/>
            <w:noWrap/>
            <w:hideMark/>
          </w:tcPr>
          <w:p w14:paraId="692E197D" w14:textId="77777777" w:rsidR="00BE2BE5" w:rsidRPr="00B45FC2" w:rsidRDefault="00BE2BE5" w:rsidP="00083E4D">
            <w:r w:rsidRPr="00B45FC2">
              <w:t>0.</w:t>
            </w:r>
            <w:r>
              <w:t>012</w:t>
            </w:r>
          </w:p>
        </w:tc>
      </w:tr>
      <w:tr w:rsidR="00BE2BE5" w:rsidRPr="00B45FC2" w14:paraId="3061BF97" w14:textId="77777777" w:rsidTr="00083E4D">
        <w:trPr>
          <w:trHeight w:val="288"/>
        </w:trPr>
        <w:tc>
          <w:tcPr>
            <w:tcW w:w="3397" w:type="dxa"/>
            <w:noWrap/>
            <w:hideMark/>
          </w:tcPr>
          <w:p w14:paraId="6D060BE2" w14:textId="77777777" w:rsidR="00BE2BE5" w:rsidRPr="00B45FC2" w:rsidRDefault="00BE2BE5" w:rsidP="00083E4D">
            <w:r w:rsidRPr="00B45FC2">
              <w:t>Thalamus</w:t>
            </w:r>
          </w:p>
        </w:tc>
        <w:tc>
          <w:tcPr>
            <w:tcW w:w="1423" w:type="dxa"/>
            <w:noWrap/>
            <w:hideMark/>
          </w:tcPr>
          <w:p w14:paraId="1C02BEE3" w14:textId="77777777" w:rsidR="00BE2BE5" w:rsidRPr="00B45FC2" w:rsidRDefault="00BE2BE5" w:rsidP="00083E4D">
            <w:r>
              <w:t>-0.044</w:t>
            </w:r>
          </w:p>
        </w:tc>
      </w:tr>
    </w:tbl>
    <w:p w14:paraId="30FFD561" w14:textId="77777777" w:rsidR="00BE2BE5" w:rsidRDefault="00BE2BE5" w:rsidP="00BE2BE5">
      <w:pPr>
        <w:spacing w:line="276" w:lineRule="auto"/>
        <w:rPr>
          <w:b/>
          <w:bCs/>
        </w:rPr>
      </w:pPr>
    </w:p>
    <w:p w14:paraId="61A9B5B0" w14:textId="77777777" w:rsidR="00BE2BE5" w:rsidRDefault="00BE2BE5" w:rsidP="00BE2BE5">
      <w:pPr>
        <w:spacing w:line="276" w:lineRule="auto"/>
        <w:sectPr w:rsidR="00BE2BE5" w:rsidSect="0060375E">
          <w:pgSz w:w="11906" w:h="16838"/>
          <w:pgMar w:top="1440" w:right="1440" w:bottom="1440" w:left="1440" w:header="708" w:footer="708" w:gutter="0"/>
          <w:cols w:space="708"/>
          <w:docGrid w:linePitch="360"/>
        </w:sectPr>
      </w:pPr>
    </w:p>
    <w:p w14:paraId="46AC1DC5" w14:textId="3D9113C2" w:rsidR="00BE2BE5" w:rsidRDefault="00BE2BE5" w:rsidP="00BE2BE5">
      <w:r w:rsidRPr="00B07E16">
        <w:rPr>
          <w:b/>
          <w:bCs/>
        </w:rPr>
        <w:t xml:space="preserve">Table </w:t>
      </w:r>
      <w:r>
        <w:rPr>
          <w:b/>
          <w:bCs/>
        </w:rPr>
        <w:t>S</w:t>
      </w:r>
      <w:r w:rsidRPr="00DE30CD">
        <w:rPr>
          <w:b/>
          <w:bCs/>
        </w:rPr>
        <w:t xml:space="preserve">2. </w:t>
      </w:r>
      <w:r>
        <w:t>MDD case-control e</w:t>
      </w:r>
      <w:r w:rsidRPr="00475E82">
        <w:t xml:space="preserve">ffect sizes </w:t>
      </w:r>
      <w:r w:rsidRPr="00EA54CB">
        <w:t xml:space="preserve">for cortical surface area and thickness obtained from Table S19 and Table 1 in </w:t>
      </w:r>
      <w:proofErr w:type="spellStart"/>
      <w:r w:rsidRPr="00EA54CB">
        <w:t>Schmaal</w:t>
      </w:r>
      <w:proofErr w:type="spellEnd"/>
      <w:r w:rsidRPr="00EA54CB">
        <w:t xml:space="preserve"> et al</w:t>
      </w:r>
      <w:r>
        <w:t xml:space="preserve"> </w:t>
      </w:r>
      <w:r w:rsidR="00946200">
        <w:t>[11]</w:t>
      </w:r>
      <w:r>
        <w:t>,</w:t>
      </w:r>
      <w:r w:rsidRPr="00EA54CB">
        <w:t xml:space="preserve"> respectively.</w:t>
      </w:r>
      <w:r>
        <w:t xml:space="preserve"> </w:t>
      </w:r>
      <w:r w:rsidRPr="00D45F53">
        <w:t xml:space="preserve">Covariates included </w:t>
      </w:r>
      <w:r>
        <w:t xml:space="preserve">age, </w:t>
      </w:r>
      <w:proofErr w:type="gramStart"/>
      <w:r>
        <w:t>sex</w:t>
      </w:r>
      <w:proofErr w:type="gramEnd"/>
      <w:r>
        <w:t xml:space="preserve"> and site. The left and right hemispheres were averaged to calculate cortical-based RVIs in the current analysis.</w:t>
      </w:r>
    </w:p>
    <w:p w14:paraId="53FED992" w14:textId="77777777" w:rsidR="00BE2BE5" w:rsidRDefault="00BE2BE5" w:rsidP="00BE2BE5">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843"/>
        <w:gridCol w:w="1984"/>
      </w:tblGrid>
      <w:tr w:rsidR="00BE2BE5" w:rsidRPr="00AF11B3" w14:paraId="6BD3F785" w14:textId="77777777" w:rsidTr="00083E4D">
        <w:trPr>
          <w:trHeight w:val="288"/>
        </w:trPr>
        <w:tc>
          <w:tcPr>
            <w:tcW w:w="3681" w:type="dxa"/>
            <w:noWrap/>
            <w:hideMark/>
          </w:tcPr>
          <w:p w14:paraId="72ED890F" w14:textId="77777777" w:rsidR="00BE2BE5" w:rsidRPr="00AF11B3" w:rsidRDefault="00BE2BE5" w:rsidP="00083E4D">
            <w:pPr>
              <w:rPr>
                <w:b/>
                <w:bCs/>
              </w:rPr>
            </w:pPr>
            <w:r w:rsidRPr="00AF11B3">
              <w:rPr>
                <w:b/>
                <w:bCs/>
              </w:rPr>
              <w:t>Region</w:t>
            </w:r>
          </w:p>
        </w:tc>
        <w:tc>
          <w:tcPr>
            <w:tcW w:w="1843" w:type="dxa"/>
            <w:noWrap/>
            <w:hideMark/>
          </w:tcPr>
          <w:p w14:paraId="1DAFE82E" w14:textId="77777777" w:rsidR="00BE2BE5" w:rsidRDefault="00BE2BE5" w:rsidP="00083E4D">
            <w:pPr>
              <w:rPr>
                <w:b/>
                <w:bCs/>
              </w:rPr>
            </w:pPr>
            <w:r>
              <w:rPr>
                <w:b/>
                <w:bCs/>
              </w:rPr>
              <w:t xml:space="preserve">Cohen’s d – </w:t>
            </w:r>
          </w:p>
          <w:p w14:paraId="006AFD90" w14:textId="77777777" w:rsidR="00BE2BE5" w:rsidRPr="00AF11B3" w:rsidRDefault="00BE2BE5" w:rsidP="00083E4D">
            <w:pPr>
              <w:rPr>
                <w:b/>
                <w:bCs/>
              </w:rPr>
            </w:pPr>
            <w:r>
              <w:rPr>
                <w:b/>
                <w:bCs/>
              </w:rPr>
              <w:t>Cortical SA</w:t>
            </w:r>
          </w:p>
        </w:tc>
        <w:tc>
          <w:tcPr>
            <w:tcW w:w="1984" w:type="dxa"/>
          </w:tcPr>
          <w:p w14:paraId="238E306A" w14:textId="77777777" w:rsidR="00BE2BE5" w:rsidRDefault="00BE2BE5" w:rsidP="00083E4D">
            <w:pPr>
              <w:rPr>
                <w:b/>
                <w:bCs/>
              </w:rPr>
            </w:pPr>
            <w:r>
              <w:rPr>
                <w:b/>
                <w:bCs/>
              </w:rPr>
              <w:t xml:space="preserve">Cohen’s d – </w:t>
            </w:r>
          </w:p>
          <w:p w14:paraId="20E427B4" w14:textId="77777777" w:rsidR="00BE2BE5" w:rsidRPr="00AF11B3" w:rsidRDefault="00BE2BE5" w:rsidP="00083E4D">
            <w:pPr>
              <w:rPr>
                <w:b/>
                <w:bCs/>
              </w:rPr>
            </w:pPr>
            <w:r>
              <w:rPr>
                <w:b/>
                <w:bCs/>
              </w:rPr>
              <w:t>Cortical Thickness</w:t>
            </w:r>
          </w:p>
        </w:tc>
      </w:tr>
      <w:tr w:rsidR="00BE2BE5" w:rsidRPr="00AF11B3" w14:paraId="34BEED2D" w14:textId="77777777" w:rsidTr="00083E4D">
        <w:trPr>
          <w:trHeight w:val="288"/>
        </w:trPr>
        <w:tc>
          <w:tcPr>
            <w:tcW w:w="3681" w:type="dxa"/>
            <w:noWrap/>
            <w:hideMark/>
          </w:tcPr>
          <w:p w14:paraId="3DCBAAAE" w14:textId="77777777" w:rsidR="00BE2BE5" w:rsidRPr="00AF11B3" w:rsidRDefault="00BE2BE5" w:rsidP="00083E4D">
            <w:r w:rsidRPr="00AF11B3">
              <w:t>Left banks superior temporal sulcus</w:t>
            </w:r>
          </w:p>
        </w:tc>
        <w:tc>
          <w:tcPr>
            <w:tcW w:w="1843" w:type="dxa"/>
            <w:noWrap/>
            <w:hideMark/>
          </w:tcPr>
          <w:p w14:paraId="495FB319" w14:textId="77777777" w:rsidR="00BE2BE5" w:rsidRPr="00AF11B3" w:rsidRDefault="00BE2BE5" w:rsidP="00083E4D">
            <w:r w:rsidRPr="00AF11B3">
              <w:t>-0.024</w:t>
            </w:r>
          </w:p>
        </w:tc>
        <w:tc>
          <w:tcPr>
            <w:tcW w:w="1984" w:type="dxa"/>
          </w:tcPr>
          <w:p w14:paraId="77669068" w14:textId="77777777" w:rsidR="00BE2BE5" w:rsidRPr="00AF11B3" w:rsidRDefault="00BE2BE5" w:rsidP="00083E4D">
            <w:r w:rsidRPr="00AF11B3">
              <w:t>−0.058</w:t>
            </w:r>
          </w:p>
        </w:tc>
      </w:tr>
      <w:tr w:rsidR="00BE2BE5" w:rsidRPr="00AF11B3" w14:paraId="5BD3890F" w14:textId="77777777" w:rsidTr="00083E4D">
        <w:trPr>
          <w:trHeight w:val="288"/>
        </w:trPr>
        <w:tc>
          <w:tcPr>
            <w:tcW w:w="3681" w:type="dxa"/>
            <w:noWrap/>
            <w:hideMark/>
          </w:tcPr>
          <w:p w14:paraId="1B9DB9E2" w14:textId="77777777" w:rsidR="00BE2BE5" w:rsidRPr="00AF11B3" w:rsidRDefault="00BE2BE5" w:rsidP="00083E4D">
            <w:r w:rsidRPr="00AF11B3">
              <w:t>Left caudal anterior cingulate cortex</w:t>
            </w:r>
          </w:p>
        </w:tc>
        <w:tc>
          <w:tcPr>
            <w:tcW w:w="1843" w:type="dxa"/>
            <w:noWrap/>
            <w:hideMark/>
          </w:tcPr>
          <w:p w14:paraId="0CF0C11C" w14:textId="77777777" w:rsidR="00BE2BE5" w:rsidRPr="00AF11B3" w:rsidRDefault="00BE2BE5" w:rsidP="00083E4D">
            <w:r w:rsidRPr="00AF11B3">
              <w:t>0.021</w:t>
            </w:r>
          </w:p>
        </w:tc>
        <w:tc>
          <w:tcPr>
            <w:tcW w:w="1984" w:type="dxa"/>
          </w:tcPr>
          <w:p w14:paraId="0B2D16E2" w14:textId="77777777" w:rsidR="00BE2BE5" w:rsidRPr="00AF11B3" w:rsidRDefault="00BE2BE5" w:rsidP="00083E4D">
            <w:r w:rsidRPr="00AF11B3">
              <w:t>−0.042</w:t>
            </w:r>
          </w:p>
        </w:tc>
      </w:tr>
      <w:tr w:rsidR="00BE2BE5" w:rsidRPr="00AF11B3" w14:paraId="12A7E16D" w14:textId="77777777" w:rsidTr="00083E4D">
        <w:trPr>
          <w:trHeight w:val="288"/>
        </w:trPr>
        <w:tc>
          <w:tcPr>
            <w:tcW w:w="3681" w:type="dxa"/>
            <w:noWrap/>
            <w:hideMark/>
          </w:tcPr>
          <w:p w14:paraId="5D3DDDB0" w14:textId="77777777" w:rsidR="00BE2BE5" w:rsidRPr="00AF11B3" w:rsidRDefault="00BE2BE5" w:rsidP="00083E4D">
            <w:r w:rsidRPr="00AF11B3">
              <w:t>Left caudal middle frontal gyrus</w:t>
            </w:r>
          </w:p>
        </w:tc>
        <w:tc>
          <w:tcPr>
            <w:tcW w:w="1843" w:type="dxa"/>
            <w:noWrap/>
            <w:hideMark/>
          </w:tcPr>
          <w:p w14:paraId="296E8F97" w14:textId="77777777" w:rsidR="00BE2BE5" w:rsidRPr="00AF11B3" w:rsidRDefault="00BE2BE5" w:rsidP="00083E4D">
            <w:r w:rsidRPr="00AF11B3">
              <w:t>0.045</w:t>
            </w:r>
          </w:p>
        </w:tc>
        <w:tc>
          <w:tcPr>
            <w:tcW w:w="1984" w:type="dxa"/>
          </w:tcPr>
          <w:p w14:paraId="118767DA" w14:textId="77777777" w:rsidR="00BE2BE5" w:rsidRPr="00AF11B3" w:rsidRDefault="00BE2BE5" w:rsidP="00083E4D">
            <w:r w:rsidRPr="00AF11B3">
              <w:t>−0.014</w:t>
            </w:r>
          </w:p>
        </w:tc>
      </w:tr>
      <w:tr w:rsidR="00BE2BE5" w:rsidRPr="00AF11B3" w14:paraId="3E1ED817" w14:textId="77777777" w:rsidTr="00083E4D">
        <w:trPr>
          <w:trHeight w:val="288"/>
        </w:trPr>
        <w:tc>
          <w:tcPr>
            <w:tcW w:w="3681" w:type="dxa"/>
            <w:noWrap/>
            <w:hideMark/>
          </w:tcPr>
          <w:p w14:paraId="4D7FD429" w14:textId="77777777" w:rsidR="00BE2BE5" w:rsidRPr="00AF11B3" w:rsidRDefault="00BE2BE5" w:rsidP="00083E4D">
            <w:r w:rsidRPr="00AF11B3">
              <w:t>Left cuneus</w:t>
            </w:r>
          </w:p>
        </w:tc>
        <w:tc>
          <w:tcPr>
            <w:tcW w:w="1843" w:type="dxa"/>
            <w:noWrap/>
            <w:hideMark/>
          </w:tcPr>
          <w:p w14:paraId="3BFB0043" w14:textId="77777777" w:rsidR="00BE2BE5" w:rsidRPr="00AF11B3" w:rsidRDefault="00BE2BE5" w:rsidP="00083E4D">
            <w:r w:rsidRPr="00AF11B3">
              <w:t>-0.007</w:t>
            </w:r>
          </w:p>
        </w:tc>
        <w:tc>
          <w:tcPr>
            <w:tcW w:w="1984" w:type="dxa"/>
          </w:tcPr>
          <w:p w14:paraId="2745DC3D" w14:textId="77777777" w:rsidR="00BE2BE5" w:rsidRPr="00AF11B3" w:rsidRDefault="00BE2BE5" w:rsidP="00083E4D">
            <w:r w:rsidRPr="00AF11B3">
              <w:t>0.05</w:t>
            </w:r>
          </w:p>
        </w:tc>
      </w:tr>
      <w:tr w:rsidR="00BE2BE5" w:rsidRPr="00AF11B3" w14:paraId="578E4782" w14:textId="77777777" w:rsidTr="00083E4D">
        <w:trPr>
          <w:trHeight w:val="288"/>
        </w:trPr>
        <w:tc>
          <w:tcPr>
            <w:tcW w:w="3681" w:type="dxa"/>
            <w:noWrap/>
            <w:hideMark/>
          </w:tcPr>
          <w:p w14:paraId="4054D295" w14:textId="77777777" w:rsidR="00BE2BE5" w:rsidRPr="00AF11B3" w:rsidRDefault="00BE2BE5" w:rsidP="00083E4D">
            <w:r w:rsidRPr="00AF11B3">
              <w:t>Left entorhinal cortex</w:t>
            </w:r>
          </w:p>
        </w:tc>
        <w:tc>
          <w:tcPr>
            <w:tcW w:w="1843" w:type="dxa"/>
            <w:noWrap/>
            <w:hideMark/>
          </w:tcPr>
          <w:p w14:paraId="111F6B02" w14:textId="77777777" w:rsidR="00BE2BE5" w:rsidRPr="00AF11B3" w:rsidRDefault="00BE2BE5" w:rsidP="00083E4D">
            <w:r w:rsidRPr="00AF11B3">
              <w:t>0.008</w:t>
            </w:r>
          </w:p>
        </w:tc>
        <w:tc>
          <w:tcPr>
            <w:tcW w:w="1984" w:type="dxa"/>
          </w:tcPr>
          <w:p w14:paraId="7D58ED23" w14:textId="77777777" w:rsidR="00BE2BE5" w:rsidRPr="00AF11B3" w:rsidRDefault="00BE2BE5" w:rsidP="00083E4D">
            <w:r w:rsidRPr="00AF11B3">
              <w:t>−0.041</w:t>
            </w:r>
          </w:p>
        </w:tc>
      </w:tr>
      <w:tr w:rsidR="00BE2BE5" w:rsidRPr="00AF11B3" w14:paraId="303164BF" w14:textId="77777777" w:rsidTr="00083E4D">
        <w:trPr>
          <w:trHeight w:val="288"/>
        </w:trPr>
        <w:tc>
          <w:tcPr>
            <w:tcW w:w="3681" w:type="dxa"/>
            <w:noWrap/>
            <w:hideMark/>
          </w:tcPr>
          <w:p w14:paraId="085A205E" w14:textId="77777777" w:rsidR="00BE2BE5" w:rsidRPr="00AF11B3" w:rsidRDefault="00BE2BE5" w:rsidP="00083E4D">
            <w:r w:rsidRPr="00AF11B3">
              <w:t>Left frontal pole</w:t>
            </w:r>
          </w:p>
        </w:tc>
        <w:tc>
          <w:tcPr>
            <w:tcW w:w="1843" w:type="dxa"/>
            <w:noWrap/>
            <w:hideMark/>
          </w:tcPr>
          <w:p w14:paraId="04987D56" w14:textId="77777777" w:rsidR="00BE2BE5" w:rsidRPr="00AF11B3" w:rsidRDefault="00BE2BE5" w:rsidP="00083E4D">
            <w:r w:rsidRPr="00AF11B3">
              <w:t>-0.049</w:t>
            </w:r>
          </w:p>
        </w:tc>
        <w:tc>
          <w:tcPr>
            <w:tcW w:w="1984" w:type="dxa"/>
          </w:tcPr>
          <w:p w14:paraId="690CEEC8" w14:textId="77777777" w:rsidR="00BE2BE5" w:rsidRPr="00AF11B3" w:rsidRDefault="00BE2BE5" w:rsidP="00083E4D">
            <w:r w:rsidRPr="00AF11B3">
              <w:t>−0.011</w:t>
            </w:r>
          </w:p>
        </w:tc>
      </w:tr>
      <w:tr w:rsidR="00BE2BE5" w:rsidRPr="00AF11B3" w14:paraId="46FE813C" w14:textId="77777777" w:rsidTr="00083E4D">
        <w:trPr>
          <w:trHeight w:val="288"/>
        </w:trPr>
        <w:tc>
          <w:tcPr>
            <w:tcW w:w="3681" w:type="dxa"/>
            <w:noWrap/>
            <w:hideMark/>
          </w:tcPr>
          <w:p w14:paraId="71F2B10D" w14:textId="77777777" w:rsidR="00BE2BE5" w:rsidRPr="00AF11B3" w:rsidRDefault="00BE2BE5" w:rsidP="00083E4D">
            <w:r w:rsidRPr="00AF11B3">
              <w:t>Left fusiform gyrus</w:t>
            </w:r>
          </w:p>
        </w:tc>
        <w:tc>
          <w:tcPr>
            <w:tcW w:w="1843" w:type="dxa"/>
            <w:noWrap/>
            <w:hideMark/>
          </w:tcPr>
          <w:p w14:paraId="067F2C5F" w14:textId="77777777" w:rsidR="00BE2BE5" w:rsidRPr="00AF11B3" w:rsidRDefault="00BE2BE5" w:rsidP="00083E4D">
            <w:r w:rsidRPr="00AF11B3">
              <w:t>0.012</w:t>
            </w:r>
          </w:p>
        </w:tc>
        <w:tc>
          <w:tcPr>
            <w:tcW w:w="1984" w:type="dxa"/>
          </w:tcPr>
          <w:p w14:paraId="57D5FAAC" w14:textId="77777777" w:rsidR="00BE2BE5" w:rsidRPr="00AF11B3" w:rsidRDefault="00BE2BE5" w:rsidP="00083E4D">
            <w:r w:rsidRPr="00AF11B3">
              <w:t>−0.117</w:t>
            </w:r>
          </w:p>
        </w:tc>
      </w:tr>
      <w:tr w:rsidR="00BE2BE5" w:rsidRPr="00AF11B3" w14:paraId="58F673E3" w14:textId="77777777" w:rsidTr="00083E4D">
        <w:trPr>
          <w:trHeight w:val="288"/>
        </w:trPr>
        <w:tc>
          <w:tcPr>
            <w:tcW w:w="3681" w:type="dxa"/>
            <w:noWrap/>
            <w:hideMark/>
          </w:tcPr>
          <w:p w14:paraId="2CB0B217" w14:textId="77777777" w:rsidR="00BE2BE5" w:rsidRPr="00AF11B3" w:rsidRDefault="00BE2BE5" w:rsidP="00083E4D">
            <w:r w:rsidRPr="00AF11B3">
              <w:t>Left hemisphere total surface area</w:t>
            </w:r>
          </w:p>
        </w:tc>
        <w:tc>
          <w:tcPr>
            <w:tcW w:w="1843" w:type="dxa"/>
            <w:noWrap/>
            <w:hideMark/>
          </w:tcPr>
          <w:p w14:paraId="11ACE749" w14:textId="77777777" w:rsidR="00BE2BE5" w:rsidRPr="00AF11B3" w:rsidRDefault="00BE2BE5" w:rsidP="00083E4D">
            <w:r w:rsidRPr="00AF11B3">
              <w:t>0.026</w:t>
            </w:r>
          </w:p>
        </w:tc>
        <w:tc>
          <w:tcPr>
            <w:tcW w:w="1984" w:type="dxa"/>
          </w:tcPr>
          <w:p w14:paraId="3131A793" w14:textId="77777777" w:rsidR="00BE2BE5" w:rsidRPr="00AF11B3" w:rsidRDefault="00BE2BE5" w:rsidP="00083E4D">
            <w:r w:rsidRPr="00AF11B3">
              <w:t>−0.057</w:t>
            </w:r>
          </w:p>
        </w:tc>
      </w:tr>
      <w:tr w:rsidR="00BE2BE5" w:rsidRPr="00AF11B3" w14:paraId="00986B66" w14:textId="77777777" w:rsidTr="00083E4D">
        <w:trPr>
          <w:trHeight w:val="288"/>
        </w:trPr>
        <w:tc>
          <w:tcPr>
            <w:tcW w:w="3681" w:type="dxa"/>
            <w:noWrap/>
            <w:hideMark/>
          </w:tcPr>
          <w:p w14:paraId="01C8C23B" w14:textId="77777777" w:rsidR="00BE2BE5" w:rsidRPr="00AF11B3" w:rsidRDefault="00BE2BE5" w:rsidP="00083E4D">
            <w:r w:rsidRPr="00AF11B3">
              <w:t>Left inferior parietal cortex</w:t>
            </w:r>
          </w:p>
        </w:tc>
        <w:tc>
          <w:tcPr>
            <w:tcW w:w="1843" w:type="dxa"/>
            <w:noWrap/>
            <w:hideMark/>
          </w:tcPr>
          <w:p w14:paraId="0DD00117" w14:textId="77777777" w:rsidR="00BE2BE5" w:rsidRPr="00AF11B3" w:rsidRDefault="00BE2BE5" w:rsidP="00083E4D">
            <w:r w:rsidRPr="00AF11B3">
              <w:t>-0.005</w:t>
            </w:r>
          </w:p>
        </w:tc>
        <w:tc>
          <w:tcPr>
            <w:tcW w:w="1984" w:type="dxa"/>
          </w:tcPr>
          <w:p w14:paraId="7FC696E9" w14:textId="77777777" w:rsidR="00BE2BE5" w:rsidRPr="00AF11B3" w:rsidRDefault="00BE2BE5" w:rsidP="00083E4D">
            <w:r w:rsidRPr="00AF11B3">
              <w:t>−0.063</w:t>
            </w:r>
          </w:p>
        </w:tc>
      </w:tr>
      <w:tr w:rsidR="00BE2BE5" w:rsidRPr="00AF11B3" w14:paraId="34F4CDC4" w14:textId="77777777" w:rsidTr="00083E4D">
        <w:trPr>
          <w:trHeight w:val="288"/>
        </w:trPr>
        <w:tc>
          <w:tcPr>
            <w:tcW w:w="3681" w:type="dxa"/>
            <w:noWrap/>
            <w:hideMark/>
          </w:tcPr>
          <w:p w14:paraId="725CDA2E" w14:textId="77777777" w:rsidR="00BE2BE5" w:rsidRPr="00AF11B3" w:rsidRDefault="00BE2BE5" w:rsidP="00083E4D">
            <w:r w:rsidRPr="00AF11B3">
              <w:t>Left inferior temporal gyrus</w:t>
            </w:r>
          </w:p>
        </w:tc>
        <w:tc>
          <w:tcPr>
            <w:tcW w:w="1843" w:type="dxa"/>
            <w:noWrap/>
            <w:hideMark/>
          </w:tcPr>
          <w:p w14:paraId="6F2B0468" w14:textId="77777777" w:rsidR="00BE2BE5" w:rsidRPr="00AF11B3" w:rsidRDefault="00BE2BE5" w:rsidP="00083E4D">
            <w:r w:rsidRPr="00AF11B3">
              <w:t>0.046</w:t>
            </w:r>
          </w:p>
        </w:tc>
        <w:tc>
          <w:tcPr>
            <w:tcW w:w="1984" w:type="dxa"/>
          </w:tcPr>
          <w:p w14:paraId="6054EC29" w14:textId="77777777" w:rsidR="00BE2BE5" w:rsidRPr="00AF11B3" w:rsidRDefault="00BE2BE5" w:rsidP="00083E4D">
            <w:r w:rsidRPr="00AF11B3">
              <w:t>−0.049</w:t>
            </w:r>
          </w:p>
        </w:tc>
      </w:tr>
      <w:tr w:rsidR="00BE2BE5" w:rsidRPr="00AF11B3" w14:paraId="3C58160F" w14:textId="77777777" w:rsidTr="00083E4D">
        <w:trPr>
          <w:trHeight w:val="288"/>
        </w:trPr>
        <w:tc>
          <w:tcPr>
            <w:tcW w:w="3681" w:type="dxa"/>
            <w:noWrap/>
            <w:hideMark/>
          </w:tcPr>
          <w:p w14:paraId="2E86AF1F" w14:textId="77777777" w:rsidR="00BE2BE5" w:rsidRPr="00AF11B3" w:rsidRDefault="00BE2BE5" w:rsidP="00083E4D">
            <w:r w:rsidRPr="00AF11B3">
              <w:t>Left insula</w:t>
            </w:r>
          </w:p>
        </w:tc>
        <w:tc>
          <w:tcPr>
            <w:tcW w:w="1843" w:type="dxa"/>
            <w:noWrap/>
            <w:hideMark/>
          </w:tcPr>
          <w:p w14:paraId="7FF906B5" w14:textId="77777777" w:rsidR="00BE2BE5" w:rsidRPr="00AF11B3" w:rsidRDefault="00BE2BE5" w:rsidP="00083E4D">
            <w:r w:rsidRPr="00AF11B3">
              <w:t>0.014</w:t>
            </w:r>
          </w:p>
        </w:tc>
        <w:tc>
          <w:tcPr>
            <w:tcW w:w="1984" w:type="dxa"/>
          </w:tcPr>
          <w:p w14:paraId="0F8354C7" w14:textId="77777777" w:rsidR="00BE2BE5" w:rsidRPr="00AF11B3" w:rsidRDefault="00BE2BE5" w:rsidP="00083E4D">
            <w:r w:rsidRPr="00AF11B3">
              <w:t>−0.111</w:t>
            </w:r>
          </w:p>
        </w:tc>
      </w:tr>
      <w:tr w:rsidR="00BE2BE5" w:rsidRPr="00AF11B3" w14:paraId="224C840C" w14:textId="77777777" w:rsidTr="00083E4D">
        <w:trPr>
          <w:trHeight w:val="288"/>
        </w:trPr>
        <w:tc>
          <w:tcPr>
            <w:tcW w:w="3681" w:type="dxa"/>
            <w:noWrap/>
            <w:hideMark/>
          </w:tcPr>
          <w:p w14:paraId="1A530708" w14:textId="77777777" w:rsidR="00BE2BE5" w:rsidRPr="00AF11B3" w:rsidRDefault="00BE2BE5" w:rsidP="00083E4D">
            <w:r w:rsidRPr="00AF11B3">
              <w:t>Left isthmus cingulate cortex</w:t>
            </w:r>
          </w:p>
        </w:tc>
        <w:tc>
          <w:tcPr>
            <w:tcW w:w="1843" w:type="dxa"/>
            <w:noWrap/>
            <w:hideMark/>
          </w:tcPr>
          <w:p w14:paraId="7E417F9D" w14:textId="77777777" w:rsidR="00BE2BE5" w:rsidRPr="00AF11B3" w:rsidRDefault="00BE2BE5" w:rsidP="00083E4D">
            <w:r w:rsidRPr="00AF11B3">
              <w:t>0.063</w:t>
            </w:r>
          </w:p>
        </w:tc>
        <w:tc>
          <w:tcPr>
            <w:tcW w:w="1984" w:type="dxa"/>
          </w:tcPr>
          <w:p w14:paraId="31C9B5B4" w14:textId="77777777" w:rsidR="00BE2BE5" w:rsidRPr="00AF11B3" w:rsidRDefault="00BE2BE5" w:rsidP="00083E4D">
            <w:r w:rsidRPr="00AF11B3">
              <w:t>−0.104</w:t>
            </w:r>
          </w:p>
        </w:tc>
      </w:tr>
      <w:tr w:rsidR="00BE2BE5" w:rsidRPr="00AF11B3" w14:paraId="05AA380A" w14:textId="77777777" w:rsidTr="00083E4D">
        <w:trPr>
          <w:trHeight w:val="288"/>
        </w:trPr>
        <w:tc>
          <w:tcPr>
            <w:tcW w:w="3681" w:type="dxa"/>
            <w:noWrap/>
            <w:hideMark/>
          </w:tcPr>
          <w:p w14:paraId="6C72890A" w14:textId="77777777" w:rsidR="00BE2BE5" w:rsidRPr="00AF11B3" w:rsidRDefault="00BE2BE5" w:rsidP="00083E4D">
            <w:r w:rsidRPr="00AF11B3">
              <w:t>Left lateral occipital cortex</w:t>
            </w:r>
          </w:p>
        </w:tc>
        <w:tc>
          <w:tcPr>
            <w:tcW w:w="1843" w:type="dxa"/>
            <w:noWrap/>
            <w:hideMark/>
          </w:tcPr>
          <w:p w14:paraId="010025D2" w14:textId="77777777" w:rsidR="00BE2BE5" w:rsidRPr="00AF11B3" w:rsidRDefault="00BE2BE5" w:rsidP="00083E4D">
            <w:r w:rsidRPr="00AF11B3">
              <w:t>0.016</w:t>
            </w:r>
          </w:p>
        </w:tc>
        <w:tc>
          <w:tcPr>
            <w:tcW w:w="1984" w:type="dxa"/>
          </w:tcPr>
          <w:p w14:paraId="7DB78D07" w14:textId="77777777" w:rsidR="00BE2BE5" w:rsidRPr="00AF11B3" w:rsidRDefault="00BE2BE5" w:rsidP="00083E4D">
            <w:r w:rsidRPr="00AF11B3">
              <w:t>−0.023</w:t>
            </w:r>
          </w:p>
        </w:tc>
      </w:tr>
      <w:tr w:rsidR="00BE2BE5" w:rsidRPr="00AF11B3" w14:paraId="00B56369" w14:textId="77777777" w:rsidTr="00083E4D">
        <w:trPr>
          <w:trHeight w:val="288"/>
        </w:trPr>
        <w:tc>
          <w:tcPr>
            <w:tcW w:w="3681" w:type="dxa"/>
            <w:noWrap/>
            <w:hideMark/>
          </w:tcPr>
          <w:p w14:paraId="6E348543" w14:textId="77777777" w:rsidR="00BE2BE5" w:rsidRPr="00AF11B3" w:rsidRDefault="00BE2BE5" w:rsidP="00083E4D">
            <w:r w:rsidRPr="00AF11B3">
              <w:t>Left lateral orbitofrontal cortex</w:t>
            </w:r>
          </w:p>
        </w:tc>
        <w:tc>
          <w:tcPr>
            <w:tcW w:w="1843" w:type="dxa"/>
            <w:noWrap/>
            <w:hideMark/>
          </w:tcPr>
          <w:p w14:paraId="6FE94CEE" w14:textId="77777777" w:rsidR="00BE2BE5" w:rsidRPr="00AF11B3" w:rsidRDefault="00BE2BE5" w:rsidP="00083E4D">
            <w:r w:rsidRPr="00AF11B3">
              <w:t>0.041</w:t>
            </w:r>
          </w:p>
        </w:tc>
        <w:tc>
          <w:tcPr>
            <w:tcW w:w="1984" w:type="dxa"/>
          </w:tcPr>
          <w:p w14:paraId="64392E62" w14:textId="77777777" w:rsidR="00BE2BE5" w:rsidRPr="00AF11B3" w:rsidRDefault="00BE2BE5" w:rsidP="00083E4D">
            <w:r w:rsidRPr="00AF11B3">
              <w:t>−0.046</w:t>
            </w:r>
          </w:p>
        </w:tc>
      </w:tr>
      <w:tr w:rsidR="00BE2BE5" w:rsidRPr="00AF11B3" w14:paraId="4EBF2E49" w14:textId="77777777" w:rsidTr="00083E4D">
        <w:trPr>
          <w:trHeight w:val="288"/>
        </w:trPr>
        <w:tc>
          <w:tcPr>
            <w:tcW w:w="3681" w:type="dxa"/>
            <w:noWrap/>
            <w:hideMark/>
          </w:tcPr>
          <w:p w14:paraId="49B365A5" w14:textId="77777777" w:rsidR="00BE2BE5" w:rsidRPr="00AF11B3" w:rsidRDefault="00BE2BE5" w:rsidP="00083E4D">
            <w:r w:rsidRPr="00AF11B3">
              <w:t>Left lingual gyrus</w:t>
            </w:r>
          </w:p>
        </w:tc>
        <w:tc>
          <w:tcPr>
            <w:tcW w:w="1843" w:type="dxa"/>
            <w:noWrap/>
            <w:hideMark/>
          </w:tcPr>
          <w:p w14:paraId="024F551F" w14:textId="77777777" w:rsidR="00BE2BE5" w:rsidRPr="00AF11B3" w:rsidRDefault="00BE2BE5" w:rsidP="00083E4D">
            <w:r w:rsidRPr="00AF11B3">
              <w:t>0.028</w:t>
            </w:r>
          </w:p>
        </w:tc>
        <w:tc>
          <w:tcPr>
            <w:tcW w:w="1984" w:type="dxa"/>
          </w:tcPr>
          <w:p w14:paraId="38812D9A" w14:textId="77777777" w:rsidR="00BE2BE5" w:rsidRPr="00AF11B3" w:rsidRDefault="00BE2BE5" w:rsidP="00083E4D">
            <w:r w:rsidRPr="00AF11B3">
              <w:t>0.01</w:t>
            </w:r>
          </w:p>
        </w:tc>
      </w:tr>
      <w:tr w:rsidR="00BE2BE5" w:rsidRPr="00AF11B3" w14:paraId="72A90C61" w14:textId="77777777" w:rsidTr="00083E4D">
        <w:trPr>
          <w:trHeight w:val="288"/>
        </w:trPr>
        <w:tc>
          <w:tcPr>
            <w:tcW w:w="3681" w:type="dxa"/>
            <w:noWrap/>
            <w:hideMark/>
          </w:tcPr>
          <w:p w14:paraId="175F7FFD" w14:textId="77777777" w:rsidR="00BE2BE5" w:rsidRPr="00AF11B3" w:rsidRDefault="00BE2BE5" w:rsidP="00083E4D">
            <w:r w:rsidRPr="00AF11B3">
              <w:t>Left medial orbitofrontal cortex</w:t>
            </w:r>
          </w:p>
        </w:tc>
        <w:tc>
          <w:tcPr>
            <w:tcW w:w="1843" w:type="dxa"/>
            <w:noWrap/>
            <w:hideMark/>
          </w:tcPr>
          <w:p w14:paraId="45BDBBBE" w14:textId="77777777" w:rsidR="00BE2BE5" w:rsidRPr="00AF11B3" w:rsidRDefault="00BE2BE5" w:rsidP="00083E4D">
            <w:r w:rsidRPr="00AF11B3">
              <w:t>0.035</w:t>
            </w:r>
          </w:p>
        </w:tc>
        <w:tc>
          <w:tcPr>
            <w:tcW w:w="1984" w:type="dxa"/>
          </w:tcPr>
          <w:p w14:paraId="1AD82FA8" w14:textId="77777777" w:rsidR="00BE2BE5" w:rsidRPr="00AF11B3" w:rsidRDefault="00BE2BE5" w:rsidP="00083E4D">
            <w:r w:rsidRPr="00AF11B3">
              <w:t>−0.134</w:t>
            </w:r>
          </w:p>
        </w:tc>
      </w:tr>
      <w:tr w:rsidR="00BE2BE5" w:rsidRPr="00AF11B3" w14:paraId="0CA08C1F" w14:textId="77777777" w:rsidTr="00083E4D">
        <w:trPr>
          <w:trHeight w:val="288"/>
        </w:trPr>
        <w:tc>
          <w:tcPr>
            <w:tcW w:w="3681" w:type="dxa"/>
            <w:noWrap/>
            <w:hideMark/>
          </w:tcPr>
          <w:p w14:paraId="5A4CE8F6" w14:textId="77777777" w:rsidR="00BE2BE5" w:rsidRPr="00AF11B3" w:rsidRDefault="00BE2BE5" w:rsidP="00083E4D">
            <w:r w:rsidRPr="00AF11B3">
              <w:t>Left middle temporal gyrus</w:t>
            </w:r>
          </w:p>
        </w:tc>
        <w:tc>
          <w:tcPr>
            <w:tcW w:w="1843" w:type="dxa"/>
            <w:noWrap/>
            <w:hideMark/>
          </w:tcPr>
          <w:p w14:paraId="53920BCB" w14:textId="77777777" w:rsidR="00BE2BE5" w:rsidRPr="00AF11B3" w:rsidRDefault="00BE2BE5" w:rsidP="00083E4D">
            <w:r w:rsidRPr="00AF11B3">
              <w:t>-0.034</w:t>
            </w:r>
          </w:p>
        </w:tc>
        <w:tc>
          <w:tcPr>
            <w:tcW w:w="1984" w:type="dxa"/>
          </w:tcPr>
          <w:p w14:paraId="24DB5033" w14:textId="77777777" w:rsidR="00BE2BE5" w:rsidRPr="00AF11B3" w:rsidRDefault="00BE2BE5" w:rsidP="00083E4D">
            <w:r w:rsidRPr="00AF11B3">
              <w:t>−0.090</w:t>
            </w:r>
          </w:p>
        </w:tc>
      </w:tr>
      <w:tr w:rsidR="00BE2BE5" w:rsidRPr="00AF11B3" w14:paraId="0C971E86" w14:textId="77777777" w:rsidTr="00083E4D">
        <w:trPr>
          <w:trHeight w:val="288"/>
        </w:trPr>
        <w:tc>
          <w:tcPr>
            <w:tcW w:w="3681" w:type="dxa"/>
            <w:noWrap/>
            <w:hideMark/>
          </w:tcPr>
          <w:p w14:paraId="062C41B4" w14:textId="77777777" w:rsidR="00BE2BE5" w:rsidRPr="00AF11B3" w:rsidRDefault="00BE2BE5" w:rsidP="00083E4D">
            <w:r w:rsidRPr="00AF11B3">
              <w:t>Left paracentral lobule</w:t>
            </w:r>
          </w:p>
        </w:tc>
        <w:tc>
          <w:tcPr>
            <w:tcW w:w="1843" w:type="dxa"/>
            <w:noWrap/>
            <w:hideMark/>
          </w:tcPr>
          <w:p w14:paraId="6AE151F5" w14:textId="77777777" w:rsidR="00BE2BE5" w:rsidRPr="00AF11B3" w:rsidRDefault="00BE2BE5" w:rsidP="00083E4D">
            <w:r w:rsidRPr="00AF11B3">
              <w:t>0.018</w:t>
            </w:r>
          </w:p>
        </w:tc>
        <w:tc>
          <w:tcPr>
            <w:tcW w:w="1984" w:type="dxa"/>
          </w:tcPr>
          <w:p w14:paraId="61120D5A" w14:textId="77777777" w:rsidR="00BE2BE5" w:rsidRPr="00AF11B3" w:rsidRDefault="00BE2BE5" w:rsidP="00083E4D">
            <w:r w:rsidRPr="00AF11B3">
              <w:t>−0.003</w:t>
            </w:r>
          </w:p>
        </w:tc>
      </w:tr>
      <w:tr w:rsidR="00BE2BE5" w:rsidRPr="00AF11B3" w14:paraId="6A305E58" w14:textId="77777777" w:rsidTr="00083E4D">
        <w:trPr>
          <w:trHeight w:val="288"/>
        </w:trPr>
        <w:tc>
          <w:tcPr>
            <w:tcW w:w="3681" w:type="dxa"/>
            <w:noWrap/>
            <w:hideMark/>
          </w:tcPr>
          <w:p w14:paraId="1C7AB294" w14:textId="77777777" w:rsidR="00BE2BE5" w:rsidRPr="00AF11B3" w:rsidRDefault="00BE2BE5" w:rsidP="00083E4D">
            <w:r w:rsidRPr="00AF11B3">
              <w:t xml:space="preserve">Left </w:t>
            </w:r>
            <w:proofErr w:type="spellStart"/>
            <w:r w:rsidRPr="00AF11B3">
              <w:t>parahippocampal</w:t>
            </w:r>
            <w:proofErr w:type="spellEnd"/>
            <w:r w:rsidRPr="00AF11B3">
              <w:t xml:space="preserve"> gyrus</w:t>
            </w:r>
          </w:p>
        </w:tc>
        <w:tc>
          <w:tcPr>
            <w:tcW w:w="1843" w:type="dxa"/>
            <w:noWrap/>
            <w:hideMark/>
          </w:tcPr>
          <w:p w14:paraId="2A219E93" w14:textId="77777777" w:rsidR="00BE2BE5" w:rsidRPr="00AF11B3" w:rsidRDefault="00BE2BE5" w:rsidP="00083E4D">
            <w:r w:rsidRPr="00AF11B3">
              <w:t>-0.017</w:t>
            </w:r>
          </w:p>
        </w:tc>
        <w:tc>
          <w:tcPr>
            <w:tcW w:w="1984" w:type="dxa"/>
          </w:tcPr>
          <w:p w14:paraId="66CD39D4" w14:textId="77777777" w:rsidR="00BE2BE5" w:rsidRPr="00AF11B3" w:rsidRDefault="00BE2BE5" w:rsidP="00083E4D">
            <w:r w:rsidRPr="00AF11B3">
              <w:t>−0.072</w:t>
            </w:r>
          </w:p>
        </w:tc>
      </w:tr>
      <w:tr w:rsidR="00BE2BE5" w:rsidRPr="00AF11B3" w14:paraId="545BA926" w14:textId="77777777" w:rsidTr="00083E4D">
        <w:trPr>
          <w:trHeight w:val="288"/>
        </w:trPr>
        <w:tc>
          <w:tcPr>
            <w:tcW w:w="3681" w:type="dxa"/>
            <w:noWrap/>
            <w:hideMark/>
          </w:tcPr>
          <w:p w14:paraId="5CA03820" w14:textId="77777777" w:rsidR="00BE2BE5" w:rsidRPr="00AF11B3" w:rsidRDefault="00BE2BE5" w:rsidP="00083E4D">
            <w:r w:rsidRPr="00AF11B3">
              <w:lastRenderedPageBreak/>
              <w:t xml:space="preserve">Left pars </w:t>
            </w:r>
            <w:proofErr w:type="spellStart"/>
            <w:r w:rsidRPr="00AF11B3">
              <w:t>opercularis</w:t>
            </w:r>
            <w:proofErr w:type="spellEnd"/>
          </w:p>
        </w:tc>
        <w:tc>
          <w:tcPr>
            <w:tcW w:w="1843" w:type="dxa"/>
            <w:noWrap/>
            <w:hideMark/>
          </w:tcPr>
          <w:p w14:paraId="0995FB85" w14:textId="77777777" w:rsidR="00BE2BE5" w:rsidRPr="00AF11B3" w:rsidRDefault="00BE2BE5" w:rsidP="00083E4D">
            <w:r w:rsidRPr="00AF11B3">
              <w:t>-0.015</w:t>
            </w:r>
          </w:p>
        </w:tc>
        <w:tc>
          <w:tcPr>
            <w:tcW w:w="1984" w:type="dxa"/>
          </w:tcPr>
          <w:p w14:paraId="59DED343" w14:textId="77777777" w:rsidR="00BE2BE5" w:rsidRPr="00AF11B3" w:rsidRDefault="00BE2BE5" w:rsidP="00083E4D">
            <w:r w:rsidRPr="00AF11B3">
              <w:t>−0.063</w:t>
            </w:r>
          </w:p>
        </w:tc>
      </w:tr>
      <w:tr w:rsidR="00BE2BE5" w:rsidRPr="00AF11B3" w14:paraId="7C20F4D9" w14:textId="77777777" w:rsidTr="00083E4D">
        <w:trPr>
          <w:trHeight w:val="288"/>
        </w:trPr>
        <w:tc>
          <w:tcPr>
            <w:tcW w:w="3681" w:type="dxa"/>
            <w:noWrap/>
            <w:hideMark/>
          </w:tcPr>
          <w:p w14:paraId="5B7501A7" w14:textId="77777777" w:rsidR="00BE2BE5" w:rsidRPr="00AF11B3" w:rsidRDefault="00BE2BE5" w:rsidP="00083E4D">
            <w:r w:rsidRPr="00AF11B3">
              <w:t>Left pars orbitalis</w:t>
            </w:r>
          </w:p>
        </w:tc>
        <w:tc>
          <w:tcPr>
            <w:tcW w:w="1843" w:type="dxa"/>
            <w:noWrap/>
            <w:hideMark/>
          </w:tcPr>
          <w:p w14:paraId="32CD3E42" w14:textId="77777777" w:rsidR="00BE2BE5" w:rsidRPr="00AF11B3" w:rsidRDefault="00BE2BE5" w:rsidP="00083E4D">
            <w:r w:rsidRPr="00AF11B3">
              <w:t>-0.002</w:t>
            </w:r>
          </w:p>
        </w:tc>
        <w:tc>
          <w:tcPr>
            <w:tcW w:w="1984" w:type="dxa"/>
          </w:tcPr>
          <w:p w14:paraId="06DA349C" w14:textId="77777777" w:rsidR="00BE2BE5" w:rsidRPr="00AF11B3" w:rsidRDefault="00BE2BE5" w:rsidP="00083E4D">
            <w:r w:rsidRPr="00AF11B3">
              <w:t>−0.073</w:t>
            </w:r>
          </w:p>
        </w:tc>
      </w:tr>
      <w:tr w:rsidR="00BE2BE5" w:rsidRPr="00AF11B3" w14:paraId="1BBDFF45" w14:textId="77777777" w:rsidTr="00083E4D">
        <w:trPr>
          <w:trHeight w:val="288"/>
        </w:trPr>
        <w:tc>
          <w:tcPr>
            <w:tcW w:w="3681" w:type="dxa"/>
            <w:noWrap/>
            <w:hideMark/>
          </w:tcPr>
          <w:p w14:paraId="175E212B" w14:textId="77777777" w:rsidR="00BE2BE5" w:rsidRPr="00AF11B3" w:rsidRDefault="00BE2BE5" w:rsidP="00083E4D">
            <w:r w:rsidRPr="00AF11B3">
              <w:t>Left pars triangularis</w:t>
            </w:r>
          </w:p>
        </w:tc>
        <w:tc>
          <w:tcPr>
            <w:tcW w:w="1843" w:type="dxa"/>
            <w:noWrap/>
            <w:hideMark/>
          </w:tcPr>
          <w:p w14:paraId="112B3DAC" w14:textId="77777777" w:rsidR="00BE2BE5" w:rsidRPr="00AF11B3" w:rsidRDefault="00BE2BE5" w:rsidP="00083E4D">
            <w:r w:rsidRPr="00AF11B3">
              <w:t>-0.063</w:t>
            </w:r>
          </w:p>
        </w:tc>
        <w:tc>
          <w:tcPr>
            <w:tcW w:w="1984" w:type="dxa"/>
          </w:tcPr>
          <w:p w14:paraId="42E9BB29" w14:textId="77777777" w:rsidR="00BE2BE5" w:rsidRPr="00AF11B3" w:rsidRDefault="00BE2BE5" w:rsidP="00083E4D">
            <w:r w:rsidRPr="00AF11B3">
              <w:t>−0.054</w:t>
            </w:r>
          </w:p>
        </w:tc>
      </w:tr>
      <w:tr w:rsidR="00BE2BE5" w:rsidRPr="00AF11B3" w14:paraId="758EE586" w14:textId="77777777" w:rsidTr="00083E4D">
        <w:trPr>
          <w:trHeight w:val="288"/>
        </w:trPr>
        <w:tc>
          <w:tcPr>
            <w:tcW w:w="3681" w:type="dxa"/>
            <w:noWrap/>
            <w:hideMark/>
          </w:tcPr>
          <w:p w14:paraId="62F6B8B4" w14:textId="77777777" w:rsidR="00BE2BE5" w:rsidRPr="00AF11B3" w:rsidRDefault="00BE2BE5" w:rsidP="00083E4D">
            <w:r w:rsidRPr="00AF11B3">
              <w:t>Left pericalcarine cortex</w:t>
            </w:r>
          </w:p>
        </w:tc>
        <w:tc>
          <w:tcPr>
            <w:tcW w:w="1843" w:type="dxa"/>
            <w:noWrap/>
            <w:hideMark/>
          </w:tcPr>
          <w:p w14:paraId="2E18CBE6" w14:textId="77777777" w:rsidR="00BE2BE5" w:rsidRPr="00AF11B3" w:rsidRDefault="00BE2BE5" w:rsidP="00083E4D">
            <w:r w:rsidRPr="00AF11B3">
              <w:t>-0.008</w:t>
            </w:r>
          </w:p>
        </w:tc>
        <w:tc>
          <w:tcPr>
            <w:tcW w:w="1984" w:type="dxa"/>
          </w:tcPr>
          <w:p w14:paraId="08530FB9" w14:textId="77777777" w:rsidR="00BE2BE5" w:rsidRPr="00AF11B3" w:rsidRDefault="00BE2BE5" w:rsidP="00083E4D">
            <w:r w:rsidRPr="00AF11B3">
              <w:t>0.09</w:t>
            </w:r>
          </w:p>
        </w:tc>
      </w:tr>
      <w:tr w:rsidR="00BE2BE5" w:rsidRPr="00AF11B3" w14:paraId="5059F45A" w14:textId="77777777" w:rsidTr="00083E4D">
        <w:trPr>
          <w:trHeight w:val="288"/>
        </w:trPr>
        <w:tc>
          <w:tcPr>
            <w:tcW w:w="3681" w:type="dxa"/>
            <w:noWrap/>
            <w:hideMark/>
          </w:tcPr>
          <w:p w14:paraId="0608442A" w14:textId="77777777" w:rsidR="00BE2BE5" w:rsidRPr="00AF11B3" w:rsidRDefault="00BE2BE5" w:rsidP="00083E4D">
            <w:r w:rsidRPr="00AF11B3">
              <w:t>Left postcentral gyrus</w:t>
            </w:r>
          </w:p>
        </w:tc>
        <w:tc>
          <w:tcPr>
            <w:tcW w:w="1843" w:type="dxa"/>
            <w:noWrap/>
            <w:hideMark/>
          </w:tcPr>
          <w:p w14:paraId="062BA3C0" w14:textId="77777777" w:rsidR="00BE2BE5" w:rsidRPr="00AF11B3" w:rsidRDefault="00BE2BE5" w:rsidP="00083E4D">
            <w:r w:rsidRPr="00AF11B3">
              <w:t>0.006</w:t>
            </w:r>
          </w:p>
        </w:tc>
        <w:tc>
          <w:tcPr>
            <w:tcW w:w="1984" w:type="dxa"/>
          </w:tcPr>
          <w:p w14:paraId="5335C1D5" w14:textId="77777777" w:rsidR="00BE2BE5" w:rsidRPr="00AF11B3" w:rsidRDefault="00BE2BE5" w:rsidP="00083E4D">
            <w:r w:rsidRPr="00AF11B3">
              <w:t>0.04</w:t>
            </w:r>
          </w:p>
        </w:tc>
      </w:tr>
      <w:tr w:rsidR="00BE2BE5" w:rsidRPr="00AF11B3" w14:paraId="4AC61DB7" w14:textId="77777777" w:rsidTr="00083E4D">
        <w:trPr>
          <w:trHeight w:val="288"/>
        </w:trPr>
        <w:tc>
          <w:tcPr>
            <w:tcW w:w="3681" w:type="dxa"/>
            <w:noWrap/>
            <w:hideMark/>
          </w:tcPr>
          <w:p w14:paraId="25FFF0B8" w14:textId="77777777" w:rsidR="00BE2BE5" w:rsidRPr="00AF11B3" w:rsidRDefault="00BE2BE5" w:rsidP="00083E4D">
            <w:r w:rsidRPr="00AF11B3">
              <w:t>Left posterior cingulate cortex</w:t>
            </w:r>
          </w:p>
        </w:tc>
        <w:tc>
          <w:tcPr>
            <w:tcW w:w="1843" w:type="dxa"/>
            <w:noWrap/>
            <w:hideMark/>
          </w:tcPr>
          <w:p w14:paraId="66C29C62" w14:textId="77777777" w:rsidR="00BE2BE5" w:rsidRPr="00AF11B3" w:rsidRDefault="00BE2BE5" w:rsidP="00083E4D">
            <w:r w:rsidRPr="00AF11B3">
              <w:t>0.006</w:t>
            </w:r>
          </w:p>
        </w:tc>
        <w:tc>
          <w:tcPr>
            <w:tcW w:w="1984" w:type="dxa"/>
          </w:tcPr>
          <w:p w14:paraId="52F637C3" w14:textId="77777777" w:rsidR="00BE2BE5" w:rsidRPr="00AF11B3" w:rsidRDefault="00BE2BE5" w:rsidP="00083E4D">
            <w:r w:rsidRPr="00AF11B3">
              <w:t>−0.099</w:t>
            </w:r>
          </w:p>
        </w:tc>
      </w:tr>
      <w:tr w:rsidR="00BE2BE5" w:rsidRPr="00AF11B3" w14:paraId="42BA84B8" w14:textId="77777777" w:rsidTr="00083E4D">
        <w:trPr>
          <w:trHeight w:val="288"/>
        </w:trPr>
        <w:tc>
          <w:tcPr>
            <w:tcW w:w="3681" w:type="dxa"/>
            <w:noWrap/>
            <w:hideMark/>
          </w:tcPr>
          <w:p w14:paraId="2D6EC235" w14:textId="77777777" w:rsidR="00BE2BE5" w:rsidRPr="00AF11B3" w:rsidRDefault="00BE2BE5" w:rsidP="00083E4D">
            <w:r w:rsidRPr="00AF11B3">
              <w:t>Left precentral gyrus</w:t>
            </w:r>
          </w:p>
        </w:tc>
        <w:tc>
          <w:tcPr>
            <w:tcW w:w="1843" w:type="dxa"/>
            <w:noWrap/>
            <w:hideMark/>
          </w:tcPr>
          <w:p w14:paraId="0D1D4519" w14:textId="77777777" w:rsidR="00BE2BE5" w:rsidRPr="00AF11B3" w:rsidRDefault="00BE2BE5" w:rsidP="00083E4D">
            <w:r w:rsidRPr="00AF11B3">
              <w:t>0.034</w:t>
            </w:r>
          </w:p>
        </w:tc>
        <w:tc>
          <w:tcPr>
            <w:tcW w:w="1984" w:type="dxa"/>
          </w:tcPr>
          <w:p w14:paraId="36F07B64" w14:textId="77777777" w:rsidR="00BE2BE5" w:rsidRPr="00AF11B3" w:rsidRDefault="00BE2BE5" w:rsidP="00083E4D">
            <w:r w:rsidRPr="00AF11B3">
              <w:t>−0.020</w:t>
            </w:r>
          </w:p>
        </w:tc>
      </w:tr>
      <w:tr w:rsidR="00BE2BE5" w:rsidRPr="00AF11B3" w14:paraId="414A4797" w14:textId="77777777" w:rsidTr="00083E4D">
        <w:trPr>
          <w:trHeight w:val="288"/>
        </w:trPr>
        <w:tc>
          <w:tcPr>
            <w:tcW w:w="3681" w:type="dxa"/>
            <w:noWrap/>
            <w:hideMark/>
          </w:tcPr>
          <w:p w14:paraId="08825513" w14:textId="77777777" w:rsidR="00BE2BE5" w:rsidRPr="00AF11B3" w:rsidRDefault="00BE2BE5" w:rsidP="00083E4D">
            <w:r w:rsidRPr="00AF11B3">
              <w:t xml:space="preserve">Left </w:t>
            </w:r>
            <w:proofErr w:type="spellStart"/>
            <w:r w:rsidRPr="00AF11B3">
              <w:t>precuneus</w:t>
            </w:r>
            <w:proofErr w:type="spellEnd"/>
          </w:p>
        </w:tc>
        <w:tc>
          <w:tcPr>
            <w:tcW w:w="1843" w:type="dxa"/>
            <w:noWrap/>
            <w:hideMark/>
          </w:tcPr>
          <w:p w14:paraId="0B065F4C" w14:textId="77777777" w:rsidR="00BE2BE5" w:rsidRPr="00AF11B3" w:rsidRDefault="00BE2BE5" w:rsidP="00083E4D">
            <w:r w:rsidRPr="00AF11B3">
              <w:t>0.011</w:t>
            </w:r>
          </w:p>
        </w:tc>
        <w:tc>
          <w:tcPr>
            <w:tcW w:w="1984" w:type="dxa"/>
          </w:tcPr>
          <w:p w14:paraId="0E828C3A" w14:textId="77777777" w:rsidR="00BE2BE5" w:rsidRPr="00AF11B3" w:rsidRDefault="00BE2BE5" w:rsidP="00083E4D">
            <w:r w:rsidRPr="00AF11B3">
              <w:t>−0.024</w:t>
            </w:r>
          </w:p>
        </w:tc>
      </w:tr>
      <w:tr w:rsidR="00BE2BE5" w:rsidRPr="00AF11B3" w14:paraId="347A69AE" w14:textId="77777777" w:rsidTr="00083E4D">
        <w:trPr>
          <w:trHeight w:val="288"/>
        </w:trPr>
        <w:tc>
          <w:tcPr>
            <w:tcW w:w="3681" w:type="dxa"/>
            <w:noWrap/>
            <w:hideMark/>
          </w:tcPr>
          <w:p w14:paraId="59A94060" w14:textId="77777777" w:rsidR="00BE2BE5" w:rsidRPr="00AF11B3" w:rsidRDefault="00BE2BE5" w:rsidP="00083E4D">
            <w:r w:rsidRPr="00AF11B3">
              <w:t>Left rostral anterior cingulate cortex</w:t>
            </w:r>
          </w:p>
        </w:tc>
        <w:tc>
          <w:tcPr>
            <w:tcW w:w="1843" w:type="dxa"/>
            <w:noWrap/>
            <w:hideMark/>
          </w:tcPr>
          <w:p w14:paraId="4D177884" w14:textId="77777777" w:rsidR="00BE2BE5" w:rsidRPr="00AF11B3" w:rsidRDefault="00BE2BE5" w:rsidP="00083E4D">
            <w:r w:rsidRPr="00AF11B3">
              <w:t>0.04</w:t>
            </w:r>
          </w:p>
        </w:tc>
        <w:tc>
          <w:tcPr>
            <w:tcW w:w="1984" w:type="dxa"/>
          </w:tcPr>
          <w:p w14:paraId="18775166" w14:textId="77777777" w:rsidR="00BE2BE5" w:rsidRPr="00AF11B3" w:rsidRDefault="00BE2BE5" w:rsidP="00083E4D">
            <w:r w:rsidRPr="00AF11B3">
              <w:t>−0.130</w:t>
            </w:r>
          </w:p>
        </w:tc>
      </w:tr>
      <w:tr w:rsidR="00BE2BE5" w:rsidRPr="00AF11B3" w14:paraId="7AFBDD77" w14:textId="77777777" w:rsidTr="00083E4D">
        <w:trPr>
          <w:trHeight w:val="288"/>
        </w:trPr>
        <w:tc>
          <w:tcPr>
            <w:tcW w:w="3681" w:type="dxa"/>
            <w:noWrap/>
            <w:hideMark/>
          </w:tcPr>
          <w:p w14:paraId="573517D1" w14:textId="77777777" w:rsidR="00BE2BE5" w:rsidRPr="00AF11B3" w:rsidRDefault="00BE2BE5" w:rsidP="00083E4D">
            <w:r w:rsidRPr="00AF11B3">
              <w:t>Left rostral middle frontal gyrus</w:t>
            </w:r>
          </w:p>
        </w:tc>
        <w:tc>
          <w:tcPr>
            <w:tcW w:w="1843" w:type="dxa"/>
            <w:noWrap/>
            <w:hideMark/>
          </w:tcPr>
          <w:p w14:paraId="2ADFA470" w14:textId="77777777" w:rsidR="00BE2BE5" w:rsidRPr="00AF11B3" w:rsidRDefault="00BE2BE5" w:rsidP="00083E4D">
            <w:r w:rsidRPr="00AF11B3">
              <w:t>0.025</w:t>
            </w:r>
          </w:p>
        </w:tc>
        <w:tc>
          <w:tcPr>
            <w:tcW w:w="1984" w:type="dxa"/>
          </w:tcPr>
          <w:p w14:paraId="60B42BA9" w14:textId="77777777" w:rsidR="00BE2BE5" w:rsidRPr="00AF11B3" w:rsidRDefault="00BE2BE5" w:rsidP="00083E4D">
            <w:r w:rsidRPr="00AF11B3">
              <w:t>−0.037</w:t>
            </w:r>
          </w:p>
        </w:tc>
      </w:tr>
      <w:tr w:rsidR="00BE2BE5" w:rsidRPr="00AF11B3" w14:paraId="1113AEB4" w14:textId="77777777" w:rsidTr="00083E4D">
        <w:trPr>
          <w:trHeight w:val="288"/>
        </w:trPr>
        <w:tc>
          <w:tcPr>
            <w:tcW w:w="3681" w:type="dxa"/>
            <w:noWrap/>
            <w:hideMark/>
          </w:tcPr>
          <w:p w14:paraId="2B6C0DBA" w14:textId="77777777" w:rsidR="00BE2BE5" w:rsidRPr="00AF11B3" w:rsidRDefault="00BE2BE5" w:rsidP="00083E4D">
            <w:r w:rsidRPr="00AF11B3">
              <w:t>Left superior frontal gyrus</w:t>
            </w:r>
          </w:p>
        </w:tc>
        <w:tc>
          <w:tcPr>
            <w:tcW w:w="1843" w:type="dxa"/>
            <w:noWrap/>
            <w:hideMark/>
          </w:tcPr>
          <w:p w14:paraId="6B5756D5" w14:textId="77777777" w:rsidR="00BE2BE5" w:rsidRPr="00AF11B3" w:rsidRDefault="00BE2BE5" w:rsidP="00083E4D">
            <w:r w:rsidRPr="00AF11B3">
              <w:t>0.052</w:t>
            </w:r>
          </w:p>
        </w:tc>
        <w:tc>
          <w:tcPr>
            <w:tcW w:w="1984" w:type="dxa"/>
          </w:tcPr>
          <w:p w14:paraId="10AB2769" w14:textId="77777777" w:rsidR="00BE2BE5" w:rsidRPr="00AF11B3" w:rsidRDefault="00BE2BE5" w:rsidP="00083E4D">
            <w:r w:rsidRPr="00AF11B3">
              <w:t>−0.066</w:t>
            </w:r>
          </w:p>
        </w:tc>
      </w:tr>
      <w:tr w:rsidR="00BE2BE5" w:rsidRPr="00AF11B3" w14:paraId="704CFA65" w14:textId="77777777" w:rsidTr="00083E4D">
        <w:trPr>
          <w:trHeight w:val="288"/>
        </w:trPr>
        <w:tc>
          <w:tcPr>
            <w:tcW w:w="3681" w:type="dxa"/>
            <w:noWrap/>
            <w:hideMark/>
          </w:tcPr>
          <w:p w14:paraId="3B21F4C6" w14:textId="77777777" w:rsidR="00BE2BE5" w:rsidRPr="00AF11B3" w:rsidRDefault="00BE2BE5" w:rsidP="00083E4D">
            <w:r w:rsidRPr="00AF11B3">
              <w:t>Left superior parietal cortex</w:t>
            </w:r>
          </w:p>
        </w:tc>
        <w:tc>
          <w:tcPr>
            <w:tcW w:w="1843" w:type="dxa"/>
            <w:noWrap/>
            <w:hideMark/>
          </w:tcPr>
          <w:p w14:paraId="20B8316A" w14:textId="77777777" w:rsidR="00BE2BE5" w:rsidRPr="00AF11B3" w:rsidRDefault="00BE2BE5" w:rsidP="00083E4D">
            <w:r w:rsidRPr="00AF11B3">
              <w:t>0.017</w:t>
            </w:r>
          </w:p>
        </w:tc>
        <w:tc>
          <w:tcPr>
            <w:tcW w:w="1984" w:type="dxa"/>
          </w:tcPr>
          <w:p w14:paraId="554C6F0C" w14:textId="77777777" w:rsidR="00BE2BE5" w:rsidRPr="00AF11B3" w:rsidRDefault="00BE2BE5" w:rsidP="00083E4D">
            <w:r w:rsidRPr="00AF11B3">
              <w:t>−0.005</w:t>
            </w:r>
          </w:p>
        </w:tc>
      </w:tr>
      <w:tr w:rsidR="00BE2BE5" w:rsidRPr="00AF11B3" w14:paraId="15E99006" w14:textId="77777777" w:rsidTr="00083E4D">
        <w:trPr>
          <w:trHeight w:val="288"/>
        </w:trPr>
        <w:tc>
          <w:tcPr>
            <w:tcW w:w="3681" w:type="dxa"/>
            <w:noWrap/>
            <w:hideMark/>
          </w:tcPr>
          <w:p w14:paraId="542EE921" w14:textId="77777777" w:rsidR="00BE2BE5" w:rsidRPr="00AF11B3" w:rsidRDefault="00BE2BE5" w:rsidP="00083E4D">
            <w:r w:rsidRPr="00AF11B3">
              <w:t>Left superior temporal gyrus</w:t>
            </w:r>
          </w:p>
        </w:tc>
        <w:tc>
          <w:tcPr>
            <w:tcW w:w="1843" w:type="dxa"/>
            <w:noWrap/>
            <w:hideMark/>
          </w:tcPr>
          <w:p w14:paraId="26B27B52" w14:textId="77777777" w:rsidR="00BE2BE5" w:rsidRPr="00AF11B3" w:rsidRDefault="00BE2BE5" w:rsidP="00083E4D">
            <w:r w:rsidRPr="00AF11B3">
              <w:t>0.011</w:t>
            </w:r>
          </w:p>
        </w:tc>
        <w:tc>
          <w:tcPr>
            <w:tcW w:w="1984" w:type="dxa"/>
          </w:tcPr>
          <w:p w14:paraId="2831B495" w14:textId="77777777" w:rsidR="00BE2BE5" w:rsidRPr="00AF11B3" w:rsidRDefault="00BE2BE5" w:rsidP="00083E4D">
            <w:r w:rsidRPr="00AF11B3">
              <w:t>0.01</w:t>
            </w:r>
          </w:p>
        </w:tc>
      </w:tr>
      <w:tr w:rsidR="00BE2BE5" w:rsidRPr="00AF11B3" w14:paraId="4C696292" w14:textId="77777777" w:rsidTr="00083E4D">
        <w:trPr>
          <w:trHeight w:val="288"/>
        </w:trPr>
        <w:tc>
          <w:tcPr>
            <w:tcW w:w="3681" w:type="dxa"/>
            <w:noWrap/>
            <w:hideMark/>
          </w:tcPr>
          <w:p w14:paraId="3C46EC21" w14:textId="77777777" w:rsidR="00BE2BE5" w:rsidRPr="00AF11B3" w:rsidRDefault="00BE2BE5" w:rsidP="00083E4D">
            <w:r w:rsidRPr="00AF11B3">
              <w:t>Left supramarginal gyrus</w:t>
            </w:r>
          </w:p>
        </w:tc>
        <w:tc>
          <w:tcPr>
            <w:tcW w:w="1843" w:type="dxa"/>
            <w:noWrap/>
            <w:hideMark/>
          </w:tcPr>
          <w:p w14:paraId="07DD7F70" w14:textId="77777777" w:rsidR="00BE2BE5" w:rsidRPr="00AF11B3" w:rsidRDefault="00BE2BE5" w:rsidP="00083E4D">
            <w:r w:rsidRPr="00AF11B3">
              <w:t>0.04</w:t>
            </w:r>
          </w:p>
        </w:tc>
        <w:tc>
          <w:tcPr>
            <w:tcW w:w="1984" w:type="dxa"/>
          </w:tcPr>
          <w:p w14:paraId="576EB02C" w14:textId="77777777" w:rsidR="00BE2BE5" w:rsidRPr="00AF11B3" w:rsidRDefault="00BE2BE5" w:rsidP="00083E4D">
            <w:r w:rsidRPr="00AF11B3">
              <w:t>−0.045</w:t>
            </w:r>
          </w:p>
        </w:tc>
      </w:tr>
      <w:tr w:rsidR="00BE2BE5" w:rsidRPr="00AF11B3" w14:paraId="16E191A5" w14:textId="77777777" w:rsidTr="00083E4D">
        <w:trPr>
          <w:trHeight w:val="288"/>
        </w:trPr>
        <w:tc>
          <w:tcPr>
            <w:tcW w:w="3681" w:type="dxa"/>
            <w:noWrap/>
            <w:hideMark/>
          </w:tcPr>
          <w:p w14:paraId="01F76C09" w14:textId="77777777" w:rsidR="00BE2BE5" w:rsidRPr="00AF11B3" w:rsidRDefault="00BE2BE5" w:rsidP="00083E4D">
            <w:r w:rsidRPr="00AF11B3">
              <w:t>Left temporal pole</w:t>
            </w:r>
          </w:p>
        </w:tc>
        <w:tc>
          <w:tcPr>
            <w:tcW w:w="1843" w:type="dxa"/>
            <w:noWrap/>
            <w:hideMark/>
          </w:tcPr>
          <w:p w14:paraId="0BF84574" w14:textId="77777777" w:rsidR="00BE2BE5" w:rsidRPr="00AF11B3" w:rsidRDefault="00BE2BE5" w:rsidP="00083E4D">
            <w:r w:rsidRPr="00AF11B3">
              <w:t>0.066</w:t>
            </w:r>
          </w:p>
        </w:tc>
        <w:tc>
          <w:tcPr>
            <w:tcW w:w="1984" w:type="dxa"/>
          </w:tcPr>
          <w:p w14:paraId="4E8D1EC0" w14:textId="77777777" w:rsidR="00BE2BE5" w:rsidRPr="00AF11B3" w:rsidRDefault="00BE2BE5" w:rsidP="00083E4D">
            <w:r w:rsidRPr="00AF11B3">
              <w:t>0.01</w:t>
            </w:r>
          </w:p>
        </w:tc>
      </w:tr>
      <w:tr w:rsidR="00BE2BE5" w:rsidRPr="00AF11B3" w14:paraId="0AA8D964" w14:textId="77777777" w:rsidTr="00083E4D">
        <w:trPr>
          <w:trHeight w:val="288"/>
        </w:trPr>
        <w:tc>
          <w:tcPr>
            <w:tcW w:w="3681" w:type="dxa"/>
            <w:noWrap/>
            <w:hideMark/>
          </w:tcPr>
          <w:p w14:paraId="669D32B1" w14:textId="77777777" w:rsidR="00BE2BE5" w:rsidRPr="00AF11B3" w:rsidRDefault="00BE2BE5" w:rsidP="00083E4D">
            <w:r w:rsidRPr="00AF11B3">
              <w:t>Left transverse temporal gyrus</w:t>
            </w:r>
          </w:p>
        </w:tc>
        <w:tc>
          <w:tcPr>
            <w:tcW w:w="1843" w:type="dxa"/>
            <w:noWrap/>
            <w:hideMark/>
          </w:tcPr>
          <w:p w14:paraId="37AEA2A4" w14:textId="77777777" w:rsidR="00BE2BE5" w:rsidRPr="00AF11B3" w:rsidRDefault="00BE2BE5" w:rsidP="00083E4D">
            <w:r w:rsidRPr="00AF11B3">
              <w:t>0.013</w:t>
            </w:r>
          </w:p>
        </w:tc>
        <w:tc>
          <w:tcPr>
            <w:tcW w:w="1984" w:type="dxa"/>
          </w:tcPr>
          <w:p w14:paraId="41A24E76" w14:textId="77777777" w:rsidR="00BE2BE5" w:rsidRPr="00AF11B3" w:rsidRDefault="00BE2BE5" w:rsidP="00083E4D">
            <w:r w:rsidRPr="00AF11B3">
              <w:t>−0.035</w:t>
            </w:r>
          </w:p>
        </w:tc>
      </w:tr>
      <w:tr w:rsidR="00BE2BE5" w:rsidRPr="00AF11B3" w14:paraId="18513859" w14:textId="77777777" w:rsidTr="00083E4D">
        <w:trPr>
          <w:trHeight w:val="288"/>
        </w:trPr>
        <w:tc>
          <w:tcPr>
            <w:tcW w:w="3681" w:type="dxa"/>
            <w:noWrap/>
            <w:hideMark/>
          </w:tcPr>
          <w:p w14:paraId="0AA8809D" w14:textId="77777777" w:rsidR="00BE2BE5" w:rsidRPr="00AF11B3" w:rsidRDefault="00BE2BE5" w:rsidP="00083E4D">
            <w:r w:rsidRPr="00AF11B3">
              <w:t>Right banks superior temporal sulcus</w:t>
            </w:r>
          </w:p>
        </w:tc>
        <w:tc>
          <w:tcPr>
            <w:tcW w:w="1843" w:type="dxa"/>
            <w:noWrap/>
            <w:hideMark/>
          </w:tcPr>
          <w:p w14:paraId="7D5AABBF" w14:textId="77777777" w:rsidR="00BE2BE5" w:rsidRPr="00AF11B3" w:rsidRDefault="00BE2BE5" w:rsidP="00083E4D">
            <w:r w:rsidRPr="00AF11B3">
              <w:t>0.01</w:t>
            </w:r>
          </w:p>
        </w:tc>
        <w:tc>
          <w:tcPr>
            <w:tcW w:w="1984" w:type="dxa"/>
          </w:tcPr>
          <w:p w14:paraId="1A7BBEBE" w14:textId="77777777" w:rsidR="00BE2BE5" w:rsidRPr="00AF11B3" w:rsidRDefault="00BE2BE5" w:rsidP="00083E4D">
            <w:r w:rsidRPr="00AF11B3">
              <w:t>−0.074</w:t>
            </w:r>
          </w:p>
        </w:tc>
      </w:tr>
      <w:tr w:rsidR="00BE2BE5" w:rsidRPr="00AF11B3" w14:paraId="3AF487DA" w14:textId="77777777" w:rsidTr="00083E4D">
        <w:trPr>
          <w:trHeight w:val="288"/>
        </w:trPr>
        <w:tc>
          <w:tcPr>
            <w:tcW w:w="3681" w:type="dxa"/>
            <w:noWrap/>
            <w:hideMark/>
          </w:tcPr>
          <w:p w14:paraId="7EEB6015" w14:textId="77777777" w:rsidR="00BE2BE5" w:rsidRPr="00AF11B3" w:rsidRDefault="00BE2BE5" w:rsidP="00083E4D">
            <w:r w:rsidRPr="00AF11B3">
              <w:t>Right caudal anterior cingulate cortex</w:t>
            </w:r>
          </w:p>
        </w:tc>
        <w:tc>
          <w:tcPr>
            <w:tcW w:w="1843" w:type="dxa"/>
            <w:noWrap/>
            <w:hideMark/>
          </w:tcPr>
          <w:p w14:paraId="26D1F6D9" w14:textId="77777777" w:rsidR="00BE2BE5" w:rsidRPr="00AF11B3" w:rsidRDefault="00BE2BE5" w:rsidP="00083E4D">
            <w:r w:rsidRPr="00AF11B3">
              <w:t>0.011</w:t>
            </w:r>
          </w:p>
        </w:tc>
        <w:tc>
          <w:tcPr>
            <w:tcW w:w="1984" w:type="dxa"/>
          </w:tcPr>
          <w:p w14:paraId="5FF7A7FD" w14:textId="77777777" w:rsidR="00BE2BE5" w:rsidRPr="00AF11B3" w:rsidRDefault="00BE2BE5" w:rsidP="00083E4D">
            <w:r w:rsidRPr="00AF11B3">
              <w:t>−0.080</w:t>
            </w:r>
          </w:p>
        </w:tc>
      </w:tr>
      <w:tr w:rsidR="00BE2BE5" w:rsidRPr="00AF11B3" w14:paraId="7EEBCE0F" w14:textId="77777777" w:rsidTr="00083E4D">
        <w:trPr>
          <w:trHeight w:val="288"/>
        </w:trPr>
        <w:tc>
          <w:tcPr>
            <w:tcW w:w="3681" w:type="dxa"/>
            <w:noWrap/>
            <w:hideMark/>
          </w:tcPr>
          <w:p w14:paraId="520C8219" w14:textId="77777777" w:rsidR="00BE2BE5" w:rsidRPr="00AF11B3" w:rsidRDefault="00BE2BE5" w:rsidP="00083E4D">
            <w:r w:rsidRPr="00AF11B3">
              <w:t>Right caudal middle frontal gyrus</w:t>
            </w:r>
          </w:p>
        </w:tc>
        <w:tc>
          <w:tcPr>
            <w:tcW w:w="1843" w:type="dxa"/>
            <w:noWrap/>
            <w:hideMark/>
          </w:tcPr>
          <w:p w14:paraId="44E7D2FF" w14:textId="77777777" w:rsidR="00BE2BE5" w:rsidRPr="00AF11B3" w:rsidRDefault="00BE2BE5" w:rsidP="00083E4D">
            <w:r w:rsidRPr="00AF11B3">
              <w:t>0.009</w:t>
            </w:r>
          </w:p>
        </w:tc>
        <w:tc>
          <w:tcPr>
            <w:tcW w:w="1984" w:type="dxa"/>
          </w:tcPr>
          <w:p w14:paraId="0C965948" w14:textId="77777777" w:rsidR="00BE2BE5" w:rsidRPr="00AF11B3" w:rsidRDefault="00BE2BE5" w:rsidP="00083E4D">
            <w:r w:rsidRPr="00AF11B3">
              <w:t>0.01</w:t>
            </w:r>
          </w:p>
        </w:tc>
      </w:tr>
      <w:tr w:rsidR="00BE2BE5" w:rsidRPr="00AF11B3" w14:paraId="4FCD8B56" w14:textId="77777777" w:rsidTr="00083E4D">
        <w:trPr>
          <w:trHeight w:val="288"/>
        </w:trPr>
        <w:tc>
          <w:tcPr>
            <w:tcW w:w="3681" w:type="dxa"/>
            <w:noWrap/>
            <w:hideMark/>
          </w:tcPr>
          <w:p w14:paraId="374D0A6A" w14:textId="77777777" w:rsidR="00BE2BE5" w:rsidRPr="00AF11B3" w:rsidRDefault="00BE2BE5" w:rsidP="00083E4D">
            <w:r w:rsidRPr="00AF11B3">
              <w:t>Right cuneus</w:t>
            </w:r>
          </w:p>
        </w:tc>
        <w:tc>
          <w:tcPr>
            <w:tcW w:w="1843" w:type="dxa"/>
            <w:noWrap/>
            <w:hideMark/>
          </w:tcPr>
          <w:p w14:paraId="21954CD1" w14:textId="77777777" w:rsidR="00BE2BE5" w:rsidRPr="00AF11B3" w:rsidRDefault="00BE2BE5" w:rsidP="00083E4D">
            <w:r w:rsidRPr="00AF11B3">
              <w:t>0.058</w:t>
            </w:r>
          </w:p>
        </w:tc>
        <w:tc>
          <w:tcPr>
            <w:tcW w:w="1984" w:type="dxa"/>
          </w:tcPr>
          <w:p w14:paraId="77B0AC43" w14:textId="77777777" w:rsidR="00BE2BE5" w:rsidRPr="00AF11B3" w:rsidRDefault="00BE2BE5" w:rsidP="00083E4D">
            <w:r w:rsidRPr="00AF11B3">
              <w:t>0.05</w:t>
            </w:r>
          </w:p>
        </w:tc>
      </w:tr>
      <w:tr w:rsidR="00BE2BE5" w:rsidRPr="00AF11B3" w14:paraId="42A33AFF" w14:textId="77777777" w:rsidTr="00083E4D">
        <w:trPr>
          <w:trHeight w:val="288"/>
        </w:trPr>
        <w:tc>
          <w:tcPr>
            <w:tcW w:w="3681" w:type="dxa"/>
            <w:noWrap/>
            <w:hideMark/>
          </w:tcPr>
          <w:p w14:paraId="1B674BF8" w14:textId="77777777" w:rsidR="00BE2BE5" w:rsidRPr="00AF11B3" w:rsidRDefault="00BE2BE5" w:rsidP="00083E4D">
            <w:r w:rsidRPr="00AF11B3">
              <w:t>Right entorhinal cortex</w:t>
            </w:r>
          </w:p>
        </w:tc>
        <w:tc>
          <w:tcPr>
            <w:tcW w:w="1843" w:type="dxa"/>
            <w:noWrap/>
            <w:hideMark/>
          </w:tcPr>
          <w:p w14:paraId="64DA27E2" w14:textId="77777777" w:rsidR="00BE2BE5" w:rsidRPr="00AF11B3" w:rsidRDefault="00BE2BE5" w:rsidP="00083E4D">
            <w:r w:rsidRPr="00AF11B3">
              <w:t>0.036</w:t>
            </w:r>
          </w:p>
        </w:tc>
        <w:tc>
          <w:tcPr>
            <w:tcW w:w="1984" w:type="dxa"/>
          </w:tcPr>
          <w:p w14:paraId="2038EB2F" w14:textId="77777777" w:rsidR="00BE2BE5" w:rsidRPr="00AF11B3" w:rsidRDefault="00BE2BE5" w:rsidP="00083E4D">
            <w:r w:rsidRPr="00AF11B3">
              <w:t>−0.055</w:t>
            </w:r>
          </w:p>
        </w:tc>
      </w:tr>
      <w:tr w:rsidR="00BE2BE5" w:rsidRPr="00AF11B3" w14:paraId="056DC9D5" w14:textId="77777777" w:rsidTr="00083E4D">
        <w:trPr>
          <w:trHeight w:val="288"/>
        </w:trPr>
        <w:tc>
          <w:tcPr>
            <w:tcW w:w="3681" w:type="dxa"/>
            <w:noWrap/>
            <w:hideMark/>
          </w:tcPr>
          <w:p w14:paraId="0B1B2913" w14:textId="77777777" w:rsidR="00BE2BE5" w:rsidRPr="00AF11B3" w:rsidRDefault="00BE2BE5" w:rsidP="00083E4D">
            <w:r w:rsidRPr="00AF11B3">
              <w:t>Right frontal pole</w:t>
            </w:r>
          </w:p>
        </w:tc>
        <w:tc>
          <w:tcPr>
            <w:tcW w:w="1843" w:type="dxa"/>
            <w:noWrap/>
            <w:hideMark/>
          </w:tcPr>
          <w:p w14:paraId="2C03689D" w14:textId="77777777" w:rsidR="00BE2BE5" w:rsidRPr="00AF11B3" w:rsidRDefault="00BE2BE5" w:rsidP="00083E4D">
            <w:r w:rsidRPr="00AF11B3">
              <w:t>0.024</w:t>
            </w:r>
          </w:p>
        </w:tc>
        <w:tc>
          <w:tcPr>
            <w:tcW w:w="1984" w:type="dxa"/>
          </w:tcPr>
          <w:p w14:paraId="19D1170B" w14:textId="77777777" w:rsidR="00BE2BE5" w:rsidRPr="00AF11B3" w:rsidRDefault="00BE2BE5" w:rsidP="00083E4D">
            <w:r w:rsidRPr="00AF11B3">
              <w:t>−0.062</w:t>
            </w:r>
          </w:p>
        </w:tc>
      </w:tr>
      <w:tr w:rsidR="00BE2BE5" w:rsidRPr="00AF11B3" w14:paraId="373118A6" w14:textId="77777777" w:rsidTr="00083E4D">
        <w:trPr>
          <w:trHeight w:val="288"/>
        </w:trPr>
        <w:tc>
          <w:tcPr>
            <w:tcW w:w="3681" w:type="dxa"/>
            <w:noWrap/>
            <w:hideMark/>
          </w:tcPr>
          <w:p w14:paraId="5FE492C5" w14:textId="77777777" w:rsidR="00BE2BE5" w:rsidRPr="00AF11B3" w:rsidRDefault="00BE2BE5" w:rsidP="00083E4D">
            <w:r w:rsidRPr="00AF11B3">
              <w:t>Right fusiform gyrus</w:t>
            </w:r>
          </w:p>
        </w:tc>
        <w:tc>
          <w:tcPr>
            <w:tcW w:w="1843" w:type="dxa"/>
            <w:noWrap/>
            <w:hideMark/>
          </w:tcPr>
          <w:p w14:paraId="5EDF77B7" w14:textId="77777777" w:rsidR="00BE2BE5" w:rsidRPr="00AF11B3" w:rsidRDefault="00BE2BE5" w:rsidP="00083E4D">
            <w:r w:rsidRPr="00AF11B3">
              <w:t>-0.034</w:t>
            </w:r>
          </w:p>
        </w:tc>
        <w:tc>
          <w:tcPr>
            <w:tcW w:w="1984" w:type="dxa"/>
          </w:tcPr>
          <w:p w14:paraId="3E0093C1" w14:textId="77777777" w:rsidR="00BE2BE5" w:rsidRPr="00AF11B3" w:rsidRDefault="00BE2BE5" w:rsidP="00083E4D">
            <w:r w:rsidRPr="00AF11B3">
              <w:t>−0.116</w:t>
            </w:r>
          </w:p>
        </w:tc>
      </w:tr>
      <w:tr w:rsidR="00BE2BE5" w:rsidRPr="00AF11B3" w14:paraId="6CD1F0A4" w14:textId="77777777" w:rsidTr="00083E4D">
        <w:trPr>
          <w:trHeight w:val="288"/>
        </w:trPr>
        <w:tc>
          <w:tcPr>
            <w:tcW w:w="3681" w:type="dxa"/>
            <w:noWrap/>
            <w:hideMark/>
          </w:tcPr>
          <w:p w14:paraId="718B615B" w14:textId="77777777" w:rsidR="00BE2BE5" w:rsidRPr="00AF11B3" w:rsidRDefault="00BE2BE5" w:rsidP="00083E4D">
            <w:r w:rsidRPr="00AF11B3">
              <w:t>Right hemisphere total surface area</w:t>
            </w:r>
          </w:p>
        </w:tc>
        <w:tc>
          <w:tcPr>
            <w:tcW w:w="1843" w:type="dxa"/>
            <w:noWrap/>
            <w:hideMark/>
          </w:tcPr>
          <w:p w14:paraId="0B22E416" w14:textId="77777777" w:rsidR="00BE2BE5" w:rsidRPr="00AF11B3" w:rsidRDefault="00BE2BE5" w:rsidP="00083E4D">
            <w:r w:rsidRPr="00AF11B3">
              <w:t>0.007</w:t>
            </w:r>
          </w:p>
        </w:tc>
        <w:tc>
          <w:tcPr>
            <w:tcW w:w="1984" w:type="dxa"/>
          </w:tcPr>
          <w:p w14:paraId="5494D591" w14:textId="77777777" w:rsidR="00BE2BE5" w:rsidRPr="00AF11B3" w:rsidRDefault="00BE2BE5" w:rsidP="00083E4D">
            <w:r w:rsidRPr="00AF11B3">
              <w:t>−0.049</w:t>
            </w:r>
          </w:p>
        </w:tc>
      </w:tr>
      <w:tr w:rsidR="00BE2BE5" w:rsidRPr="00AF11B3" w14:paraId="03759660" w14:textId="77777777" w:rsidTr="00083E4D">
        <w:trPr>
          <w:trHeight w:val="288"/>
        </w:trPr>
        <w:tc>
          <w:tcPr>
            <w:tcW w:w="3681" w:type="dxa"/>
            <w:noWrap/>
            <w:hideMark/>
          </w:tcPr>
          <w:p w14:paraId="4D09C308" w14:textId="77777777" w:rsidR="00BE2BE5" w:rsidRPr="00AF11B3" w:rsidRDefault="00BE2BE5" w:rsidP="00083E4D">
            <w:r w:rsidRPr="00AF11B3">
              <w:t>Right inferior parietal cortex</w:t>
            </w:r>
          </w:p>
        </w:tc>
        <w:tc>
          <w:tcPr>
            <w:tcW w:w="1843" w:type="dxa"/>
            <w:noWrap/>
            <w:hideMark/>
          </w:tcPr>
          <w:p w14:paraId="0A8BE2B3" w14:textId="77777777" w:rsidR="00BE2BE5" w:rsidRPr="00AF11B3" w:rsidRDefault="00BE2BE5" w:rsidP="00083E4D">
            <w:r w:rsidRPr="00AF11B3">
              <w:t>-0.024</w:t>
            </w:r>
          </w:p>
        </w:tc>
        <w:tc>
          <w:tcPr>
            <w:tcW w:w="1984" w:type="dxa"/>
          </w:tcPr>
          <w:p w14:paraId="3384A9DF" w14:textId="77777777" w:rsidR="00BE2BE5" w:rsidRPr="00AF11B3" w:rsidRDefault="00BE2BE5" w:rsidP="00083E4D">
            <w:r w:rsidRPr="00AF11B3">
              <w:t>−0.041</w:t>
            </w:r>
          </w:p>
        </w:tc>
      </w:tr>
      <w:tr w:rsidR="00BE2BE5" w:rsidRPr="00AF11B3" w14:paraId="279FF3BD" w14:textId="77777777" w:rsidTr="00083E4D">
        <w:trPr>
          <w:trHeight w:val="288"/>
        </w:trPr>
        <w:tc>
          <w:tcPr>
            <w:tcW w:w="3681" w:type="dxa"/>
            <w:noWrap/>
            <w:hideMark/>
          </w:tcPr>
          <w:p w14:paraId="5116837E" w14:textId="77777777" w:rsidR="00BE2BE5" w:rsidRPr="00AF11B3" w:rsidRDefault="00BE2BE5" w:rsidP="00083E4D">
            <w:r w:rsidRPr="00AF11B3">
              <w:t>Right inferior temporal gyrus</w:t>
            </w:r>
          </w:p>
        </w:tc>
        <w:tc>
          <w:tcPr>
            <w:tcW w:w="1843" w:type="dxa"/>
            <w:noWrap/>
            <w:hideMark/>
          </w:tcPr>
          <w:p w14:paraId="67BF4F77" w14:textId="77777777" w:rsidR="00BE2BE5" w:rsidRPr="00AF11B3" w:rsidRDefault="00BE2BE5" w:rsidP="00083E4D">
            <w:r w:rsidRPr="00AF11B3">
              <w:t>0.005</w:t>
            </w:r>
          </w:p>
        </w:tc>
        <w:tc>
          <w:tcPr>
            <w:tcW w:w="1984" w:type="dxa"/>
          </w:tcPr>
          <w:p w14:paraId="31586824" w14:textId="77777777" w:rsidR="00BE2BE5" w:rsidRPr="00AF11B3" w:rsidRDefault="00BE2BE5" w:rsidP="00083E4D">
            <w:r w:rsidRPr="00AF11B3">
              <w:t>−0.117</w:t>
            </w:r>
          </w:p>
        </w:tc>
      </w:tr>
      <w:tr w:rsidR="00BE2BE5" w:rsidRPr="00AF11B3" w14:paraId="16CB2318" w14:textId="77777777" w:rsidTr="00083E4D">
        <w:trPr>
          <w:trHeight w:val="288"/>
        </w:trPr>
        <w:tc>
          <w:tcPr>
            <w:tcW w:w="3681" w:type="dxa"/>
            <w:noWrap/>
            <w:hideMark/>
          </w:tcPr>
          <w:p w14:paraId="3E565827" w14:textId="77777777" w:rsidR="00BE2BE5" w:rsidRPr="00AF11B3" w:rsidRDefault="00BE2BE5" w:rsidP="00083E4D">
            <w:r w:rsidRPr="00AF11B3">
              <w:t>Right insula</w:t>
            </w:r>
          </w:p>
        </w:tc>
        <w:tc>
          <w:tcPr>
            <w:tcW w:w="1843" w:type="dxa"/>
            <w:noWrap/>
            <w:hideMark/>
          </w:tcPr>
          <w:p w14:paraId="11809661" w14:textId="77777777" w:rsidR="00BE2BE5" w:rsidRPr="00AF11B3" w:rsidRDefault="00BE2BE5" w:rsidP="00083E4D">
            <w:r w:rsidRPr="00AF11B3">
              <w:t>-0.004</w:t>
            </w:r>
          </w:p>
        </w:tc>
        <w:tc>
          <w:tcPr>
            <w:tcW w:w="1984" w:type="dxa"/>
          </w:tcPr>
          <w:p w14:paraId="0D15C249" w14:textId="77777777" w:rsidR="00BE2BE5" w:rsidRPr="00AF11B3" w:rsidRDefault="00BE2BE5" w:rsidP="00083E4D">
            <w:r w:rsidRPr="00AF11B3">
              <w:t>−0.115</w:t>
            </w:r>
          </w:p>
        </w:tc>
      </w:tr>
      <w:tr w:rsidR="00BE2BE5" w:rsidRPr="00AF11B3" w14:paraId="5F5299F9" w14:textId="77777777" w:rsidTr="00083E4D">
        <w:trPr>
          <w:trHeight w:val="288"/>
        </w:trPr>
        <w:tc>
          <w:tcPr>
            <w:tcW w:w="3681" w:type="dxa"/>
            <w:noWrap/>
            <w:hideMark/>
          </w:tcPr>
          <w:p w14:paraId="0A0E0885" w14:textId="77777777" w:rsidR="00BE2BE5" w:rsidRPr="00AF11B3" w:rsidRDefault="00BE2BE5" w:rsidP="00083E4D">
            <w:r w:rsidRPr="00AF11B3">
              <w:t>Right isthmus cingulate cortex</w:t>
            </w:r>
          </w:p>
        </w:tc>
        <w:tc>
          <w:tcPr>
            <w:tcW w:w="1843" w:type="dxa"/>
            <w:noWrap/>
            <w:hideMark/>
          </w:tcPr>
          <w:p w14:paraId="57697DA7" w14:textId="77777777" w:rsidR="00BE2BE5" w:rsidRPr="00AF11B3" w:rsidRDefault="00BE2BE5" w:rsidP="00083E4D">
            <w:r w:rsidRPr="00AF11B3">
              <w:t>0.04</w:t>
            </w:r>
          </w:p>
        </w:tc>
        <w:tc>
          <w:tcPr>
            <w:tcW w:w="1984" w:type="dxa"/>
          </w:tcPr>
          <w:p w14:paraId="0506575F" w14:textId="77777777" w:rsidR="00BE2BE5" w:rsidRPr="00AF11B3" w:rsidRDefault="00BE2BE5" w:rsidP="00083E4D">
            <w:r w:rsidRPr="00AF11B3">
              <w:t>−0.071</w:t>
            </w:r>
          </w:p>
        </w:tc>
      </w:tr>
      <w:tr w:rsidR="00BE2BE5" w:rsidRPr="00AF11B3" w14:paraId="6C6EB3EB" w14:textId="77777777" w:rsidTr="00083E4D">
        <w:trPr>
          <w:trHeight w:val="288"/>
        </w:trPr>
        <w:tc>
          <w:tcPr>
            <w:tcW w:w="3681" w:type="dxa"/>
            <w:noWrap/>
            <w:hideMark/>
          </w:tcPr>
          <w:p w14:paraId="7EE9C3B7" w14:textId="77777777" w:rsidR="00BE2BE5" w:rsidRPr="00AF11B3" w:rsidRDefault="00BE2BE5" w:rsidP="00083E4D">
            <w:r w:rsidRPr="00AF11B3">
              <w:t>Right lateral occipital cortex</w:t>
            </w:r>
          </w:p>
        </w:tc>
        <w:tc>
          <w:tcPr>
            <w:tcW w:w="1843" w:type="dxa"/>
            <w:noWrap/>
            <w:hideMark/>
          </w:tcPr>
          <w:p w14:paraId="690630A6" w14:textId="77777777" w:rsidR="00BE2BE5" w:rsidRPr="00AF11B3" w:rsidRDefault="00BE2BE5" w:rsidP="00083E4D">
            <w:r w:rsidRPr="00AF11B3">
              <w:t>0.067</w:t>
            </w:r>
          </w:p>
        </w:tc>
        <w:tc>
          <w:tcPr>
            <w:tcW w:w="1984" w:type="dxa"/>
          </w:tcPr>
          <w:p w14:paraId="2D85432C" w14:textId="77777777" w:rsidR="00BE2BE5" w:rsidRPr="00AF11B3" w:rsidRDefault="00BE2BE5" w:rsidP="00083E4D">
            <w:r w:rsidRPr="00AF11B3">
              <w:t>0.01</w:t>
            </w:r>
          </w:p>
        </w:tc>
      </w:tr>
      <w:tr w:rsidR="00BE2BE5" w:rsidRPr="00AF11B3" w14:paraId="3A71B9C6" w14:textId="77777777" w:rsidTr="00083E4D">
        <w:trPr>
          <w:trHeight w:val="288"/>
        </w:trPr>
        <w:tc>
          <w:tcPr>
            <w:tcW w:w="3681" w:type="dxa"/>
            <w:noWrap/>
            <w:hideMark/>
          </w:tcPr>
          <w:p w14:paraId="6DF91C67" w14:textId="77777777" w:rsidR="00BE2BE5" w:rsidRPr="00AF11B3" w:rsidRDefault="00BE2BE5" w:rsidP="00083E4D">
            <w:r w:rsidRPr="00AF11B3">
              <w:t>Right lateral orbitofrontal cortex</w:t>
            </w:r>
          </w:p>
        </w:tc>
        <w:tc>
          <w:tcPr>
            <w:tcW w:w="1843" w:type="dxa"/>
            <w:noWrap/>
            <w:hideMark/>
          </w:tcPr>
          <w:p w14:paraId="08C39A20" w14:textId="77777777" w:rsidR="00BE2BE5" w:rsidRPr="00AF11B3" w:rsidRDefault="00BE2BE5" w:rsidP="00083E4D">
            <w:r w:rsidRPr="00AF11B3">
              <w:t>0.026</w:t>
            </w:r>
          </w:p>
        </w:tc>
        <w:tc>
          <w:tcPr>
            <w:tcW w:w="1984" w:type="dxa"/>
          </w:tcPr>
          <w:p w14:paraId="52FC7718" w14:textId="77777777" w:rsidR="00BE2BE5" w:rsidRPr="00AF11B3" w:rsidRDefault="00BE2BE5" w:rsidP="00083E4D">
            <w:r w:rsidRPr="00AF11B3">
              <w:t>−0.120</w:t>
            </w:r>
          </w:p>
        </w:tc>
      </w:tr>
      <w:tr w:rsidR="00BE2BE5" w:rsidRPr="00AF11B3" w14:paraId="2DC0AA97" w14:textId="77777777" w:rsidTr="00083E4D">
        <w:trPr>
          <w:trHeight w:val="288"/>
        </w:trPr>
        <w:tc>
          <w:tcPr>
            <w:tcW w:w="3681" w:type="dxa"/>
            <w:noWrap/>
            <w:hideMark/>
          </w:tcPr>
          <w:p w14:paraId="37F0A38B" w14:textId="77777777" w:rsidR="00BE2BE5" w:rsidRPr="00AF11B3" w:rsidRDefault="00BE2BE5" w:rsidP="00083E4D">
            <w:r w:rsidRPr="00AF11B3">
              <w:t>Right lingual gyrus</w:t>
            </w:r>
          </w:p>
        </w:tc>
        <w:tc>
          <w:tcPr>
            <w:tcW w:w="1843" w:type="dxa"/>
            <w:noWrap/>
            <w:hideMark/>
          </w:tcPr>
          <w:p w14:paraId="25BED155" w14:textId="77777777" w:rsidR="00BE2BE5" w:rsidRPr="00AF11B3" w:rsidRDefault="00BE2BE5" w:rsidP="00083E4D">
            <w:r w:rsidRPr="00AF11B3">
              <w:t>0.016</w:t>
            </w:r>
          </w:p>
        </w:tc>
        <w:tc>
          <w:tcPr>
            <w:tcW w:w="1984" w:type="dxa"/>
          </w:tcPr>
          <w:p w14:paraId="24716872" w14:textId="77777777" w:rsidR="00BE2BE5" w:rsidRPr="00AF11B3" w:rsidRDefault="00BE2BE5" w:rsidP="00083E4D">
            <w:r w:rsidRPr="00AF11B3">
              <w:t>−0.012</w:t>
            </w:r>
          </w:p>
        </w:tc>
      </w:tr>
      <w:tr w:rsidR="00BE2BE5" w:rsidRPr="00AF11B3" w14:paraId="44D6E467" w14:textId="77777777" w:rsidTr="00083E4D">
        <w:trPr>
          <w:trHeight w:val="288"/>
        </w:trPr>
        <w:tc>
          <w:tcPr>
            <w:tcW w:w="3681" w:type="dxa"/>
            <w:noWrap/>
            <w:hideMark/>
          </w:tcPr>
          <w:p w14:paraId="535D4024" w14:textId="77777777" w:rsidR="00BE2BE5" w:rsidRPr="00AF11B3" w:rsidRDefault="00BE2BE5" w:rsidP="00083E4D">
            <w:r w:rsidRPr="00AF11B3">
              <w:t>Right medial orbitofrontal cortex</w:t>
            </w:r>
          </w:p>
        </w:tc>
        <w:tc>
          <w:tcPr>
            <w:tcW w:w="1843" w:type="dxa"/>
            <w:noWrap/>
            <w:hideMark/>
          </w:tcPr>
          <w:p w14:paraId="3B728463" w14:textId="77777777" w:rsidR="00BE2BE5" w:rsidRPr="00AF11B3" w:rsidRDefault="00BE2BE5" w:rsidP="00083E4D">
            <w:r w:rsidRPr="00AF11B3">
              <w:t>0.027</w:t>
            </w:r>
          </w:p>
        </w:tc>
        <w:tc>
          <w:tcPr>
            <w:tcW w:w="1984" w:type="dxa"/>
          </w:tcPr>
          <w:p w14:paraId="334DA59A" w14:textId="77777777" w:rsidR="00BE2BE5" w:rsidRPr="00AF11B3" w:rsidRDefault="00BE2BE5" w:rsidP="00083E4D">
            <w:r w:rsidRPr="00AF11B3">
              <w:t>−0.131</w:t>
            </w:r>
          </w:p>
        </w:tc>
      </w:tr>
      <w:tr w:rsidR="00BE2BE5" w:rsidRPr="00AF11B3" w14:paraId="4E223F79" w14:textId="77777777" w:rsidTr="00083E4D">
        <w:trPr>
          <w:trHeight w:val="288"/>
        </w:trPr>
        <w:tc>
          <w:tcPr>
            <w:tcW w:w="3681" w:type="dxa"/>
            <w:noWrap/>
            <w:hideMark/>
          </w:tcPr>
          <w:p w14:paraId="03052CFF" w14:textId="77777777" w:rsidR="00BE2BE5" w:rsidRPr="00AF11B3" w:rsidRDefault="00BE2BE5" w:rsidP="00083E4D">
            <w:r w:rsidRPr="00AF11B3">
              <w:t>Right middle temporal gyrus</w:t>
            </w:r>
          </w:p>
        </w:tc>
        <w:tc>
          <w:tcPr>
            <w:tcW w:w="1843" w:type="dxa"/>
            <w:noWrap/>
            <w:hideMark/>
          </w:tcPr>
          <w:p w14:paraId="789BE37D" w14:textId="77777777" w:rsidR="00BE2BE5" w:rsidRPr="00AF11B3" w:rsidRDefault="00BE2BE5" w:rsidP="00083E4D">
            <w:r w:rsidRPr="00AF11B3">
              <w:t>0.027</w:t>
            </w:r>
          </w:p>
        </w:tc>
        <w:tc>
          <w:tcPr>
            <w:tcW w:w="1984" w:type="dxa"/>
          </w:tcPr>
          <w:p w14:paraId="0F731CBD" w14:textId="77777777" w:rsidR="00BE2BE5" w:rsidRPr="00AF11B3" w:rsidRDefault="00BE2BE5" w:rsidP="00083E4D">
            <w:r w:rsidRPr="00AF11B3">
              <w:t>−0.088</w:t>
            </w:r>
          </w:p>
        </w:tc>
      </w:tr>
      <w:tr w:rsidR="00BE2BE5" w:rsidRPr="00AF11B3" w14:paraId="662111F4" w14:textId="77777777" w:rsidTr="00083E4D">
        <w:trPr>
          <w:trHeight w:val="288"/>
        </w:trPr>
        <w:tc>
          <w:tcPr>
            <w:tcW w:w="3681" w:type="dxa"/>
            <w:noWrap/>
            <w:hideMark/>
          </w:tcPr>
          <w:p w14:paraId="12E9E35F" w14:textId="77777777" w:rsidR="00BE2BE5" w:rsidRPr="00AF11B3" w:rsidRDefault="00BE2BE5" w:rsidP="00083E4D">
            <w:r w:rsidRPr="00AF11B3">
              <w:t>Right paracentral lobule</w:t>
            </w:r>
          </w:p>
        </w:tc>
        <w:tc>
          <w:tcPr>
            <w:tcW w:w="1843" w:type="dxa"/>
            <w:noWrap/>
            <w:hideMark/>
          </w:tcPr>
          <w:p w14:paraId="31C461E5" w14:textId="77777777" w:rsidR="00BE2BE5" w:rsidRPr="00AF11B3" w:rsidRDefault="00BE2BE5" w:rsidP="00083E4D">
            <w:r w:rsidRPr="00AF11B3">
              <w:t>0.014</w:t>
            </w:r>
          </w:p>
        </w:tc>
        <w:tc>
          <w:tcPr>
            <w:tcW w:w="1984" w:type="dxa"/>
          </w:tcPr>
          <w:p w14:paraId="55EC5260" w14:textId="77777777" w:rsidR="00BE2BE5" w:rsidRPr="00AF11B3" w:rsidRDefault="00BE2BE5" w:rsidP="00083E4D">
            <w:r w:rsidRPr="00AF11B3">
              <w:t>−0.006</w:t>
            </w:r>
          </w:p>
        </w:tc>
      </w:tr>
      <w:tr w:rsidR="00BE2BE5" w:rsidRPr="00AF11B3" w14:paraId="079C9C74" w14:textId="77777777" w:rsidTr="00083E4D">
        <w:trPr>
          <w:trHeight w:val="288"/>
        </w:trPr>
        <w:tc>
          <w:tcPr>
            <w:tcW w:w="3681" w:type="dxa"/>
            <w:noWrap/>
            <w:hideMark/>
          </w:tcPr>
          <w:p w14:paraId="1DBA98C1" w14:textId="77777777" w:rsidR="00BE2BE5" w:rsidRPr="00AF11B3" w:rsidRDefault="00BE2BE5" w:rsidP="00083E4D">
            <w:r w:rsidRPr="00AF11B3">
              <w:t xml:space="preserve">Right </w:t>
            </w:r>
            <w:proofErr w:type="spellStart"/>
            <w:r w:rsidRPr="00AF11B3">
              <w:t>parahippocampal</w:t>
            </w:r>
            <w:proofErr w:type="spellEnd"/>
            <w:r w:rsidRPr="00AF11B3">
              <w:t xml:space="preserve"> gyrus</w:t>
            </w:r>
          </w:p>
        </w:tc>
        <w:tc>
          <w:tcPr>
            <w:tcW w:w="1843" w:type="dxa"/>
            <w:noWrap/>
            <w:hideMark/>
          </w:tcPr>
          <w:p w14:paraId="1A82F929" w14:textId="77777777" w:rsidR="00BE2BE5" w:rsidRPr="00AF11B3" w:rsidRDefault="00BE2BE5" w:rsidP="00083E4D">
            <w:r w:rsidRPr="00AF11B3">
              <w:t>-0.04</w:t>
            </w:r>
          </w:p>
        </w:tc>
        <w:tc>
          <w:tcPr>
            <w:tcW w:w="1984" w:type="dxa"/>
          </w:tcPr>
          <w:p w14:paraId="2D9D5397" w14:textId="77777777" w:rsidR="00BE2BE5" w:rsidRPr="00AF11B3" w:rsidRDefault="00BE2BE5" w:rsidP="00083E4D">
            <w:r w:rsidRPr="00AF11B3">
              <w:t>−0.061</w:t>
            </w:r>
          </w:p>
        </w:tc>
      </w:tr>
      <w:tr w:rsidR="00BE2BE5" w:rsidRPr="00AF11B3" w14:paraId="4B880B30" w14:textId="77777777" w:rsidTr="00083E4D">
        <w:trPr>
          <w:trHeight w:val="288"/>
        </w:trPr>
        <w:tc>
          <w:tcPr>
            <w:tcW w:w="3681" w:type="dxa"/>
            <w:noWrap/>
            <w:hideMark/>
          </w:tcPr>
          <w:p w14:paraId="1E2AC464" w14:textId="77777777" w:rsidR="00BE2BE5" w:rsidRPr="00AF11B3" w:rsidRDefault="00BE2BE5" w:rsidP="00083E4D">
            <w:r w:rsidRPr="00AF11B3">
              <w:t xml:space="preserve">Right pars </w:t>
            </w:r>
            <w:proofErr w:type="spellStart"/>
            <w:r w:rsidRPr="00AF11B3">
              <w:t>opercularis</w:t>
            </w:r>
            <w:proofErr w:type="spellEnd"/>
          </w:p>
        </w:tc>
        <w:tc>
          <w:tcPr>
            <w:tcW w:w="1843" w:type="dxa"/>
            <w:noWrap/>
            <w:hideMark/>
          </w:tcPr>
          <w:p w14:paraId="69BCF748" w14:textId="77777777" w:rsidR="00BE2BE5" w:rsidRPr="00AF11B3" w:rsidRDefault="00BE2BE5" w:rsidP="00083E4D">
            <w:r w:rsidRPr="00AF11B3">
              <w:t>-0.011</w:t>
            </w:r>
          </w:p>
        </w:tc>
        <w:tc>
          <w:tcPr>
            <w:tcW w:w="1984" w:type="dxa"/>
          </w:tcPr>
          <w:p w14:paraId="116785E3" w14:textId="77777777" w:rsidR="00BE2BE5" w:rsidRPr="00AF11B3" w:rsidRDefault="00BE2BE5" w:rsidP="00083E4D">
            <w:r w:rsidRPr="00AF11B3">
              <w:t>−0.017</w:t>
            </w:r>
          </w:p>
        </w:tc>
      </w:tr>
      <w:tr w:rsidR="00BE2BE5" w:rsidRPr="00AF11B3" w14:paraId="7B75CF85" w14:textId="77777777" w:rsidTr="00083E4D">
        <w:trPr>
          <w:trHeight w:val="288"/>
        </w:trPr>
        <w:tc>
          <w:tcPr>
            <w:tcW w:w="3681" w:type="dxa"/>
            <w:noWrap/>
            <w:hideMark/>
          </w:tcPr>
          <w:p w14:paraId="3D221358" w14:textId="77777777" w:rsidR="00BE2BE5" w:rsidRPr="00AF11B3" w:rsidRDefault="00BE2BE5" w:rsidP="00083E4D">
            <w:r w:rsidRPr="00AF11B3">
              <w:t>Right pars orbitalis</w:t>
            </w:r>
          </w:p>
        </w:tc>
        <w:tc>
          <w:tcPr>
            <w:tcW w:w="1843" w:type="dxa"/>
            <w:noWrap/>
            <w:hideMark/>
          </w:tcPr>
          <w:p w14:paraId="5F4CE7D1" w14:textId="77777777" w:rsidR="00BE2BE5" w:rsidRPr="00AF11B3" w:rsidRDefault="00BE2BE5" w:rsidP="00083E4D">
            <w:r w:rsidRPr="00AF11B3">
              <w:t>0.022</w:t>
            </w:r>
          </w:p>
        </w:tc>
        <w:tc>
          <w:tcPr>
            <w:tcW w:w="1984" w:type="dxa"/>
          </w:tcPr>
          <w:p w14:paraId="24661664" w14:textId="77777777" w:rsidR="00BE2BE5" w:rsidRPr="00AF11B3" w:rsidRDefault="00BE2BE5" w:rsidP="00083E4D">
            <w:r w:rsidRPr="00AF11B3">
              <w:t>−0.070</w:t>
            </w:r>
          </w:p>
        </w:tc>
      </w:tr>
      <w:tr w:rsidR="00BE2BE5" w:rsidRPr="00AF11B3" w14:paraId="5BD289CB" w14:textId="77777777" w:rsidTr="00083E4D">
        <w:trPr>
          <w:trHeight w:val="288"/>
        </w:trPr>
        <w:tc>
          <w:tcPr>
            <w:tcW w:w="3681" w:type="dxa"/>
            <w:noWrap/>
            <w:hideMark/>
          </w:tcPr>
          <w:p w14:paraId="71A70F4F" w14:textId="77777777" w:rsidR="00BE2BE5" w:rsidRPr="00AF11B3" w:rsidRDefault="00BE2BE5" w:rsidP="00083E4D">
            <w:r w:rsidRPr="00AF11B3">
              <w:t>Right pars triangularis</w:t>
            </w:r>
          </w:p>
        </w:tc>
        <w:tc>
          <w:tcPr>
            <w:tcW w:w="1843" w:type="dxa"/>
            <w:noWrap/>
            <w:hideMark/>
          </w:tcPr>
          <w:p w14:paraId="31033C6A" w14:textId="77777777" w:rsidR="00BE2BE5" w:rsidRPr="00AF11B3" w:rsidRDefault="00BE2BE5" w:rsidP="00083E4D">
            <w:r w:rsidRPr="00AF11B3">
              <w:t>-0.012</w:t>
            </w:r>
          </w:p>
        </w:tc>
        <w:tc>
          <w:tcPr>
            <w:tcW w:w="1984" w:type="dxa"/>
          </w:tcPr>
          <w:p w14:paraId="64318BF1" w14:textId="77777777" w:rsidR="00BE2BE5" w:rsidRPr="00AF11B3" w:rsidRDefault="00BE2BE5" w:rsidP="00083E4D">
            <w:r w:rsidRPr="00AF11B3">
              <w:t>−0.031</w:t>
            </w:r>
          </w:p>
        </w:tc>
      </w:tr>
      <w:tr w:rsidR="00BE2BE5" w:rsidRPr="00AF11B3" w14:paraId="580316E8" w14:textId="77777777" w:rsidTr="00083E4D">
        <w:trPr>
          <w:trHeight w:val="288"/>
        </w:trPr>
        <w:tc>
          <w:tcPr>
            <w:tcW w:w="3681" w:type="dxa"/>
            <w:noWrap/>
            <w:hideMark/>
          </w:tcPr>
          <w:p w14:paraId="36FD2A81" w14:textId="77777777" w:rsidR="00BE2BE5" w:rsidRPr="00AF11B3" w:rsidRDefault="00BE2BE5" w:rsidP="00083E4D">
            <w:r w:rsidRPr="00AF11B3">
              <w:t>Right pericalcarine cortex</w:t>
            </w:r>
          </w:p>
        </w:tc>
        <w:tc>
          <w:tcPr>
            <w:tcW w:w="1843" w:type="dxa"/>
            <w:noWrap/>
            <w:hideMark/>
          </w:tcPr>
          <w:p w14:paraId="29547713" w14:textId="77777777" w:rsidR="00BE2BE5" w:rsidRPr="00AF11B3" w:rsidRDefault="00BE2BE5" w:rsidP="00083E4D">
            <w:r w:rsidRPr="00AF11B3">
              <w:t>0.007</w:t>
            </w:r>
          </w:p>
        </w:tc>
        <w:tc>
          <w:tcPr>
            <w:tcW w:w="1984" w:type="dxa"/>
          </w:tcPr>
          <w:p w14:paraId="2868D012" w14:textId="77777777" w:rsidR="00BE2BE5" w:rsidRPr="00AF11B3" w:rsidRDefault="00BE2BE5" w:rsidP="00083E4D">
            <w:r w:rsidRPr="00AF11B3">
              <w:t>0.08</w:t>
            </w:r>
          </w:p>
        </w:tc>
      </w:tr>
      <w:tr w:rsidR="00BE2BE5" w:rsidRPr="00AF11B3" w14:paraId="2C0C16F4" w14:textId="77777777" w:rsidTr="00083E4D">
        <w:trPr>
          <w:trHeight w:val="288"/>
        </w:trPr>
        <w:tc>
          <w:tcPr>
            <w:tcW w:w="3681" w:type="dxa"/>
            <w:noWrap/>
            <w:hideMark/>
          </w:tcPr>
          <w:p w14:paraId="0992B05B" w14:textId="77777777" w:rsidR="00BE2BE5" w:rsidRPr="00AF11B3" w:rsidRDefault="00BE2BE5" w:rsidP="00083E4D">
            <w:r w:rsidRPr="00AF11B3">
              <w:t>Right postcentral gyrus</w:t>
            </w:r>
          </w:p>
        </w:tc>
        <w:tc>
          <w:tcPr>
            <w:tcW w:w="1843" w:type="dxa"/>
            <w:noWrap/>
            <w:hideMark/>
          </w:tcPr>
          <w:p w14:paraId="5B844004" w14:textId="77777777" w:rsidR="00BE2BE5" w:rsidRPr="00AF11B3" w:rsidRDefault="00BE2BE5" w:rsidP="00083E4D">
            <w:r w:rsidRPr="00AF11B3">
              <w:t>0.022</w:t>
            </w:r>
          </w:p>
        </w:tc>
        <w:tc>
          <w:tcPr>
            <w:tcW w:w="1984" w:type="dxa"/>
          </w:tcPr>
          <w:p w14:paraId="7B98B2B0" w14:textId="77777777" w:rsidR="00BE2BE5" w:rsidRPr="00AF11B3" w:rsidRDefault="00BE2BE5" w:rsidP="00083E4D">
            <w:r w:rsidRPr="00AF11B3">
              <w:t>0.03</w:t>
            </w:r>
          </w:p>
        </w:tc>
      </w:tr>
      <w:tr w:rsidR="00BE2BE5" w:rsidRPr="00AF11B3" w14:paraId="18C58E98" w14:textId="77777777" w:rsidTr="00083E4D">
        <w:trPr>
          <w:trHeight w:val="288"/>
        </w:trPr>
        <w:tc>
          <w:tcPr>
            <w:tcW w:w="3681" w:type="dxa"/>
            <w:noWrap/>
            <w:hideMark/>
          </w:tcPr>
          <w:p w14:paraId="66D962C8" w14:textId="77777777" w:rsidR="00BE2BE5" w:rsidRPr="00AF11B3" w:rsidRDefault="00BE2BE5" w:rsidP="00083E4D">
            <w:r w:rsidRPr="00AF11B3">
              <w:t>Right posterior cingulate cortex</w:t>
            </w:r>
          </w:p>
        </w:tc>
        <w:tc>
          <w:tcPr>
            <w:tcW w:w="1843" w:type="dxa"/>
            <w:noWrap/>
            <w:hideMark/>
          </w:tcPr>
          <w:p w14:paraId="3CAF922F" w14:textId="77777777" w:rsidR="00BE2BE5" w:rsidRPr="00AF11B3" w:rsidRDefault="00BE2BE5" w:rsidP="00083E4D">
            <w:r w:rsidRPr="00AF11B3">
              <w:t>0.016</w:t>
            </w:r>
          </w:p>
        </w:tc>
        <w:tc>
          <w:tcPr>
            <w:tcW w:w="1984" w:type="dxa"/>
          </w:tcPr>
          <w:p w14:paraId="3687F4C2" w14:textId="77777777" w:rsidR="00BE2BE5" w:rsidRPr="00AF11B3" w:rsidRDefault="00BE2BE5" w:rsidP="00083E4D">
            <w:r w:rsidRPr="00AF11B3">
              <w:t>−0.093</w:t>
            </w:r>
          </w:p>
        </w:tc>
      </w:tr>
      <w:tr w:rsidR="00BE2BE5" w:rsidRPr="00AF11B3" w14:paraId="08E21E29" w14:textId="77777777" w:rsidTr="00083E4D">
        <w:trPr>
          <w:trHeight w:val="288"/>
        </w:trPr>
        <w:tc>
          <w:tcPr>
            <w:tcW w:w="3681" w:type="dxa"/>
            <w:noWrap/>
            <w:hideMark/>
          </w:tcPr>
          <w:p w14:paraId="6DFC2812" w14:textId="77777777" w:rsidR="00BE2BE5" w:rsidRPr="00AF11B3" w:rsidRDefault="00BE2BE5" w:rsidP="00083E4D">
            <w:r w:rsidRPr="00AF11B3">
              <w:t>Right precentral gyrus</w:t>
            </w:r>
          </w:p>
        </w:tc>
        <w:tc>
          <w:tcPr>
            <w:tcW w:w="1843" w:type="dxa"/>
            <w:noWrap/>
            <w:hideMark/>
          </w:tcPr>
          <w:p w14:paraId="7D9A25FC" w14:textId="77777777" w:rsidR="00BE2BE5" w:rsidRPr="00AF11B3" w:rsidRDefault="00BE2BE5" w:rsidP="00083E4D">
            <w:r w:rsidRPr="00AF11B3">
              <w:t>0.009</w:t>
            </w:r>
          </w:p>
        </w:tc>
        <w:tc>
          <w:tcPr>
            <w:tcW w:w="1984" w:type="dxa"/>
          </w:tcPr>
          <w:p w14:paraId="1DB020AC" w14:textId="77777777" w:rsidR="00BE2BE5" w:rsidRPr="00AF11B3" w:rsidRDefault="00BE2BE5" w:rsidP="00083E4D">
            <w:r w:rsidRPr="00AF11B3">
              <w:t>−0.022</w:t>
            </w:r>
          </w:p>
        </w:tc>
      </w:tr>
      <w:tr w:rsidR="00BE2BE5" w:rsidRPr="00AF11B3" w14:paraId="164C9733" w14:textId="77777777" w:rsidTr="00083E4D">
        <w:trPr>
          <w:trHeight w:val="288"/>
        </w:trPr>
        <w:tc>
          <w:tcPr>
            <w:tcW w:w="3681" w:type="dxa"/>
            <w:noWrap/>
            <w:hideMark/>
          </w:tcPr>
          <w:p w14:paraId="65ABBCCB" w14:textId="77777777" w:rsidR="00BE2BE5" w:rsidRPr="00AF11B3" w:rsidRDefault="00BE2BE5" w:rsidP="00083E4D">
            <w:r w:rsidRPr="00AF11B3">
              <w:lastRenderedPageBreak/>
              <w:t xml:space="preserve">Right </w:t>
            </w:r>
            <w:proofErr w:type="spellStart"/>
            <w:r w:rsidRPr="00AF11B3">
              <w:t>precuneus</w:t>
            </w:r>
            <w:proofErr w:type="spellEnd"/>
          </w:p>
        </w:tc>
        <w:tc>
          <w:tcPr>
            <w:tcW w:w="1843" w:type="dxa"/>
            <w:noWrap/>
            <w:hideMark/>
          </w:tcPr>
          <w:p w14:paraId="0876B6E7" w14:textId="77777777" w:rsidR="00BE2BE5" w:rsidRPr="00AF11B3" w:rsidRDefault="00BE2BE5" w:rsidP="00083E4D">
            <w:r w:rsidRPr="00AF11B3">
              <w:t>0.006</w:t>
            </w:r>
          </w:p>
        </w:tc>
        <w:tc>
          <w:tcPr>
            <w:tcW w:w="1984" w:type="dxa"/>
          </w:tcPr>
          <w:p w14:paraId="4D5378C2" w14:textId="77777777" w:rsidR="00BE2BE5" w:rsidRPr="00AF11B3" w:rsidRDefault="00BE2BE5" w:rsidP="00083E4D">
            <w:r w:rsidRPr="00AF11B3">
              <w:t>0.01</w:t>
            </w:r>
          </w:p>
        </w:tc>
      </w:tr>
      <w:tr w:rsidR="00BE2BE5" w:rsidRPr="00AF11B3" w14:paraId="6EFCECD0" w14:textId="77777777" w:rsidTr="00083E4D">
        <w:trPr>
          <w:trHeight w:val="288"/>
        </w:trPr>
        <w:tc>
          <w:tcPr>
            <w:tcW w:w="3681" w:type="dxa"/>
            <w:noWrap/>
            <w:hideMark/>
          </w:tcPr>
          <w:p w14:paraId="13514883" w14:textId="77777777" w:rsidR="00BE2BE5" w:rsidRPr="00AF11B3" w:rsidRDefault="00BE2BE5" w:rsidP="00083E4D">
            <w:r w:rsidRPr="00AF11B3">
              <w:t>Right rostral anterior cingulate cortex</w:t>
            </w:r>
          </w:p>
        </w:tc>
        <w:tc>
          <w:tcPr>
            <w:tcW w:w="1843" w:type="dxa"/>
            <w:noWrap/>
            <w:hideMark/>
          </w:tcPr>
          <w:p w14:paraId="305779EB" w14:textId="77777777" w:rsidR="00BE2BE5" w:rsidRPr="00AF11B3" w:rsidRDefault="00BE2BE5" w:rsidP="00083E4D">
            <w:r w:rsidRPr="00AF11B3">
              <w:t>0.029</w:t>
            </w:r>
          </w:p>
        </w:tc>
        <w:tc>
          <w:tcPr>
            <w:tcW w:w="1984" w:type="dxa"/>
          </w:tcPr>
          <w:p w14:paraId="26ED0C48" w14:textId="77777777" w:rsidR="00BE2BE5" w:rsidRPr="00AF11B3" w:rsidRDefault="00BE2BE5" w:rsidP="00083E4D">
            <w:r w:rsidRPr="00AF11B3">
              <w:t>−0.098</w:t>
            </w:r>
          </w:p>
        </w:tc>
      </w:tr>
      <w:tr w:rsidR="00BE2BE5" w:rsidRPr="00AF11B3" w14:paraId="2AF93C26" w14:textId="77777777" w:rsidTr="00083E4D">
        <w:trPr>
          <w:trHeight w:val="288"/>
        </w:trPr>
        <w:tc>
          <w:tcPr>
            <w:tcW w:w="3681" w:type="dxa"/>
            <w:noWrap/>
            <w:hideMark/>
          </w:tcPr>
          <w:p w14:paraId="7815CC6A" w14:textId="77777777" w:rsidR="00BE2BE5" w:rsidRPr="00AF11B3" w:rsidRDefault="00BE2BE5" w:rsidP="00083E4D">
            <w:r w:rsidRPr="00AF11B3">
              <w:t>Right rostral middle frontal gyrus</w:t>
            </w:r>
          </w:p>
        </w:tc>
        <w:tc>
          <w:tcPr>
            <w:tcW w:w="1843" w:type="dxa"/>
            <w:noWrap/>
            <w:hideMark/>
          </w:tcPr>
          <w:p w14:paraId="774FEB3A" w14:textId="77777777" w:rsidR="00BE2BE5" w:rsidRPr="00AF11B3" w:rsidRDefault="00BE2BE5" w:rsidP="00083E4D">
            <w:r w:rsidRPr="00AF11B3">
              <w:t>0.054</w:t>
            </w:r>
          </w:p>
        </w:tc>
        <w:tc>
          <w:tcPr>
            <w:tcW w:w="1984" w:type="dxa"/>
          </w:tcPr>
          <w:p w14:paraId="4FFFFF7D" w14:textId="77777777" w:rsidR="00BE2BE5" w:rsidRPr="00AF11B3" w:rsidRDefault="00BE2BE5" w:rsidP="00083E4D">
            <w:r w:rsidRPr="00AF11B3">
              <w:t>−0.038</w:t>
            </w:r>
          </w:p>
        </w:tc>
      </w:tr>
      <w:tr w:rsidR="00BE2BE5" w:rsidRPr="00AF11B3" w14:paraId="7C18BA22" w14:textId="77777777" w:rsidTr="00083E4D">
        <w:trPr>
          <w:trHeight w:val="288"/>
        </w:trPr>
        <w:tc>
          <w:tcPr>
            <w:tcW w:w="3681" w:type="dxa"/>
            <w:noWrap/>
            <w:hideMark/>
          </w:tcPr>
          <w:p w14:paraId="36853A33" w14:textId="77777777" w:rsidR="00BE2BE5" w:rsidRPr="00AF11B3" w:rsidRDefault="00BE2BE5" w:rsidP="00083E4D">
            <w:r w:rsidRPr="00AF11B3">
              <w:t>Right superior frontal gyrus</w:t>
            </w:r>
          </w:p>
        </w:tc>
        <w:tc>
          <w:tcPr>
            <w:tcW w:w="1843" w:type="dxa"/>
            <w:noWrap/>
            <w:hideMark/>
          </w:tcPr>
          <w:p w14:paraId="30167971" w14:textId="77777777" w:rsidR="00BE2BE5" w:rsidRPr="00AF11B3" w:rsidRDefault="00BE2BE5" w:rsidP="00083E4D">
            <w:r w:rsidRPr="00AF11B3">
              <w:t>0.028</w:t>
            </w:r>
          </w:p>
        </w:tc>
        <w:tc>
          <w:tcPr>
            <w:tcW w:w="1984" w:type="dxa"/>
          </w:tcPr>
          <w:p w14:paraId="693D9F64" w14:textId="77777777" w:rsidR="00BE2BE5" w:rsidRPr="00AF11B3" w:rsidRDefault="00BE2BE5" w:rsidP="00083E4D">
            <w:r w:rsidRPr="00AF11B3">
              <w:t>−0.078</w:t>
            </w:r>
          </w:p>
        </w:tc>
      </w:tr>
      <w:tr w:rsidR="00BE2BE5" w:rsidRPr="00AF11B3" w14:paraId="59E8A5F1" w14:textId="77777777" w:rsidTr="00083E4D">
        <w:trPr>
          <w:trHeight w:val="288"/>
        </w:trPr>
        <w:tc>
          <w:tcPr>
            <w:tcW w:w="3681" w:type="dxa"/>
            <w:noWrap/>
            <w:hideMark/>
          </w:tcPr>
          <w:p w14:paraId="5BA99F63" w14:textId="77777777" w:rsidR="00BE2BE5" w:rsidRPr="00AF11B3" w:rsidRDefault="00BE2BE5" w:rsidP="00083E4D">
            <w:r w:rsidRPr="00AF11B3">
              <w:t>Right superior parietal cortex</w:t>
            </w:r>
          </w:p>
        </w:tc>
        <w:tc>
          <w:tcPr>
            <w:tcW w:w="1843" w:type="dxa"/>
            <w:noWrap/>
            <w:hideMark/>
          </w:tcPr>
          <w:p w14:paraId="15548EAE" w14:textId="77777777" w:rsidR="00BE2BE5" w:rsidRPr="00AF11B3" w:rsidRDefault="00BE2BE5" w:rsidP="00083E4D">
            <w:r w:rsidRPr="00AF11B3">
              <w:t>-0.008</w:t>
            </w:r>
          </w:p>
        </w:tc>
        <w:tc>
          <w:tcPr>
            <w:tcW w:w="1984" w:type="dxa"/>
          </w:tcPr>
          <w:p w14:paraId="67F26A65" w14:textId="77777777" w:rsidR="00BE2BE5" w:rsidRPr="00AF11B3" w:rsidRDefault="00BE2BE5" w:rsidP="00083E4D">
            <w:r w:rsidRPr="00AF11B3">
              <w:t>0.03</w:t>
            </w:r>
          </w:p>
        </w:tc>
      </w:tr>
      <w:tr w:rsidR="00BE2BE5" w:rsidRPr="00AF11B3" w14:paraId="0586D7D3" w14:textId="77777777" w:rsidTr="00083E4D">
        <w:trPr>
          <w:trHeight w:val="288"/>
        </w:trPr>
        <w:tc>
          <w:tcPr>
            <w:tcW w:w="3681" w:type="dxa"/>
            <w:noWrap/>
            <w:hideMark/>
          </w:tcPr>
          <w:p w14:paraId="4D32F50D" w14:textId="77777777" w:rsidR="00BE2BE5" w:rsidRPr="00AF11B3" w:rsidRDefault="00BE2BE5" w:rsidP="00083E4D">
            <w:r w:rsidRPr="00AF11B3">
              <w:t>Right superior temporal gyrus</w:t>
            </w:r>
          </w:p>
        </w:tc>
        <w:tc>
          <w:tcPr>
            <w:tcW w:w="1843" w:type="dxa"/>
            <w:noWrap/>
            <w:hideMark/>
          </w:tcPr>
          <w:p w14:paraId="36EFE025" w14:textId="77777777" w:rsidR="00BE2BE5" w:rsidRPr="00AF11B3" w:rsidRDefault="00BE2BE5" w:rsidP="00083E4D">
            <w:r w:rsidRPr="00AF11B3">
              <w:t>0.029</w:t>
            </w:r>
          </w:p>
        </w:tc>
        <w:tc>
          <w:tcPr>
            <w:tcW w:w="1984" w:type="dxa"/>
          </w:tcPr>
          <w:p w14:paraId="2B76BEEA" w14:textId="77777777" w:rsidR="00BE2BE5" w:rsidRPr="00AF11B3" w:rsidRDefault="00BE2BE5" w:rsidP="00083E4D">
            <w:r w:rsidRPr="00AF11B3">
              <w:t>−0.031</w:t>
            </w:r>
          </w:p>
        </w:tc>
      </w:tr>
      <w:tr w:rsidR="00BE2BE5" w:rsidRPr="00AF11B3" w14:paraId="282D419D" w14:textId="77777777" w:rsidTr="00083E4D">
        <w:trPr>
          <w:trHeight w:val="288"/>
        </w:trPr>
        <w:tc>
          <w:tcPr>
            <w:tcW w:w="3681" w:type="dxa"/>
            <w:noWrap/>
            <w:hideMark/>
          </w:tcPr>
          <w:p w14:paraId="211271B3" w14:textId="77777777" w:rsidR="00BE2BE5" w:rsidRPr="00AF11B3" w:rsidRDefault="00BE2BE5" w:rsidP="00083E4D">
            <w:r w:rsidRPr="00AF11B3">
              <w:t>Right supramarginal gyrus</w:t>
            </w:r>
          </w:p>
        </w:tc>
        <w:tc>
          <w:tcPr>
            <w:tcW w:w="1843" w:type="dxa"/>
            <w:noWrap/>
            <w:hideMark/>
          </w:tcPr>
          <w:p w14:paraId="5BA0B4C5" w14:textId="77777777" w:rsidR="00BE2BE5" w:rsidRPr="00AF11B3" w:rsidRDefault="00BE2BE5" w:rsidP="00083E4D">
            <w:r w:rsidRPr="00AF11B3">
              <w:t>0.004</w:t>
            </w:r>
          </w:p>
        </w:tc>
        <w:tc>
          <w:tcPr>
            <w:tcW w:w="1984" w:type="dxa"/>
          </w:tcPr>
          <w:p w14:paraId="3F43D41D" w14:textId="77777777" w:rsidR="00BE2BE5" w:rsidRPr="00AF11B3" w:rsidRDefault="00BE2BE5" w:rsidP="00083E4D">
            <w:r w:rsidRPr="00AF11B3">
              <w:t>−0.053</w:t>
            </w:r>
          </w:p>
        </w:tc>
      </w:tr>
      <w:tr w:rsidR="00BE2BE5" w:rsidRPr="00AF11B3" w14:paraId="7C5F644A" w14:textId="77777777" w:rsidTr="00083E4D">
        <w:trPr>
          <w:trHeight w:val="288"/>
        </w:trPr>
        <w:tc>
          <w:tcPr>
            <w:tcW w:w="3681" w:type="dxa"/>
            <w:noWrap/>
            <w:hideMark/>
          </w:tcPr>
          <w:p w14:paraId="6B3AFF25" w14:textId="77777777" w:rsidR="00BE2BE5" w:rsidRPr="00AF11B3" w:rsidRDefault="00BE2BE5" w:rsidP="00083E4D">
            <w:r w:rsidRPr="00AF11B3">
              <w:t>Right temporal pole</w:t>
            </w:r>
          </w:p>
        </w:tc>
        <w:tc>
          <w:tcPr>
            <w:tcW w:w="1843" w:type="dxa"/>
            <w:noWrap/>
            <w:hideMark/>
          </w:tcPr>
          <w:p w14:paraId="515B29D9" w14:textId="77777777" w:rsidR="00BE2BE5" w:rsidRPr="00AF11B3" w:rsidRDefault="00BE2BE5" w:rsidP="00083E4D">
            <w:r w:rsidRPr="00AF11B3">
              <w:t>0.051</w:t>
            </w:r>
          </w:p>
        </w:tc>
        <w:tc>
          <w:tcPr>
            <w:tcW w:w="1984" w:type="dxa"/>
          </w:tcPr>
          <w:p w14:paraId="316149F7" w14:textId="77777777" w:rsidR="00BE2BE5" w:rsidRPr="00AF11B3" w:rsidRDefault="00BE2BE5" w:rsidP="00083E4D">
            <w:r w:rsidRPr="00AF11B3">
              <w:t>0.01</w:t>
            </w:r>
          </w:p>
        </w:tc>
      </w:tr>
      <w:tr w:rsidR="00BE2BE5" w:rsidRPr="00AF11B3" w14:paraId="5CD92924" w14:textId="77777777" w:rsidTr="00083E4D">
        <w:trPr>
          <w:trHeight w:val="288"/>
        </w:trPr>
        <w:tc>
          <w:tcPr>
            <w:tcW w:w="3681" w:type="dxa"/>
            <w:noWrap/>
            <w:hideMark/>
          </w:tcPr>
          <w:p w14:paraId="729769BC" w14:textId="77777777" w:rsidR="00BE2BE5" w:rsidRPr="00AF11B3" w:rsidRDefault="00BE2BE5" w:rsidP="00083E4D">
            <w:r w:rsidRPr="00AF11B3">
              <w:t>Right transverse temporal gyrus</w:t>
            </w:r>
          </w:p>
        </w:tc>
        <w:tc>
          <w:tcPr>
            <w:tcW w:w="1843" w:type="dxa"/>
            <w:noWrap/>
            <w:hideMark/>
          </w:tcPr>
          <w:p w14:paraId="35C03F11" w14:textId="77777777" w:rsidR="00BE2BE5" w:rsidRPr="00AF11B3" w:rsidRDefault="00BE2BE5" w:rsidP="00083E4D">
            <w:r w:rsidRPr="00AF11B3">
              <w:t>-0.021</w:t>
            </w:r>
          </w:p>
        </w:tc>
        <w:tc>
          <w:tcPr>
            <w:tcW w:w="1984" w:type="dxa"/>
          </w:tcPr>
          <w:p w14:paraId="2B404D10" w14:textId="77777777" w:rsidR="00BE2BE5" w:rsidRPr="00AF11B3" w:rsidRDefault="00BE2BE5" w:rsidP="00083E4D">
            <w:r w:rsidRPr="00AF11B3">
              <w:t>−0.051</w:t>
            </w:r>
          </w:p>
        </w:tc>
      </w:tr>
    </w:tbl>
    <w:p w14:paraId="120C2B1D" w14:textId="2576CBC3" w:rsidR="00BE2BE5" w:rsidRDefault="00BE2BE5" w:rsidP="00BE2BE5">
      <w:r>
        <w:rPr>
          <w:b/>
          <w:bCs/>
        </w:rPr>
        <w:t xml:space="preserve">Table S3. </w:t>
      </w:r>
      <w:r w:rsidRPr="00C811D9">
        <w:t xml:space="preserve">Tracts of interest listed in van </w:t>
      </w:r>
      <w:proofErr w:type="spellStart"/>
      <w:r w:rsidRPr="00C811D9">
        <w:t>Velzen</w:t>
      </w:r>
      <w:proofErr w:type="spellEnd"/>
      <w:r w:rsidRPr="00C811D9">
        <w:t xml:space="preserve"> et al</w:t>
      </w:r>
      <w:r>
        <w:t xml:space="preserve"> </w:t>
      </w:r>
      <w:r w:rsidR="00946200">
        <w:t>[12]</w:t>
      </w:r>
      <w:r>
        <w:t>. Regions that match with ABCD and are used for the analyses are highlighted in yellow.</w:t>
      </w:r>
    </w:p>
    <w:p w14:paraId="77DEB3A0" w14:textId="77777777" w:rsidR="00BE2BE5" w:rsidRDefault="00BE2BE5" w:rsidP="00BE2BE5">
      <w:pPr>
        <w:spacing w:line="276" w:lineRule="auto"/>
        <w:rPr>
          <w:b/>
          <w:bCs/>
        </w:rPr>
      </w:pPr>
    </w:p>
    <w:tbl>
      <w:tblPr>
        <w:tblW w:w="0" w:type="auto"/>
        <w:tblCellMar>
          <w:top w:w="15" w:type="dxa"/>
          <w:left w:w="15" w:type="dxa"/>
          <w:bottom w:w="15" w:type="dxa"/>
          <w:right w:w="15" w:type="dxa"/>
        </w:tblCellMar>
        <w:tblLook w:val="04A0" w:firstRow="1" w:lastRow="0" w:firstColumn="1" w:lastColumn="0" w:noHBand="0" w:noVBand="1"/>
      </w:tblPr>
      <w:tblGrid>
        <w:gridCol w:w="2095"/>
        <w:gridCol w:w="4018"/>
      </w:tblGrid>
      <w:tr w:rsidR="00BE2BE5" w:rsidRPr="00C811D9" w14:paraId="35E4D1D9" w14:textId="77777777" w:rsidTr="00083E4D">
        <w:trPr>
          <w:trHeight w:val="271"/>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359DF4E4" w14:textId="77777777" w:rsidR="00BE2BE5" w:rsidRPr="00C811D9" w:rsidRDefault="00BE2BE5" w:rsidP="00083E4D">
            <w:pPr>
              <w:rPr>
                <w:rFonts w:cstheme="minorHAnsi"/>
                <w:b/>
                <w:bCs/>
                <w:lang w:val="en-US"/>
              </w:rPr>
            </w:pPr>
            <w:r w:rsidRPr="00C811D9">
              <w:rPr>
                <w:rFonts w:cstheme="minorHAnsi"/>
                <w:b/>
                <w:bCs/>
                <w:color w:val="000000"/>
                <w:lang w:val="en-US"/>
              </w:rPr>
              <w:t>Abbreviation</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07C89ABC" w14:textId="77777777" w:rsidR="00BE2BE5" w:rsidRPr="00C811D9" w:rsidRDefault="00BE2BE5" w:rsidP="00083E4D">
            <w:pPr>
              <w:rPr>
                <w:rFonts w:cstheme="minorHAnsi"/>
                <w:b/>
                <w:bCs/>
                <w:lang w:val="en-US"/>
              </w:rPr>
            </w:pPr>
            <w:r w:rsidRPr="00C811D9">
              <w:rPr>
                <w:rFonts w:cstheme="minorHAnsi"/>
                <w:b/>
                <w:bCs/>
                <w:color w:val="000000"/>
                <w:lang w:val="en-US"/>
              </w:rPr>
              <w:t>Full tract name</w:t>
            </w:r>
          </w:p>
        </w:tc>
      </w:tr>
      <w:tr w:rsidR="00BE2BE5" w:rsidRPr="00C811D9" w14:paraId="590654AB" w14:textId="77777777" w:rsidTr="00083E4D">
        <w:trPr>
          <w:trHeight w:val="283"/>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26534A79" w14:textId="77777777" w:rsidR="00BE2BE5" w:rsidRPr="00C811D9" w:rsidRDefault="00BE2BE5" w:rsidP="00083E4D">
            <w:pPr>
              <w:rPr>
                <w:rFonts w:cstheme="minorHAnsi"/>
                <w:lang w:val="en-US"/>
              </w:rPr>
            </w:pPr>
            <w:proofErr w:type="spellStart"/>
            <w:r w:rsidRPr="00C811D9">
              <w:rPr>
                <w:rFonts w:cstheme="minorHAnsi"/>
                <w:color w:val="000000"/>
                <w:lang w:val="en-US"/>
              </w:rPr>
              <w:t>AverageFA</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20" w:type="dxa"/>
              <w:bottom w:w="100" w:type="dxa"/>
              <w:right w:w="120" w:type="dxa"/>
            </w:tcMar>
            <w:hideMark/>
          </w:tcPr>
          <w:p w14:paraId="645CD939" w14:textId="77777777" w:rsidR="00BE2BE5" w:rsidRPr="00C811D9" w:rsidRDefault="00BE2BE5" w:rsidP="00083E4D">
            <w:pPr>
              <w:rPr>
                <w:rFonts w:cstheme="minorHAnsi"/>
                <w:lang w:val="en-US"/>
              </w:rPr>
            </w:pPr>
            <w:r w:rsidRPr="00C811D9">
              <w:rPr>
                <w:rFonts w:cstheme="minorHAnsi"/>
                <w:color w:val="000000"/>
                <w:lang w:val="en-US"/>
              </w:rPr>
              <w:t>Full skeleton average FA</w:t>
            </w:r>
          </w:p>
        </w:tc>
      </w:tr>
      <w:tr w:rsidR="00BE2BE5" w:rsidRPr="00C811D9" w14:paraId="188F24BD" w14:textId="77777777" w:rsidTr="00083E4D">
        <w:trPr>
          <w:trHeight w:val="283"/>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62EB12B7" w14:textId="77777777" w:rsidR="00BE2BE5" w:rsidRPr="00C811D9" w:rsidRDefault="00BE2BE5" w:rsidP="00083E4D">
            <w:pPr>
              <w:rPr>
                <w:rFonts w:cstheme="minorHAnsi"/>
                <w:lang w:val="en-US"/>
              </w:rPr>
            </w:pPr>
            <w:r w:rsidRPr="00C811D9">
              <w:rPr>
                <w:rFonts w:cstheme="minorHAnsi"/>
                <w:color w:val="000000"/>
                <w:lang w:val="en-US"/>
              </w:rPr>
              <w:t>ACR (L+R)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hideMark/>
          </w:tcPr>
          <w:p w14:paraId="6F39D437" w14:textId="77777777" w:rsidR="00BE2BE5" w:rsidRPr="00C811D9" w:rsidRDefault="00BE2BE5" w:rsidP="00083E4D">
            <w:pPr>
              <w:rPr>
                <w:rFonts w:cstheme="minorHAnsi"/>
                <w:lang w:val="en-US"/>
              </w:rPr>
            </w:pPr>
            <w:r w:rsidRPr="00C811D9">
              <w:rPr>
                <w:rFonts w:cstheme="minorHAnsi"/>
                <w:lang w:val="en-US"/>
              </w:rPr>
              <w:t>Anterior corona radiata</w:t>
            </w:r>
          </w:p>
        </w:tc>
      </w:tr>
      <w:tr w:rsidR="00BE2BE5" w:rsidRPr="00C811D9" w14:paraId="49D0F29D" w14:textId="77777777" w:rsidTr="00083E4D">
        <w:trPr>
          <w:trHeight w:val="283"/>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468129B9" w14:textId="77777777" w:rsidR="00BE2BE5" w:rsidRPr="00C811D9" w:rsidRDefault="00BE2BE5" w:rsidP="00083E4D">
            <w:pPr>
              <w:rPr>
                <w:rFonts w:cstheme="minorHAnsi"/>
                <w:lang w:val="en-US"/>
              </w:rPr>
            </w:pPr>
            <w:r w:rsidRPr="00C811D9">
              <w:rPr>
                <w:rFonts w:cstheme="minorHAnsi"/>
                <w:color w:val="000000"/>
                <w:lang w:val="en-US"/>
              </w:rPr>
              <w:t>ALIC (L+R)</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20" w:type="dxa"/>
              <w:bottom w:w="100" w:type="dxa"/>
              <w:right w:w="120" w:type="dxa"/>
            </w:tcMar>
            <w:hideMark/>
          </w:tcPr>
          <w:p w14:paraId="642A677C" w14:textId="77777777" w:rsidR="00BE2BE5" w:rsidRPr="00C811D9" w:rsidRDefault="00BE2BE5" w:rsidP="00083E4D">
            <w:pPr>
              <w:rPr>
                <w:rFonts w:cstheme="minorHAnsi"/>
                <w:lang w:val="en-US"/>
              </w:rPr>
            </w:pPr>
            <w:r w:rsidRPr="00C811D9">
              <w:rPr>
                <w:rFonts w:cstheme="minorHAnsi"/>
                <w:color w:val="000000"/>
                <w:lang w:val="en-US"/>
              </w:rPr>
              <w:t>Anterior limb of internal capsule</w:t>
            </w:r>
          </w:p>
        </w:tc>
      </w:tr>
      <w:tr w:rsidR="00BE2BE5" w:rsidRPr="00C811D9" w14:paraId="6BF33805" w14:textId="77777777" w:rsidTr="00083E4D">
        <w:trPr>
          <w:trHeight w:val="283"/>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6FF84075" w14:textId="77777777" w:rsidR="00BE2BE5" w:rsidRPr="00C811D9" w:rsidRDefault="00BE2BE5" w:rsidP="00083E4D">
            <w:pPr>
              <w:rPr>
                <w:rFonts w:cstheme="minorHAnsi"/>
                <w:lang w:val="en-US"/>
              </w:rPr>
            </w:pPr>
            <w:r w:rsidRPr="00C811D9">
              <w:rPr>
                <w:rFonts w:cstheme="minorHAnsi"/>
                <w:color w:val="000000"/>
                <w:lang w:val="en-US"/>
              </w:rPr>
              <w:t>BCC</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hideMark/>
          </w:tcPr>
          <w:p w14:paraId="21CDB706" w14:textId="77777777" w:rsidR="00BE2BE5" w:rsidRPr="00C811D9" w:rsidRDefault="00BE2BE5" w:rsidP="00083E4D">
            <w:pPr>
              <w:rPr>
                <w:rFonts w:cstheme="minorHAnsi"/>
                <w:lang w:val="en-US"/>
              </w:rPr>
            </w:pPr>
            <w:r w:rsidRPr="00C811D9">
              <w:rPr>
                <w:rFonts w:cstheme="minorHAnsi"/>
                <w:color w:val="000000"/>
                <w:lang w:val="en-US"/>
              </w:rPr>
              <w:t>Body of corpus callosum</w:t>
            </w:r>
          </w:p>
        </w:tc>
      </w:tr>
      <w:tr w:rsidR="00BE2BE5" w:rsidRPr="00C811D9" w14:paraId="55418267" w14:textId="77777777" w:rsidTr="00083E4D">
        <w:trPr>
          <w:trHeight w:val="283"/>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6CB905A9" w14:textId="77777777" w:rsidR="00BE2BE5" w:rsidRPr="00C811D9" w:rsidRDefault="00BE2BE5" w:rsidP="00083E4D">
            <w:pPr>
              <w:rPr>
                <w:rFonts w:cstheme="minorHAnsi"/>
                <w:lang w:val="en-US"/>
              </w:rPr>
            </w:pPr>
            <w:r w:rsidRPr="00C811D9">
              <w:rPr>
                <w:rFonts w:cstheme="minorHAnsi"/>
                <w:color w:val="000000"/>
                <w:lang w:val="en-US"/>
              </w:rPr>
              <w:t>CC (BCC+GCC+SCC)</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20" w:type="dxa"/>
              <w:bottom w:w="100" w:type="dxa"/>
              <w:right w:w="120" w:type="dxa"/>
            </w:tcMar>
            <w:hideMark/>
          </w:tcPr>
          <w:p w14:paraId="111B0953" w14:textId="77777777" w:rsidR="00BE2BE5" w:rsidRPr="00C811D9" w:rsidRDefault="00BE2BE5" w:rsidP="00083E4D">
            <w:pPr>
              <w:rPr>
                <w:rFonts w:cstheme="minorHAnsi"/>
                <w:lang w:val="en-US"/>
              </w:rPr>
            </w:pPr>
            <w:r w:rsidRPr="00C811D9">
              <w:rPr>
                <w:rFonts w:cstheme="minorHAnsi"/>
                <w:color w:val="000000"/>
                <w:lang w:val="en-US"/>
              </w:rPr>
              <w:t>Corpus callosum</w:t>
            </w:r>
          </w:p>
        </w:tc>
      </w:tr>
      <w:tr w:rsidR="00BE2BE5" w:rsidRPr="00C811D9" w14:paraId="5170D47F" w14:textId="77777777" w:rsidTr="00083E4D">
        <w:trPr>
          <w:trHeight w:val="283"/>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4D348DAC" w14:textId="77777777" w:rsidR="00BE2BE5" w:rsidRPr="00C811D9" w:rsidRDefault="00BE2BE5" w:rsidP="00083E4D">
            <w:pPr>
              <w:rPr>
                <w:rFonts w:cstheme="minorHAnsi"/>
                <w:lang w:val="en-US"/>
              </w:rPr>
            </w:pPr>
            <w:r w:rsidRPr="00C811D9">
              <w:rPr>
                <w:rFonts w:cstheme="minorHAnsi"/>
                <w:color w:val="000000"/>
                <w:lang w:val="en-US"/>
              </w:rPr>
              <w:t>CGC (L+R)</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20" w:type="dxa"/>
              <w:bottom w:w="100" w:type="dxa"/>
              <w:right w:w="120" w:type="dxa"/>
            </w:tcMar>
            <w:hideMark/>
          </w:tcPr>
          <w:p w14:paraId="742BDAAB" w14:textId="77777777" w:rsidR="00BE2BE5" w:rsidRPr="00C811D9" w:rsidRDefault="00BE2BE5" w:rsidP="00083E4D">
            <w:pPr>
              <w:rPr>
                <w:rFonts w:cstheme="minorHAnsi"/>
                <w:lang w:val="en-US"/>
              </w:rPr>
            </w:pPr>
            <w:r w:rsidRPr="00C811D9">
              <w:rPr>
                <w:rFonts w:cstheme="minorHAnsi"/>
                <w:color w:val="000000"/>
                <w:lang w:val="en-US"/>
              </w:rPr>
              <w:t>Cingulum (cingulate gyrus)</w:t>
            </w:r>
          </w:p>
        </w:tc>
      </w:tr>
      <w:tr w:rsidR="00BE2BE5" w:rsidRPr="00C811D9" w14:paraId="2FC04541" w14:textId="77777777" w:rsidTr="00083E4D">
        <w:trPr>
          <w:trHeight w:val="283"/>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7094E812" w14:textId="77777777" w:rsidR="00BE2BE5" w:rsidRPr="00C811D9" w:rsidRDefault="00BE2BE5" w:rsidP="00083E4D">
            <w:pPr>
              <w:rPr>
                <w:rFonts w:cstheme="minorHAnsi"/>
                <w:lang w:val="en-US"/>
              </w:rPr>
            </w:pPr>
            <w:r w:rsidRPr="00C811D9">
              <w:rPr>
                <w:rFonts w:cstheme="minorHAnsi"/>
                <w:color w:val="000000"/>
                <w:lang w:val="en-US"/>
              </w:rPr>
              <w:t>CGH (L+R)</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20" w:type="dxa"/>
              <w:bottom w:w="100" w:type="dxa"/>
              <w:right w:w="120" w:type="dxa"/>
            </w:tcMar>
            <w:hideMark/>
          </w:tcPr>
          <w:p w14:paraId="1B97F5E0" w14:textId="77777777" w:rsidR="00BE2BE5" w:rsidRPr="00C811D9" w:rsidRDefault="00BE2BE5" w:rsidP="00083E4D">
            <w:pPr>
              <w:rPr>
                <w:rFonts w:cstheme="minorHAnsi"/>
                <w:lang w:val="en-US"/>
              </w:rPr>
            </w:pPr>
            <w:r w:rsidRPr="00C811D9">
              <w:rPr>
                <w:rFonts w:cstheme="minorHAnsi"/>
                <w:color w:val="000000"/>
                <w:lang w:val="en-US"/>
              </w:rPr>
              <w:t>Cingulum (hippocampal portion)</w:t>
            </w:r>
          </w:p>
        </w:tc>
      </w:tr>
      <w:tr w:rsidR="00BE2BE5" w:rsidRPr="00C811D9" w14:paraId="2BCC6750" w14:textId="77777777" w:rsidTr="00083E4D">
        <w:trPr>
          <w:trHeight w:val="283"/>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7E2D8EE6" w14:textId="77777777" w:rsidR="00BE2BE5" w:rsidRPr="00C811D9" w:rsidRDefault="00BE2BE5" w:rsidP="00083E4D">
            <w:pPr>
              <w:rPr>
                <w:rFonts w:cstheme="minorHAnsi"/>
                <w:lang w:val="en-US"/>
              </w:rPr>
            </w:pPr>
            <w:r w:rsidRPr="00C811D9">
              <w:rPr>
                <w:rFonts w:cstheme="minorHAnsi"/>
                <w:color w:val="000000"/>
                <w:lang w:val="en-US"/>
              </w:rPr>
              <w:t>CR (L+R)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hideMark/>
          </w:tcPr>
          <w:p w14:paraId="34D007EA" w14:textId="77777777" w:rsidR="00BE2BE5" w:rsidRPr="00C811D9" w:rsidRDefault="00BE2BE5" w:rsidP="00083E4D">
            <w:pPr>
              <w:rPr>
                <w:rFonts w:cstheme="minorHAnsi"/>
                <w:lang w:val="en-US"/>
              </w:rPr>
            </w:pPr>
            <w:r w:rsidRPr="00C811D9">
              <w:rPr>
                <w:rFonts w:cstheme="minorHAnsi"/>
                <w:color w:val="000000"/>
                <w:lang w:val="en-US"/>
              </w:rPr>
              <w:t>Corona radiata</w:t>
            </w:r>
          </w:p>
        </w:tc>
      </w:tr>
      <w:tr w:rsidR="00BE2BE5" w:rsidRPr="00C811D9" w14:paraId="3B434981" w14:textId="77777777" w:rsidTr="00083E4D">
        <w:trPr>
          <w:trHeight w:val="283"/>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5BA43097" w14:textId="77777777" w:rsidR="00BE2BE5" w:rsidRPr="00C811D9" w:rsidRDefault="00BE2BE5" w:rsidP="00083E4D">
            <w:pPr>
              <w:rPr>
                <w:rFonts w:cstheme="minorHAnsi"/>
                <w:lang w:val="en-US"/>
              </w:rPr>
            </w:pPr>
            <w:r w:rsidRPr="00C811D9">
              <w:rPr>
                <w:rFonts w:cstheme="minorHAnsi"/>
                <w:color w:val="000000"/>
                <w:lang w:val="en-US"/>
              </w:rPr>
              <w:t>CST (L+R)</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20" w:type="dxa"/>
              <w:bottom w:w="100" w:type="dxa"/>
              <w:right w:w="120" w:type="dxa"/>
            </w:tcMar>
            <w:hideMark/>
          </w:tcPr>
          <w:p w14:paraId="44E90A77" w14:textId="77777777" w:rsidR="00BE2BE5" w:rsidRPr="00C811D9" w:rsidRDefault="00BE2BE5" w:rsidP="00083E4D">
            <w:pPr>
              <w:rPr>
                <w:rFonts w:cstheme="minorHAnsi"/>
                <w:lang w:val="en-US"/>
              </w:rPr>
            </w:pPr>
            <w:r w:rsidRPr="00C811D9">
              <w:rPr>
                <w:rFonts w:cstheme="minorHAnsi"/>
                <w:color w:val="000000"/>
                <w:lang w:val="en-US"/>
              </w:rPr>
              <w:t>Corticospinal tract</w:t>
            </w:r>
          </w:p>
        </w:tc>
      </w:tr>
      <w:tr w:rsidR="00BE2BE5" w:rsidRPr="00C811D9" w14:paraId="728E3C78" w14:textId="77777777" w:rsidTr="00083E4D">
        <w:trPr>
          <w:trHeight w:val="283"/>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1F679E46" w14:textId="77777777" w:rsidR="00BE2BE5" w:rsidRPr="00C811D9" w:rsidRDefault="00BE2BE5" w:rsidP="00083E4D">
            <w:pPr>
              <w:rPr>
                <w:rFonts w:cstheme="minorHAnsi"/>
                <w:lang w:val="en-US"/>
              </w:rPr>
            </w:pPr>
            <w:r w:rsidRPr="00C811D9">
              <w:rPr>
                <w:rFonts w:cstheme="minorHAnsi"/>
                <w:color w:val="000000"/>
                <w:lang w:val="en-US"/>
              </w:rPr>
              <w:t>EC (L+R)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hideMark/>
          </w:tcPr>
          <w:p w14:paraId="652FB70C" w14:textId="77777777" w:rsidR="00BE2BE5" w:rsidRPr="00C811D9" w:rsidRDefault="00BE2BE5" w:rsidP="00083E4D">
            <w:pPr>
              <w:rPr>
                <w:rFonts w:cstheme="minorHAnsi"/>
                <w:lang w:val="en-US"/>
              </w:rPr>
            </w:pPr>
            <w:r w:rsidRPr="00C811D9">
              <w:rPr>
                <w:rFonts w:cstheme="minorHAnsi"/>
                <w:color w:val="000000"/>
                <w:lang w:val="en-US"/>
              </w:rPr>
              <w:t>External capsule</w:t>
            </w:r>
          </w:p>
        </w:tc>
      </w:tr>
      <w:tr w:rsidR="00BE2BE5" w:rsidRPr="00C811D9" w14:paraId="0E748326" w14:textId="77777777" w:rsidTr="00083E4D">
        <w:trPr>
          <w:trHeight w:val="283"/>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55B2C420" w14:textId="77777777" w:rsidR="00BE2BE5" w:rsidRPr="00C811D9" w:rsidRDefault="00BE2BE5" w:rsidP="00083E4D">
            <w:pPr>
              <w:rPr>
                <w:rFonts w:cstheme="minorHAnsi"/>
                <w:lang w:val="en-US"/>
              </w:rPr>
            </w:pPr>
            <w:r w:rsidRPr="00C811D9">
              <w:rPr>
                <w:rFonts w:cstheme="minorHAnsi"/>
                <w:color w:val="000000"/>
                <w:lang w:val="en-US"/>
              </w:rPr>
              <w:t>FX</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20" w:type="dxa"/>
              <w:bottom w:w="100" w:type="dxa"/>
              <w:right w:w="120" w:type="dxa"/>
            </w:tcMar>
            <w:hideMark/>
          </w:tcPr>
          <w:p w14:paraId="461AD545" w14:textId="77777777" w:rsidR="00BE2BE5" w:rsidRPr="00C811D9" w:rsidRDefault="00BE2BE5" w:rsidP="00083E4D">
            <w:pPr>
              <w:rPr>
                <w:rFonts w:cstheme="minorHAnsi"/>
                <w:lang w:val="en-US"/>
              </w:rPr>
            </w:pPr>
            <w:r w:rsidRPr="00C811D9">
              <w:rPr>
                <w:rFonts w:cstheme="minorHAnsi"/>
                <w:color w:val="000000"/>
                <w:lang w:val="en-US"/>
              </w:rPr>
              <w:t>Fornix</w:t>
            </w:r>
          </w:p>
        </w:tc>
      </w:tr>
      <w:tr w:rsidR="00BE2BE5" w:rsidRPr="00C811D9" w14:paraId="48EF9D30" w14:textId="77777777" w:rsidTr="00083E4D">
        <w:trPr>
          <w:trHeight w:val="283"/>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26D7FC6F" w14:textId="77777777" w:rsidR="00BE2BE5" w:rsidRPr="00C811D9" w:rsidRDefault="00BE2BE5" w:rsidP="00083E4D">
            <w:pPr>
              <w:rPr>
                <w:rFonts w:cstheme="minorHAnsi"/>
                <w:lang w:val="en-US"/>
              </w:rPr>
            </w:pPr>
            <w:r w:rsidRPr="00C811D9">
              <w:rPr>
                <w:rFonts w:cstheme="minorHAnsi"/>
                <w:color w:val="000000"/>
                <w:lang w:val="en-US"/>
              </w:rPr>
              <w:t>FXST (L+R)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hideMark/>
          </w:tcPr>
          <w:p w14:paraId="46FBE792" w14:textId="77777777" w:rsidR="00BE2BE5" w:rsidRPr="00C811D9" w:rsidRDefault="00BE2BE5" w:rsidP="00083E4D">
            <w:pPr>
              <w:rPr>
                <w:rFonts w:cstheme="minorHAnsi"/>
                <w:lang w:val="en-US"/>
              </w:rPr>
            </w:pPr>
            <w:r w:rsidRPr="00C811D9">
              <w:rPr>
                <w:rFonts w:cstheme="minorHAnsi"/>
                <w:color w:val="000000"/>
                <w:lang w:val="en-US"/>
              </w:rPr>
              <w:t>Fornix (</w:t>
            </w:r>
            <w:proofErr w:type="spellStart"/>
            <w:r w:rsidRPr="00C811D9">
              <w:rPr>
                <w:rFonts w:cstheme="minorHAnsi"/>
                <w:color w:val="000000"/>
                <w:lang w:val="en-US"/>
              </w:rPr>
              <w:t>cres</w:t>
            </w:r>
            <w:proofErr w:type="spellEnd"/>
            <w:r w:rsidRPr="00C811D9">
              <w:rPr>
                <w:rFonts w:cstheme="minorHAnsi"/>
                <w:color w:val="000000"/>
                <w:lang w:val="en-US"/>
              </w:rPr>
              <w:t>) / Stria terminalis</w:t>
            </w:r>
          </w:p>
        </w:tc>
      </w:tr>
      <w:tr w:rsidR="00BE2BE5" w:rsidRPr="00C811D9" w14:paraId="4251E979" w14:textId="77777777" w:rsidTr="00083E4D">
        <w:trPr>
          <w:trHeight w:val="283"/>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2B6E096A" w14:textId="77777777" w:rsidR="00BE2BE5" w:rsidRPr="00C811D9" w:rsidRDefault="00BE2BE5" w:rsidP="00083E4D">
            <w:pPr>
              <w:rPr>
                <w:rFonts w:cstheme="minorHAnsi"/>
                <w:lang w:val="en-US"/>
              </w:rPr>
            </w:pPr>
            <w:r w:rsidRPr="00C811D9">
              <w:rPr>
                <w:rFonts w:cstheme="minorHAnsi"/>
                <w:color w:val="000000"/>
                <w:lang w:val="en-US"/>
              </w:rPr>
              <w:t>GCC</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20" w:type="dxa"/>
              <w:bottom w:w="100" w:type="dxa"/>
              <w:right w:w="120" w:type="dxa"/>
            </w:tcMar>
            <w:hideMark/>
          </w:tcPr>
          <w:p w14:paraId="376BEC38" w14:textId="77777777" w:rsidR="00BE2BE5" w:rsidRPr="00C811D9" w:rsidRDefault="00BE2BE5" w:rsidP="00083E4D">
            <w:pPr>
              <w:rPr>
                <w:rFonts w:cstheme="minorHAnsi"/>
                <w:lang w:val="en-US"/>
              </w:rPr>
            </w:pPr>
            <w:r w:rsidRPr="00C811D9">
              <w:rPr>
                <w:rFonts w:cstheme="minorHAnsi"/>
                <w:color w:val="000000"/>
                <w:lang w:val="en-US"/>
              </w:rPr>
              <w:t>Genu of corpus callosum</w:t>
            </w:r>
          </w:p>
        </w:tc>
      </w:tr>
      <w:tr w:rsidR="00BE2BE5" w:rsidRPr="00C811D9" w14:paraId="367EF94D" w14:textId="77777777" w:rsidTr="00083E4D">
        <w:trPr>
          <w:trHeight w:val="283"/>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5B76AB96" w14:textId="77777777" w:rsidR="00BE2BE5" w:rsidRPr="00C811D9" w:rsidRDefault="00BE2BE5" w:rsidP="00083E4D">
            <w:pPr>
              <w:rPr>
                <w:rFonts w:cstheme="minorHAnsi"/>
                <w:lang w:val="en-US"/>
              </w:rPr>
            </w:pPr>
            <w:r w:rsidRPr="00C811D9">
              <w:rPr>
                <w:rFonts w:cstheme="minorHAnsi"/>
                <w:color w:val="000000"/>
                <w:lang w:val="en-US"/>
              </w:rPr>
              <w:t>IC (L+R)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hideMark/>
          </w:tcPr>
          <w:p w14:paraId="72A17128" w14:textId="77777777" w:rsidR="00BE2BE5" w:rsidRPr="00C811D9" w:rsidRDefault="00BE2BE5" w:rsidP="00083E4D">
            <w:pPr>
              <w:rPr>
                <w:rFonts w:cstheme="minorHAnsi"/>
                <w:lang w:val="en-US"/>
              </w:rPr>
            </w:pPr>
            <w:r w:rsidRPr="00C811D9">
              <w:rPr>
                <w:rFonts w:cstheme="minorHAnsi"/>
                <w:color w:val="000000"/>
                <w:lang w:val="en-US"/>
              </w:rPr>
              <w:t>Internal capsule</w:t>
            </w:r>
          </w:p>
        </w:tc>
      </w:tr>
      <w:tr w:rsidR="00BE2BE5" w:rsidRPr="00C811D9" w14:paraId="66B8AE48" w14:textId="77777777" w:rsidTr="00083E4D">
        <w:trPr>
          <w:trHeight w:val="283"/>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402EDCDC" w14:textId="77777777" w:rsidR="00BE2BE5" w:rsidRPr="00C811D9" w:rsidRDefault="00BE2BE5" w:rsidP="00083E4D">
            <w:pPr>
              <w:rPr>
                <w:rFonts w:cstheme="minorHAnsi"/>
                <w:lang w:val="en-US"/>
              </w:rPr>
            </w:pPr>
            <w:r w:rsidRPr="00C811D9">
              <w:rPr>
                <w:rFonts w:cstheme="minorHAnsi"/>
                <w:color w:val="000000"/>
                <w:lang w:val="en-US"/>
              </w:rPr>
              <w:t>IFO (L+R)</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20" w:type="dxa"/>
              <w:bottom w:w="100" w:type="dxa"/>
              <w:right w:w="120" w:type="dxa"/>
            </w:tcMar>
            <w:hideMark/>
          </w:tcPr>
          <w:p w14:paraId="60DBAE40" w14:textId="77777777" w:rsidR="00BE2BE5" w:rsidRPr="00C811D9" w:rsidRDefault="00BE2BE5" w:rsidP="00083E4D">
            <w:pPr>
              <w:rPr>
                <w:rFonts w:cstheme="minorHAnsi"/>
                <w:lang w:val="en-US"/>
              </w:rPr>
            </w:pPr>
            <w:r w:rsidRPr="00C811D9">
              <w:rPr>
                <w:rFonts w:cstheme="minorHAnsi"/>
                <w:color w:val="000000"/>
                <w:lang w:val="en-US"/>
              </w:rPr>
              <w:t xml:space="preserve">Inferior </w:t>
            </w:r>
            <w:proofErr w:type="spellStart"/>
            <w:r w:rsidRPr="00C811D9">
              <w:rPr>
                <w:rFonts w:cstheme="minorHAnsi"/>
                <w:color w:val="000000"/>
                <w:lang w:val="en-US"/>
              </w:rPr>
              <w:t>fronto</w:t>
            </w:r>
            <w:proofErr w:type="spellEnd"/>
            <w:r w:rsidRPr="00C811D9">
              <w:rPr>
                <w:rFonts w:cstheme="minorHAnsi"/>
                <w:color w:val="000000"/>
                <w:lang w:val="en-US"/>
              </w:rPr>
              <w:t>-occipital fasciculus</w:t>
            </w:r>
          </w:p>
        </w:tc>
      </w:tr>
      <w:tr w:rsidR="00BE2BE5" w:rsidRPr="00C811D9" w14:paraId="22E58A84" w14:textId="77777777" w:rsidTr="00083E4D">
        <w:trPr>
          <w:trHeight w:val="283"/>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5602E29C" w14:textId="77777777" w:rsidR="00BE2BE5" w:rsidRPr="00C811D9" w:rsidRDefault="00BE2BE5" w:rsidP="00083E4D">
            <w:pPr>
              <w:rPr>
                <w:rFonts w:cstheme="minorHAnsi"/>
                <w:lang w:val="en-US"/>
              </w:rPr>
            </w:pPr>
            <w:r w:rsidRPr="00C811D9">
              <w:rPr>
                <w:rFonts w:cstheme="minorHAnsi"/>
                <w:color w:val="000000"/>
                <w:lang w:val="en-US"/>
              </w:rPr>
              <w:t>PCR (L+R)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hideMark/>
          </w:tcPr>
          <w:p w14:paraId="47BC6E70" w14:textId="77777777" w:rsidR="00BE2BE5" w:rsidRPr="00C811D9" w:rsidRDefault="00BE2BE5" w:rsidP="00083E4D">
            <w:pPr>
              <w:rPr>
                <w:rFonts w:cstheme="minorHAnsi"/>
                <w:lang w:val="en-US"/>
              </w:rPr>
            </w:pPr>
            <w:r w:rsidRPr="00C811D9">
              <w:rPr>
                <w:rFonts w:cstheme="minorHAnsi"/>
                <w:color w:val="000000"/>
                <w:lang w:val="en-US"/>
              </w:rPr>
              <w:t>Posterior corona radiata</w:t>
            </w:r>
          </w:p>
        </w:tc>
      </w:tr>
      <w:tr w:rsidR="00BE2BE5" w:rsidRPr="00C811D9" w14:paraId="06591853" w14:textId="77777777" w:rsidTr="00083E4D">
        <w:trPr>
          <w:trHeight w:val="283"/>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5AFFBCE6" w14:textId="77777777" w:rsidR="00BE2BE5" w:rsidRPr="00C811D9" w:rsidRDefault="00BE2BE5" w:rsidP="00083E4D">
            <w:pPr>
              <w:rPr>
                <w:rFonts w:cstheme="minorHAnsi"/>
                <w:lang w:val="en-US"/>
              </w:rPr>
            </w:pPr>
            <w:r w:rsidRPr="00C811D9">
              <w:rPr>
                <w:rFonts w:cstheme="minorHAnsi"/>
                <w:color w:val="000000"/>
                <w:lang w:val="en-US"/>
              </w:rPr>
              <w:t>PLIC (L+R)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hideMark/>
          </w:tcPr>
          <w:p w14:paraId="1FFEA051" w14:textId="77777777" w:rsidR="00BE2BE5" w:rsidRPr="00C811D9" w:rsidRDefault="00BE2BE5" w:rsidP="00083E4D">
            <w:pPr>
              <w:rPr>
                <w:rFonts w:cstheme="minorHAnsi"/>
                <w:lang w:val="en-US"/>
              </w:rPr>
            </w:pPr>
            <w:r w:rsidRPr="00C811D9">
              <w:rPr>
                <w:rFonts w:cstheme="minorHAnsi"/>
                <w:color w:val="000000"/>
                <w:lang w:val="en-US"/>
              </w:rPr>
              <w:t>Posterior limb of internal capsule</w:t>
            </w:r>
          </w:p>
        </w:tc>
      </w:tr>
      <w:tr w:rsidR="00BE2BE5" w:rsidRPr="00C811D9" w14:paraId="0A27408D" w14:textId="77777777" w:rsidTr="00083E4D">
        <w:trPr>
          <w:trHeight w:val="283"/>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2306D3EA" w14:textId="77777777" w:rsidR="00BE2BE5" w:rsidRPr="00C811D9" w:rsidRDefault="00BE2BE5" w:rsidP="00083E4D">
            <w:pPr>
              <w:rPr>
                <w:rFonts w:cstheme="minorHAnsi"/>
                <w:lang w:val="en-US"/>
              </w:rPr>
            </w:pPr>
            <w:r w:rsidRPr="00C811D9">
              <w:rPr>
                <w:rFonts w:cstheme="minorHAnsi"/>
                <w:color w:val="000000"/>
                <w:lang w:val="en-US"/>
              </w:rPr>
              <w:t>PTR (L+R)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hideMark/>
          </w:tcPr>
          <w:p w14:paraId="57FC6E7B" w14:textId="77777777" w:rsidR="00BE2BE5" w:rsidRPr="00C811D9" w:rsidRDefault="00BE2BE5" w:rsidP="00083E4D">
            <w:pPr>
              <w:rPr>
                <w:rFonts w:cstheme="minorHAnsi"/>
                <w:lang w:val="en-US"/>
              </w:rPr>
            </w:pPr>
            <w:r w:rsidRPr="00C811D9">
              <w:rPr>
                <w:rFonts w:cstheme="minorHAnsi"/>
                <w:color w:val="000000"/>
                <w:lang w:val="en-US"/>
              </w:rPr>
              <w:t>Posterior thalamic radiation</w:t>
            </w:r>
          </w:p>
        </w:tc>
      </w:tr>
      <w:tr w:rsidR="00BE2BE5" w:rsidRPr="00C811D9" w14:paraId="5B4899B1" w14:textId="77777777" w:rsidTr="00083E4D">
        <w:trPr>
          <w:trHeight w:val="283"/>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1EE408DD" w14:textId="77777777" w:rsidR="00BE2BE5" w:rsidRPr="00C811D9" w:rsidRDefault="00BE2BE5" w:rsidP="00083E4D">
            <w:pPr>
              <w:rPr>
                <w:rFonts w:cstheme="minorHAnsi"/>
                <w:lang w:val="en-US"/>
              </w:rPr>
            </w:pPr>
            <w:r w:rsidRPr="00C811D9">
              <w:rPr>
                <w:rFonts w:cstheme="minorHAnsi"/>
                <w:color w:val="000000"/>
                <w:lang w:val="en-US"/>
              </w:rPr>
              <w:lastRenderedPageBreak/>
              <w:t>RLIC (L+R)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hideMark/>
          </w:tcPr>
          <w:p w14:paraId="2D34BD22" w14:textId="77777777" w:rsidR="00BE2BE5" w:rsidRPr="00C811D9" w:rsidRDefault="00BE2BE5" w:rsidP="00083E4D">
            <w:pPr>
              <w:rPr>
                <w:rFonts w:cstheme="minorHAnsi"/>
                <w:lang w:val="en-US"/>
              </w:rPr>
            </w:pPr>
            <w:proofErr w:type="spellStart"/>
            <w:r w:rsidRPr="00C811D9">
              <w:rPr>
                <w:rFonts w:cstheme="minorHAnsi"/>
                <w:color w:val="000000"/>
                <w:lang w:val="en-US"/>
              </w:rPr>
              <w:t>Retrolenticular</w:t>
            </w:r>
            <w:proofErr w:type="spellEnd"/>
            <w:r w:rsidRPr="00C811D9">
              <w:rPr>
                <w:rFonts w:cstheme="minorHAnsi"/>
                <w:color w:val="000000"/>
                <w:lang w:val="en-US"/>
              </w:rPr>
              <w:t xml:space="preserve"> part of internal capsule</w:t>
            </w:r>
          </w:p>
        </w:tc>
      </w:tr>
      <w:tr w:rsidR="00BE2BE5" w:rsidRPr="00C811D9" w14:paraId="4B434780" w14:textId="77777777" w:rsidTr="00083E4D">
        <w:trPr>
          <w:trHeight w:val="283"/>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0B3CFB10" w14:textId="77777777" w:rsidR="00BE2BE5" w:rsidRPr="00C811D9" w:rsidRDefault="00BE2BE5" w:rsidP="00083E4D">
            <w:pPr>
              <w:rPr>
                <w:rFonts w:cstheme="minorHAnsi"/>
                <w:lang w:val="en-US"/>
              </w:rPr>
            </w:pPr>
            <w:r w:rsidRPr="00C811D9">
              <w:rPr>
                <w:rFonts w:cstheme="minorHAnsi"/>
                <w:color w:val="000000"/>
                <w:lang w:val="en-US"/>
              </w:rPr>
              <w:t>SCC</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20" w:type="dxa"/>
              <w:bottom w:w="100" w:type="dxa"/>
              <w:right w:w="120" w:type="dxa"/>
            </w:tcMar>
            <w:hideMark/>
          </w:tcPr>
          <w:p w14:paraId="3D784D89" w14:textId="77777777" w:rsidR="00BE2BE5" w:rsidRPr="00C811D9" w:rsidRDefault="00BE2BE5" w:rsidP="00083E4D">
            <w:pPr>
              <w:rPr>
                <w:rFonts w:cstheme="minorHAnsi"/>
                <w:lang w:val="en-US"/>
              </w:rPr>
            </w:pPr>
            <w:r w:rsidRPr="00C811D9">
              <w:rPr>
                <w:rFonts w:cstheme="minorHAnsi"/>
                <w:color w:val="000000"/>
                <w:lang w:val="en-US"/>
              </w:rPr>
              <w:t>Splenium of corpus callosum</w:t>
            </w:r>
          </w:p>
        </w:tc>
      </w:tr>
      <w:tr w:rsidR="00BE2BE5" w:rsidRPr="00C811D9" w14:paraId="22D7FD18" w14:textId="77777777" w:rsidTr="00083E4D">
        <w:trPr>
          <w:trHeight w:val="283"/>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6F1AE552" w14:textId="77777777" w:rsidR="00BE2BE5" w:rsidRPr="00C811D9" w:rsidRDefault="00BE2BE5" w:rsidP="00083E4D">
            <w:pPr>
              <w:rPr>
                <w:rFonts w:cstheme="minorHAnsi"/>
                <w:lang w:val="en-US"/>
              </w:rPr>
            </w:pPr>
            <w:r w:rsidRPr="00C811D9">
              <w:rPr>
                <w:rFonts w:cstheme="minorHAnsi"/>
                <w:color w:val="000000"/>
                <w:lang w:val="en-US"/>
              </w:rPr>
              <w:t>SCR (L+R)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hideMark/>
          </w:tcPr>
          <w:p w14:paraId="75DC633C" w14:textId="77777777" w:rsidR="00BE2BE5" w:rsidRPr="00C811D9" w:rsidRDefault="00BE2BE5" w:rsidP="00083E4D">
            <w:pPr>
              <w:rPr>
                <w:rFonts w:cstheme="minorHAnsi"/>
                <w:lang w:val="en-US"/>
              </w:rPr>
            </w:pPr>
            <w:r w:rsidRPr="00C811D9">
              <w:rPr>
                <w:rFonts w:cstheme="minorHAnsi"/>
                <w:color w:val="000000"/>
                <w:lang w:val="en-US"/>
              </w:rPr>
              <w:t>Superior corona radiata</w:t>
            </w:r>
          </w:p>
        </w:tc>
      </w:tr>
      <w:tr w:rsidR="00BE2BE5" w:rsidRPr="00C811D9" w14:paraId="7D454463" w14:textId="77777777" w:rsidTr="00083E4D">
        <w:trPr>
          <w:trHeight w:val="283"/>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531544C7" w14:textId="77777777" w:rsidR="00BE2BE5" w:rsidRPr="00C811D9" w:rsidRDefault="00BE2BE5" w:rsidP="00083E4D">
            <w:pPr>
              <w:rPr>
                <w:rFonts w:cstheme="minorHAnsi"/>
                <w:lang w:val="en-US"/>
              </w:rPr>
            </w:pPr>
            <w:r w:rsidRPr="00C811D9">
              <w:rPr>
                <w:rFonts w:cstheme="minorHAnsi"/>
                <w:color w:val="000000"/>
                <w:lang w:val="en-US"/>
              </w:rPr>
              <w:t>SFO (L+R)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hideMark/>
          </w:tcPr>
          <w:p w14:paraId="71FC75EF" w14:textId="77777777" w:rsidR="00BE2BE5" w:rsidRPr="00C811D9" w:rsidRDefault="00BE2BE5" w:rsidP="00083E4D">
            <w:pPr>
              <w:rPr>
                <w:rFonts w:cstheme="minorHAnsi"/>
                <w:lang w:val="en-US"/>
              </w:rPr>
            </w:pPr>
            <w:r w:rsidRPr="00C811D9">
              <w:rPr>
                <w:rFonts w:cstheme="minorHAnsi"/>
                <w:color w:val="000000"/>
                <w:lang w:val="en-US"/>
              </w:rPr>
              <w:t xml:space="preserve">Superior </w:t>
            </w:r>
            <w:proofErr w:type="spellStart"/>
            <w:r w:rsidRPr="00C811D9">
              <w:rPr>
                <w:rFonts w:cstheme="minorHAnsi"/>
                <w:color w:val="000000"/>
                <w:lang w:val="en-US"/>
              </w:rPr>
              <w:t>fronto</w:t>
            </w:r>
            <w:proofErr w:type="spellEnd"/>
            <w:r w:rsidRPr="00C811D9">
              <w:rPr>
                <w:rFonts w:cstheme="minorHAnsi"/>
                <w:color w:val="000000"/>
                <w:lang w:val="en-US"/>
              </w:rPr>
              <w:t>-occipital fasciculus</w:t>
            </w:r>
          </w:p>
        </w:tc>
      </w:tr>
      <w:tr w:rsidR="00BE2BE5" w:rsidRPr="00C811D9" w14:paraId="766A9297" w14:textId="77777777" w:rsidTr="00083E4D">
        <w:trPr>
          <w:trHeight w:val="283"/>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655D7FD3" w14:textId="77777777" w:rsidR="00BE2BE5" w:rsidRPr="00C811D9" w:rsidRDefault="00BE2BE5" w:rsidP="00083E4D">
            <w:pPr>
              <w:rPr>
                <w:rFonts w:cstheme="minorHAnsi"/>
                <w:lang w:val="en-US"/>
              </w:rPr>
            </w:pPr>
            <w:r w:rsidRPr="00C811D9">
              <w:rPr>
                <w:rFonts w:cstheme="minorHAnsi"/>
                <w:color w:val="000000"/>
                <w:lang w:val="en-US"/>
              </w:rPr>
              <w:t>SLF (L+R)</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20" w:type="dxa"/>
              <w:bottom w:w="100" w:type="dxa"/>
              <w:right w:w="120" w:type="dxa"/>
            </w:tcMar>
            <w:hideMark/>
          </w:tcPr>
          <w:p w14:paraId="4EFDB737" w14:textId="77777777" w:rsidR="00BE2BE5" w:rsidRPr="00C811D9" w:rsidRDefault="00BE2BE5" w:rsidP="00083E4D">
            <w:pPr>
              <w:rPr>
                <w:rFonts w:cstheme="minorHAnsi"/>
                <w:lang w:val="en-US"/>
              </w:rPr>
            </w:pPr>
            <w:r w:rsidRPr="00C811D9">
              <w:rPr>
                <w:rFonts w:cstheme="minorHAnsi"/>
                <w:color w:val="000000"/>
                <w:lang w:val="en-US"/>
              </w:rPr>
              <w:t>Superior longitudinal fasciculus</w:t>
            </w:r>
          </w:p>
        </w:tc>
      </w:tr>
      <w:tr w:rsidR="00BE2BE5" w:rsidRPr="00C811D9" w14:paraId="3A2A190A" w14:textId="77777777" w:rsidTr="00083E4D">
        <w:trPr>
          <w:trHeight w:val="283"/>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7186B459" w14:textId="77777777" w:rsidR="00BE2BE5" w:rsidRPr="00C811D9" w:rsidRDefault="00BE2BE5" w:rsidP="00083E4D">
            <w:pPr>
              <w:rPr>
                <w:rFonts w:cstheme="minorHAnsi"/>
                <w:lang w:val="en-US"/>
              </w:rPr>
            </w:pPr>
            <w:r w:rsidRPr="00C811D9">
              <w:rPr>
                <w:rFonts w:cstheme="minorHAnsi"/>
                <w:color w:val="000000"/>
                <w:lang w:val="en-US"/>
              </w:rPr>
              <w:t>SS (L+R)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hideMark/>
          </w:tcPr>
          <w:p w14:paraId="57C1A029" w14:textId="77777777" w:rsidR="00BE2BE5" w:rsidRPr="00C811D9" w:rsidRDefault="00BE2BE5" w:rsidP="00083E4D">
            <w:pPr>
              <w:rPr>
                <w:rFonts w:cstheme="minorHAnsi"/>
                <w:lang w:val="en-US"/>
              </w:rPr>
            </w:pPr>
            <w:r w:rsidRPr="00C811D9">
              <w:rPr>
                <w:rFonts w:cstheme="minorHAnsi"/>
                <w:color w:val="000000"/>
                <w:lang w:val="en-US"/>
              </w:rPr>
              <w:t>Sagittal stratum</w:t>
            </w:r>
          </w:p>
        </w:tc>
      </w:tr>
      <w:tr w:rsidR="00BE2BE5" w:rsidRPr="00C811D9" w14:paraId="0B4EE5F1" w14:textId="77777777" w:rsidTr="00083E4D">
        <w:trPr>
          <w:trHeight w:val="283"/>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7C0F6DCB" w14:textId="77777777" w:rsidR="00BE2BE5" w:rsidRPr="00C811D9" w:rsidRDefault="00BE2BE5" w:rsidP="00083E4D">
            <w:pPr>
              <w:rPr>
                <w:rFonts w:cstheme="minorHAnsi"/>
                <w:lang w:val="en-US"/>
              </w:rPr>
            </w:pPr>
            <w:r w:rsidRPr="00C811D9">
              <w:rPr>
                <w:rFonts w:cstheme="minorHAnsi"/>
                <w:color w:val="000000"/>
                <w:lang w:val="en-US"/>
              </w:rPr>
              <w:t>UNC (L+R)</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20" w:type="dxa"/>
              <w:bottom w:w="100" w:type="dxa"/>
              <w:right w:w="120" w:type="dxa"/>
            </w:tcMar>
            <w:hideMark/>
          </w:tcPr>
          <w:p w14:paraId="76F40ACA" w14:textId="77777777" w:rsidR="00BE2BE5" w:rsidRPr="00C811D9" w:rsidRDefault="00BE2BE5" w:rsidP="00083E4D">
            <w:pPr>
              <w:rPr>
                <w:rFonts w:cstheme="minorHAnsi"/>
                <w:lang w:val="en-US"/>
              </w:rPr>
            </w:pPr>
            <w:r w:rsidRPr="00C811D9">
              <w:rPr>
                <w:rFonts w:cstheme="minorHAnsi"/>
                <w:color w:val="000000"/>
                <w:lang w:val="en-US"/>
              </w:rPr>
              <w:t>Uncinate fasciculus</w:t>
            </w:r>
          </w:p>
        </w:tc>
      </w:tr>
    </w:tbl>
    <w:p w14:paraId="6CD7FA15" w14:textId="1973977C" w:rsidR="00BE2BE5" w:rsidRPr="00895ED5" w:rsidRDefault="00BE2BE5" w:rsidP="00BE2BE5">
      <w:r w:rsidRPr="00EA54CB">
        <w:rPr>
          <w:b/>
          <w:bCs/>
        </w:rPr>
        <w:t>Table S4.</w:t>
      </w:r>
      <w:r w:rsidRPr="00895ED5">
        <w:t xml:space="preserve"> Effect sizes for MD and FA obtained from Table S6 and Table S4 in van </w:t>
      </w:r>
      <w:proofErr w:type="spellStart"/>
      <w:r w:rsidRPr="00895ED5">
        <w:t>Velzen</w:t>
      </w:r>
      <w:proofErr w:type="spellEnd"/>
      <w:r w:rsidRPr="00895ED5">
        <w:t xml:space="preserve"> et al</w:t>
      </w:r>
      <w:r>
        <w:t xml:space="preserve"> </w:t>
      </w:r>
      <w:r w:rsidR="00946200">
        <w:t>[12]</w:t>
      </w:r>
      <w:r>
        <w:t>,</w:t>
      </w:r>
      <w:r w:rsidRPr="00731B27">
        <w:rPr>
          <w:vertAlign w:val="superscript"/>
        </w:rPr>
        <w:t xml:space="preserve"> </w:t>
      </w:r>
      <w:r w:rsidRPr="00895ED5">
        <w:t>respectively.  Covariates included age, age</w:t>
      </w:r>
      <w:r w:rsidRPr="00895ED5">
        <w:rPr>
          <w:vertAlign w:val="superscript"/>
        </w:rPr>
        <w:t>2</w:t>
      </w:r>
      <w:r w:rsidRPr="00895ED5">
        <w:t>, sex, age*sex, age</w:t>
      </w:r>
      <w:r w:rsidRPr="00895ED5">
        <w:rPr>
          <w:vertAlign w:val="superscript"/>
        </w:rPr>
        <w:t>2</w:t>
      </w:r>
      <w:r w:rsidRPr="00895ED5">
        <w:t>*</w:t>
      </w:r>
      <w:proofErr w:type="gramStart"/>
      <w:r w:rsidRPr="00895ED5">
        <w:t>sex</w:t>
      </w:r>
      <w:proofErr w:type="gramEnd"/>
      <w:r w:rsidRPr="00895ED5">
        <w:t xml:space="preserve"> and site.</w:t>
      </w:r>
    </w:p>
    <w:p w14:paraId="34A1E5ED" w14:textId="77777777" w:rsidR="00BE2BE5" w:rsidRPr="00B07E16" w:rsidRDefault="00BE2BE5" w:rsidP="00BE2BE5">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268"/>
        <w:gridCol w:w="2268"/>
      </w:tblGrid>
      <w:tr w:rsidR="00BE2BE5" w:rsidRPr="00783424" w14:paraId="703D4566" w14:textId="77777777" w:rsidTr="00083E4D">
        <w:trPr>
          <w:trHeight w:val="288"/>
        </w:trPr>
        <w:tc>
          <w:tcPr>
            <w:tcW w:w="1980" w:type="dxa"/>
            <w:noWrap/>
            <w:vAlign w:val="center"/>
            <w:hideMark/>
          </w:tcPr>
          <w:p w14:paraId="41FE76F6" w14:textId="77777777" w:rsidR="00BE2BE5" w:rsidRPr="00783424" w:rsidRDefault="00BE2BE5" w:rsidP="00083E4D">
            <w:pPr>
              <w:rPr>
                <w:b/>
                <w:bCs/>
              </w:rPr>
            </w:pPr>
            <w:r w:rsidRPr="00783424">
              <w:rPr>
                <w:b/>
                <w:bCs/>
              </w:rPr>
              <w:t>Region</w:t>
            </w:r>
          </w:p>
        </w:tc>
        <w:tc>
          <w:tcPr>
            <w:tcW w:w="2268" w:type="dxa"/>
            <w:noWrap/>
            <w:vAlign w:val="center"/>
            <w:hideMark/>
          </w:tcPr>
          <w:p w14:paraId="5A26883E" w14:textId="77777777" w:rsidR="00BE2BE5" w:rsidRPr="00783424" w:rsidRDefault="00BE2BE5" w:rsidP="00083E4D">
            <w:pPr>
              <w:rPr>
                <w:b/>
                <w:bCs/>
              </w:rPr>
            </w:pPr>
            <w:r w:rsidRPr="00783424">
              <w:rPr>
                <w:b/>
                <w:bCs/>
              </w:rPr>
              <w:t>Cohen's d</w:t>
            </w:r>
            <w:r>
              <w:rPr>
                <w:b/>
                <w:bCs/>
              </w:rPr>
              <w:t xml:space="preserve"> – </w:t>
            </w:r>
            <w:r w:rsidRPr="00783424">
              <w:rPr>
                <w:b/>
                <w:bCs/>
              </w:rPr>
              <w:t>MD</w:t>
            </w:r>
          </w:p>
        </w:tc>
        <w:tc>
          <w:tcPr>
            <w:tcW w:w="2268" w:type="dxa"/>
            <w:noWrap/>
            <w:vAlign w:val="center"/>
            <w:hideMark/>
          </w:tcPr>
          <w:p w14:paraId="13459A4D" w14:textId="77777777" w:rsidR="00BE2BE5" w:rsidRPr="00783424" w:rsidRDefault="00BE2BE5" w:rsidP="00083E4D">
            <w:pPr>
              <w:rPr>
                <w:b/>
                <w:bCs/>
              </w:rPr>
            </w:pPr>
            <w:r w:rsidRPr="00783424">
              <w:rPr>
                <w:b/>
                <w:bCs/>
              </w:rPr>
              <w:t xml:space="preserve">Cohen's d </w:t>
            </w:r>
            <w:r>
              <w:rPr>
                <w:b/>
                <w:bCs/>
              </w:rPr>
              <w:t>– FA</w:t>
            </w:r>
          </w:p>
        </w:tc>
      </w:tr>
      <w:tr w:rsidR="00BE2BE5" w:rsidRPr="00783424" w14:paraId="549F1989" w14:textId="77777777" w:rsidTr="00083E4D">
        <w:trPr>
          <w:trHeight w:val="288"/>
        </w:trPr>
        <w:tc>
          <w:tcPr>
            <w:tcW w:w="1980" w:type="dxa"/>
            <w:noWrap/>
            <w:vAlign w:val="center"/>
            <w:hideMark/>
          </w:tcPr>
          <w:p w14:paraId="799C5A8E" w14:textId="77777777" w:rsidR="00BE2BE5" w:rsidRPr="00783424" w:rsidRDefault="00BE2BE5" w:rsidP="00083E4D">
            <w:r w:rsidRPr="00783424">
              <w:t>AACR</w:t>
            </w:r>
          </w:p>
        </w:tc>
        <w:tc>
          <w:tcPr>
            <w:tcW w:w="2268" w:type="dxa"/>
            <w:noWrap/>
            <w:vAlign w:val="center"/>
            <w:hideMark/>
          </w:tcPr>
          <w:p w14:paraId="7E4AE734" w14:textId="77777777" w:rsidR="00BE2BE5" w:rsidRPr="00783424" w:rsidRDefault="00BE2BE5" w:rsidP="00083E4D">
            <w:r w:rsidRPr="00783424">
              <w:t>0.065</w:t>
            </w:r>
          </w:p>
        </w:tc>
        <w:tc>
          <w:tcPr>
            <w:tcW w:w="2268" w:type="dxa"/>
            <w:noWrap/>
            <w:vAlign w:val="center"/>
            <w:hideMark/>
          </w:tcPr>
          <w:p w14:paraId="1A94AC34" w14:textId="77777777" w:rsidR="00BE2BE5" w:rsidRPr="00783424" w:rsidRDefault="00BE2BE5" w:rsidP="00083E4D">
            <w:r w:rsidRPr="00783424">
              <w:t>-0.253</w:t>
            </w:r>
          </w:p>
        </w:tc>
      </w:tr>
      <w:tr w:rsidR="00BE2BE5" w:rsidRPr="00783424" w14:paraId="3CFB60E3" w14:textId="77777777" w:rsidTr="00083E4D">
        <w:trPr>
          <w:trHeight w:val="288"/>
        </w:trPr>
        <w:tc>
          <w:tcPr>
            <w:tcW w:w="1980" w:type="dxa"/>
            <w:noWrap/>
            <w:vAlign w:val="center"/>
            <w:hideMark/>
          </w:tcPr>
          <w:p w14:paraId="76A38405" w14:textId="77777777" w:rsidR="00BE2BE5" w:rsidRPr="00783424" w:rsidRDefault="00BE2BE5" w:rsidP="00083E4D">
            <w:r w:rsidRPr="00783424">
              <w:t>ALIC</w:t>
            </w:r>
          </w:p>
        </w:tc>
        <w:tc>
          <w:tcPr>
            <w:tcW w:w="2268" w:type="dxa"/>
            <w:noWrap/>
            <w:vAlign w:val="center"/>
            <w:hideMark/>
          </w:tcPr>
          <w:p w14:paraId="7A0C9931" w14:textId="77777777" w:rsidR="00BE2BE5" w:rsidRPr="00783424" w:rsidRDefault="00BE2BE5" w:rsidP="00083E4D">
            <w:r w:rsidRPr="00783424">
              <w:t>0.124</w:t>
            </w:r>
          </w:p>
        </w:tc>
        <w:tc>
          <w:tcPr>
            <w:tcW w:w="2268" w:type="dxa"/>
            <w:noWrap/>
            <w:vAlign w:val="center"/>
            <w:hideMark/>
          </w:tcPr>
          <w:p w14:paraId="505DE3DC" w14:textId="77777777" w:rsidR="00BE2BE5" w:rsidRPr="00783424" w:rsidRDefault="00BE2BE5" w:rsidP="00083E4D">
            <w:r w:rsidRPr="00783424">
              <w:t>-0.232</w:t>
            </w:r>
          </w:p>
        </w:tc>
      </w:tr>
      <w:tr w:rsidR="00BE2BE5" w:rsidRPr="00783424" w14:paraId="1BF00FB7" w14:textId="77777777" w:rsidTr="00083E4D">
        <w:trPr>
          <w:trHeight w:val="288"/>
        </w:trPr>
        <w:tc>
          <w:tcPr>
            <w:tcW w:w="1980" w:type="dxa"/>
            <w:noWrap/>
            <w:vAlign w:val="center"/>
            <w:hideMark/>
          </w:tcPr>
          <w:p w14:paraId="12C0C8DF" w14:textId="77777777" w:rsidR="00BE2BE5" w:rsidRPr="00783424" w:rsidRDefault="00BE2BE5" w:rsidP="00083E4D">
            <w:r w:rsidRPr="00783424">
              <w:t>BCC</w:t>
            </w:r>
          </w:p>
        </w:tc>
        <w:tc>
          <w:tcPr>
            <w:tcW w:w="2268" w:type="dxa"/>
            <w:noWrap/>
            <w:vAlign w:val="center"/>
            <w:hideMark/>
          </w:tcPr>
          <w:p w14:paraId="08E6D5C7" w14:textId="77777777" w:rsidR="00BE2BE5" w:rsidRPr="00783424" w:rsidRDefault="00BE2BE5" w:rsidP="00083E4D">
            <w:r w:rsidRPr="00783424">
              <w:t>0.192</w:t>
            </w:r>
          </w:p>
        </w:tc>
        <w:tc>
          <w:tcPr>
            <w:tcW w:w="2268" w:type="dxa"/>
            <w:noWrap/>
            <w:vAlign w:val="center"/>
            <w:hideMark/>
          </w:tcPr>
          <w:p w14:paraId="1AA3E0B4" w14:textId="77777777" w:rsidR="00BE2BE5" w:rsidRPr="00783424" w:rsidRDefault="00BE2BE5" w:rsidP="00083E4D">
            <w:r w:rsidRPr="00783424">
              <w:t>-0.243</w:t>
            </w:r>
          </w:p>
        </w:tc>
      </w:tr>
      <w:tr w:rsidR="00BE2BE5" w:rsidRPr="00783424" w14:paraId="5B1C19F6" w14:textId="77777777" w:rsidTr="00083E4D">
        <w:trPr>
          <w:trHeight w:val="288"/>
        </w:trPr>
        <w:tc>
          <w:tcPr>
            <w:tcW w:w="1980" w:type="dxa"/>
            <w:noWrap/>
            <w:vAlign w:val="center"/>
            <w:hideMark/>
          </w:tcPr>
          <w:p w14:paraId="6397AD67" w14:textId="77777777" w:rsidR="00BE2BE5" w:rsidRPr="00783424" w:rsidRDefault="00BE2BE5" w:rsidP="00083E4D">
            <w:r w:rsidRPr="00783424">
              <w:t>CC</w:t>
            </w:r>
          </w:p>
        </w:tc>
        <w:tc>
          <w:tcPr>
            <w:tcW w:w="2268" w:type="dxa"/>
            <w:noWrap/>
            <w:vAlign w:val="center"/>
            <w:hideMark/>
          </w:tcPr>
          <w:p w14:paraId="4CE44506" w14:textId="77777777" w:rsidR="00BE2BE5" w:rsidRPr="00783424" w:rsidRDefault="00BE2BE5" w:rsidP="00083E4D">
            <w:r w:rsidRPr="00783424">
              <w:t>0.17</w:t>
            </w:r>
          </w:p>
        </w:tc>
        <w:tc>
          <w:tcPr>
            <w:tcW w:w="2268" w:type="dxa"/>
            <w:noWrap/>
            <w:vAlign w:val="center"/>
            <w:hideMark/>
          </w:tcPr>
          <w:p w14:paraId="6C38D3A4" w14:textId="77777777" w:rsidR="00BE2BE5" w:rsidRPr="00783424" w:rsidRDefault="00BE2BE5" w:rsidP="00083E4D">
            <w:r w:rsidRPr="00783424">
              <w:t>-0.249</w:t>
            </w:r>
          </w:p>
        </w:tc>
      </w:tr>
      <w:tr w:rsidR="00BE2BE5" w:rsidRPr="00783424" w14:paraId="07229891" w14:textId="77777777" w:rsidTr="00083E4D">
        <w:trPr>
          <w:trHeight w:val="288"/>
        </w:trPr>
        <w:tc>
          <w:tcPr>
            <w:tcW w:w="1980" w:type="dxa"/>
            <w:noWrap/>
            <w:vAlign w:val="center"/>
            <w:hideMark/>
          </w:tcPr>
          <w:p w14:paraId="601CD50C" w14:textId="77777777" w:rsidR="00BE2BE5" w:rsidRPr="00783424" w:rsidRDefault="00BE2BE5" w:rsidP="00083E4D">
            <w:r w:rsidRPr="00783424">
              <w:t>CGC</w:t>
            </w:r>
          </w:p>
        </w:tc>
        <w:tc>
          <w:tcPr>
            <w:tcW w:w="2268" w:type="dxa"/>
            <w:noWrap/>
            <w:vAlign w:val="center"/>
            <w:hideMark/>
          </w:tcPr>
          <w:p w14:paraId="4D260FAA" w14:textId="77777777" w:rsidR="00BE2BE5" w:rsidRPr="00783424" w:rsidRDefault="00BE2BE5" w:rsidP="00083E4D">
            <w:r w:rsidRPr="00783424">
              <w:t>0.085</w:t>
            </w:r>
          </w:p>
        </w:tc>
        <w:tc>
          <w:tcPr>
            <w:tcW w:w="2268" w:type="dxa"/>
            <w:noWrap/>
            <w:vAlign w:val="center"/>
            <w:hideMark/>
          </w:tcPr>
          <w:p w14:paraId="4833D296" w14:textId="77777777" w:rsidR="00BE2BE5" w:rsidRPr="00783424" w:rsidRDefault="00BE2BE5" w:rsidP="00083E4D">
            <w:r w:rsidRPr="00783424">
              <w:t>-0.165</w:t>
            </w:r>
          </w:p>
        </w:tc>
      </w:tr>
      <w:tr w:rsidR="00BE2BE5" w:rsidRPr="00783424" w14:paraId="500AFDAE" w14:textId="77777777" w:rsidTr="00083E4D">
        <w:trPr>
          <w:trHeight w:val="288"/>
        </w:trPr>
        <w:tc>
          <w:tcPr>
            <w:tcW w:w="1980" w:type="dxa"/>
            <w:noWrap/>
            <w:vAlign w:val="center"/>
            <w:hideMark/>
          </w:tcPr>
          <w:p w14:paraId="55439E82" w14:textId="77777777" w:rsidR="00BE2BE5" w:rsidRPr="00783424" w:rsidRDefault="00BE2BE5" w:rsidP="00083E4D">
            <w:r w:rsidRPr="00783424">
              <w:t>CGH</w:t>
            </w:r>
          </w:p>
        </w:tc>
        <w:tc>
          <w:tcPr>
            <w:tcW w:w="2268" w:type="dxa"/>
            <w:noWrap/>
            <w:vAlign w:val="center"/>
            <w:hideMark/>
          </w:tcPr>
          <w:p w14:paraId="1E24C509" w14:textId="77777777" w:rsidR="00BE2BE5" w:rsidRPr="00783424" w:rsidRDefault="00BE2BE5" w:rsidP="00083E4D">
            <w:r w:rsidRPr="00783424">
              <w:t>0.14</w:t>
            </w:r>
          </w:p>
        </w:tc>
        <w:tc>
          <w:tcPr>
            <w:tcW w:w="2268" w:type="dxa"/>
            <w:noWrap/>
            <w:vAlign w:val="center"/>
            <w:hideMark/>
          </w:tcPr>
          <w:p w14:paraId="03A79BA7" w14:textId="77777777" w:rsidR="00BE2BE5" w:rsidRPr="00783424" w:rsidRDefault="00BE2BE5" w:rsidP="00083E4D">
            <w:r w:rsidRPr="00783424">
              <w:t>-0.068</w:t>
            </w:r>
          </w:p>
        </w:tc>
      </w:tr>
      <w:tr w:rsidR="00BE2BE5" w:rsidRPr="00783424" w14:paraId="2303F187" w14:textId="77777777" w:rsidTr="00083E4D">
        <w:trPr>
          <w:trHeight w:val="288"/>
        </w:trPr>
        <w:tc>
          <w:tcPr>
            <w:tcW w:w="1980" w:type="dxa"/>
            <w:noWrap/>
            <w:vAlign w:val="center"/>
            <w:hideMark/>
          </w:tcPr>
          <w:p w14:paraId="50B2D5E6" w14:textId="77777777" w:rsidR="00BE2BE5" w:rsidRPr="00783424" w:rsidRDefault="00BE2BE5" w:rsidP="00083E4D">
            <w:r w:rsidRPr="00783424">
              <w:t>CR</w:t>
            </w:r>
          </w:p>
        </w:tc>
        <w:tc>
          <w:tcPr>
            <w:tcW w:w="2268" w:type="dxa"/>
            <w:noWrap/>
            <w:vAlign w:val="center"/>
            <w:hideMark/>
          </w:tcPr>
          <w:p w14:paraId="77C4C2A6" w14:textId="77777777" w:rsidR="00BE2BE5" w:rsidRPr="00783424" w:rsidRDefault="00BE2BE5" w:rsidP="00083E4D">
            <w:r w:rsidRPr="00783424">
              <w:t>0.12</w:t>
            </w:r>
          </w:p>
        </w:tc>
        <w:tc>
          <w:tcPr>
            <w:tcW w:w="2268" w:type="dxa"/>
            <w:noWrap/>
            <w:vAlign w:val="center"/>
            <w:hideMark/>
          </w:tcPr>
          <w:p w14:paraId="526C624C" w14:textId="77777777" w:rsidR="00BE2BE5" w:rsidRPr="00783424" w:rsidRDefault="00BE2BE5" w:rsidP="00083E4D">
            <w:r w:rsidRPr="00783424">
              <w:t>-0.25</w:t>
            </w:r>
          </w:p>
        </w:tc>
      </w:tr>
      <w:tr w:rsidR="00BE2BE5" w:rsidRPr="00783424" w14:paraId="34AB3CFF" w14:textId="77777777" w:rsidTr="00083E4D">
        <w:trPr>
          <w:trHeight w:val="288"/>
        </w:trPr>
        <w:tc>
          <w:tcPr>
            <w:tcW w:w="1980" w:type="dxa"/>
            <w:noWrap/>
            <w:vAlign w:val="center"/>
            <w:hideMark/>
          </w:tcPr>
          <w:p w14:paraId="69557B71" w14:textId="77777777" w:rsidR="00BE2BE5" w:rsidRPr="00783424" w:rsidRDefault="00BE2BE5" w:rsidP="00083E4D">
            <w:r w:rsidRPr="00783424">
              <w:t>CST</w:t>
            </w:r>
          </w:p>
        </w:tc>
        <w:tc>
          <w:tcPr>
            <w:tcW w:w="2268" w:type="dxa"/>
            <w:noWrap/>
            <w:vAlign w:val="center"/>
            <w:hideMark/>
          </w:tcPr>
          <w:p w14:paraId="0F6D8F1F" w14:textId="77777777" w:rsidR="00BE2BE5" w:rsidRPr="00783424" w:rsidRDefault="00BE2BE5" w:rsidP="00083E4D">
            <w:r w:rsidRPr="00783424">
              <w:t>0.104</w:t>
            </w:r>
          </w:p>
        </w:tc>
        <w:tc>
          <w:tcPr>
            <w:tcW w:w="2268" w:type="dxa"/>
            <w:noWrap/>
            <w:vAlign w:val="center"/>
            <w:hideMark/>
          </w:tcPr>
          <w:p w14:paraId="79184F68" w14:textId="77777777" w:rsidR="00BE2BE5" w:rsidRPr="00783424" w:rsidRDefault="00BE2BE5" w:rsidP="00083E4D">
            <w:r w:rsidRPr="00783424">
              <w:t>-0.101</w:t>
            </w:r>
          </w:p>
        </w:tc>
      </w:tr>
      <w:tr w:rsidR="00BE2BE5" w:rsidRPr="00783424" w14:paraId="26CDFD99" w14:textId="77777777" w:rsidTr="00083E4D">
        <w:trPr>
          <w:trHeight w:val="288"/>
        </w:trPr>
        <w:tc>
          <w:tcPr>
            <w:tcW w:w="1980" w:type="dxa"/>
            <w:noWrap/>
            <w:vAlign w:val="center"/>
            <w:hideMark/>
          </w:tcPr>
          <w:p w14:paraId="284FD1FD" w14:textId="77777777" w:rsidR="00BE2BE5" w:rsidRPr="00783424" w:rsidRDefault="00BE2BE5" w:rsidP="00083E4D">
            <w:r w:rsidRPr="00783424">
              <w:t>EC</w:t>
            </w:r>
          </w:p>
        </w:tc>
        <w:tc>
          <w:tcPr>
            <w:tcW w:w="2268" w:type="dxa"/>
            <w:noWrap/>
            <w:vAlign w:val="center"/>
            <w:hideMark/>
          </w:tcPr>
          <w:p w14:paraId="1937981A" w14:textId="77777777" w:rsidR="00BE2BE5" w:rsidRPr="00783424" w:rsidRDefault="00BE2BE5" w:rsidP="00083E4D">
            <w:r w:rsidRPr="00783424">
              <w:t>0.148</w:t>
            </w:r>
          </w:p>
        </w:tc>
        <w:tc>
          <w:tcPr>
            <w:tcW w:w="2268" w:type="dxa"/>
            <w:noWrap/>
            <w:vAlign w:val="center"/>
            <w:hideMark/>
          </w:tcPr>
          <w:p w14:paraId="04D2D1F9" w14:textId="77777777" w:rsidR="00BE2BE5" w:rsidRPr="00783424" w:rsidRDefault="00BE2BE5" w:rsidP="00083E4D">
            <w:r w:rsidRPr="00783424">
              <w:t>-0.16</w:t>
            </w:r>
          </w:p>
        </w:tc>
      </w:tr>
      <w:tr w:rsidR="00BE2BE5" w:rsidRPr="00783424" w14:paraId="07F4582F" w14:textId="77777777" w:rsidTr="00083E4D">
        <w:trPr>
          <w:trHeight w:val="288"/>
        </w:trPr>
        <w:tc>
          <w:tcPr>
            <w:tcW w:w="1980" w:type="dxa"/>
            <w:noWrap/>
            <w:vAlign w:val="center"/>
            <w:hideMark/>
          </w:tcPr>
          <w:p w14:paraId="47869CA4" w14:textId="77777777" w:rsidR="00BE2BE5" w:rsidRPr="00783424" w:rsidRDefault="00BE2BE5" w:rsidP="00083E4D">
            <w:r w:rsidRPr="00783424">
              <w:t>FX</w:t>
            </w:r>
          </w:p>
        </w:tc>
        <w:tc>
          <w:tcPr>
            <w:tcW w:w="2268" w:type="dxa"/>
            <w:noWrap/>
            <w:vAlign w:val="center"/>
            <w:hideMark/>
          </w:tcPr>
          <w:p w14:paraId="1234130D" w14:textId="77777777" w:rsidR="00BE2BE5" w:rsidRPr="00783424" w:rsidRDefault="00BE2BE5" w:rsidP="00083E4D">
            <w:r w:rsidRPr="00783424">
              <w:t>0.123</w:t>
            </w:r>
          </w:p>
        </w:tc>
        <w:tc>
          <w:tcPr>
            <w:tcW w:w="2268" w:type="dxa"/>
            <w:noWrap/>
            <w:vAlign w:val="center"/>
            <w:hideMark/>
          </w:tcPr>
          <w:p w14:paraId="72CB9A88" w14:textId="77777777" w:rsidR="00BE2BE5" w:rsidRPr="00783424" w:rsidRDefault="00BE2BE5" w:rsidP="00083E4D">
            <w:r w:rsidRPr="00783424">
              <w:t>-0.083</w:t>
            </w:r>
          </w:p>
        </w:tc>
      </w:tr>
      <w:tr w:rsidR="00BE2BE5" w:rsidRPr="00783424" w14:paraId="6243A690" w14:textId="77777777" w:rsidTr="00083E4D">
        <w:trPr>
          <w:trHeight w:val="288"/>
        </w:trPr>
        <w:tc>
          <w:tcPr>
            <w:tcW w:w="1980" w:type="dxa"/>
            <w:noWrap/>
            <w:vAlign w:val="center"/>
            <w:hideMark/>
          </w:tcPr>
          <w:p w14:paraId="43E7B174" w14:textId="77777777" w:rsidR="00BE2BE5" w:rsidRPr="00783424" w:rsidRDefault="00BE2BE5" w:rsidP="00083E4D">
            <w:r w:rsidRPr="00783424">
              <w:t>FXST</w:t>
            </w:r>
          </w:p>
        </w:tc>
        <w:tc>
          <w:tcPr>
            <w:tcW w:w="2268" w:type="dxa"/>
            <w:noWrap/>
            <w:vAlign w:val="center"/>
            <w:hideMark/>
          </w:tcPr>
          <w:p w14:paraId="2A8F99B1" w14:textId="77777777" w:rsidR="00BE2BE5" w:rsidRPr="00783424" w:rsidRDefault="00BE2BE5" w:rsidP="00083E4D">
            <w:r w:rsidRPr="00783424">
              <w:t>0.18</w:t>
            </w:r>
          </w:p>
        </w:tc>
        <w:tc>
          <w:tcPr>
            <w:tcW w:w="2268" w:type="dxa"/>
            <w:noWrap/>
            <w:vAlign w:val="center"/>
            <w:hideMark/>
          </w:tcPr>
          <w:p w14:paraId="6207DA04" w14:textId="77777777" w:rsidR="00BE2BE5" w:rsidRPr="00783424" w:rsidRDefault="00BE2BE5" w:rsidP="00083E4D">
            <w:r w:rsidRPr="00783424">
              <w:t>-0.183</w:t>
            </w:r>
          </w:p>
        </w:tc>
      </w:tr>
      <w:tr w:rsidR="00BE2BE5" w:rsidRPr="00783424" w14:paraId="589DBB33" w14:textId="77777777" w:rsidTr="00083E4D">
        <w:trPr>
          <w:trHeight w:val="288"/>
        </w:trPr>
        <w:tc>
          <w:tcPr>
            <w:tcW w:w="1980" w:type="dxa"/>
            <w:noWrap/>
            <w:vAlign w:val="center"/>
            <w:hideMark/>
          </w:tcPr>
          <w:p w14:paraId="5859DDB8" w14:textId="77777777" w:rsidR="00BE2BE5" w:rsidRPr="00783424" w:rsidRDefault="00BE2BE5" w:rsidP="00083E4D">
            <w:r w:rsidRPr="00783424">
              <w:t>GCC</w:t>
            </w:r>
          </w:p>
        </w:tc>
        <w:tc>
          <w:tcPr>
            <w:tcW w:w="2268" w:type="dxa"/>
            <w:noWrap/>
            <w:vAlign w:val="center"/>
            <w:hideMark/>
          </w:tcPr>
          <w:p w14:paraId="0A9BBBE8" w14:textId="77777777" w:rsidR="00BE2BE5" w:rsidRPr="00783424" w:rsidRDefault="00BE2BE5" w:rsidP="00083E4D">
            <w:r w:rsidRPr="00783424">
              <w:t>0.102</w:t>
            </w:r>
          </w:p>
        </w:tc>
        <w:tc>
          <w:tcPr>
            <w:tcW w:w="2268" w:type="dxa"/>
            <w:noWrap/>
            <w:vAlign w:val="center"/>
            <w:hideMark/>
          </w:tcPr>
          <w:p w14:paraId="13846184" w14:textId="77777777" w:rsidR="00BE2BE5" w:rsidRPr="00783424" w:rsidRDefault="00BE2BE5" w:rsidP="00083E4D">
            <w:r w:rsidRPr="00783424">
              <w:t>-0.247</w:t>
            </w:r>
          </w:p>
        </w:tc>
      </w:tr>
      <w:tr w:rsidR="00BE2BE5" w:rsidRPr="00783424" w14:paraId="784B4327" w14:textId="77777777" w:rsidTr="00083E4D">
        <w:trPr>
          <w:trHeight w:val="288"/>
        </w:trPr>
        <w:tc>
          <w:tcPr>
            <w:tcW w:w="1980" w:type="dxa"/>
            <w:noWrap/>
            <w:vAlign w:val="center"/>
            <w:hideMark/>
          </w:tcPr>
          <w:p w14:paraId="362380D9" w14:textId="77777777" w:rsidR="00BE2BE5" w:rsidRPr="00783424" w:rsidRDefault="00BE2BE5" w:rsidP="00083E4D">
            <w:r w:rsidRPr="00783424">
              <w:t>IC</w:t>
            </w:r>
          </w:p>
        </w:tc>
        <w:tc>
          <w:tcPr>
            <w:tcW w:w="2268" w:type="dxa"/>
            <w:noWrap/>
            <w:vAlign w:val="center"/>
            <w:hideMark/>
          </w:tcPr>
          <w:p w14:paraId="0B12DF33" w14:textId="77777777" w:rsidR="00BE2BE5" w:rsidRPr="00783424" w:rsidRDefault="00BE2BE5" w:rsidP="00083E4D">
            <w:r w:rsidRPr="00783424">
              <w:t>0.104</w:t>
            </w:r>
          </w:p>
        </w:tc>
        <w:tc>
          <w:tcPr>
            <w:tcW w:w="2268" w:type="dxa"/>
            <w:noWrap/>
            <w:vAlign w:val="center"/>
            <w:hideMark/>
          </w:tcPr>
          <w:p w14:paraId="6E095D40" w14:textId="77777777" w:rsidR="00BE2BE5" w:rsidRPr="00783424" w:rsidRDefault="00BE2BE5" w:rsidP="00083E4D">
            <w:r w:rsidRPr="00783424">
              <w:t>-0.229</w:t>
            </w:r>
          </w:p>
        </w:tc>
      </w:tr>
      <w:tr w:rsidR="00BE2BE5" w:rsidRPr="00783424" w14:paraId="20CD11E3" w14:textId="77777777" w:rsidTr="00083E4D">
        <w:trPr>
          <w:trHeight w:val="288"/>
        </w:trPr>
        <w:tc>
          <w:tcPr>
            <w:tcW w:w="1980" w:type="dxa"/>
            <w:noWrap/>
            <w:vAlign w:val="center"/>
            <w:hideMark/>
          </w:tcPr>
          <w:p w14:paraId="7A5C2660" w14:textId="77777777" w:rsidR="00BE2BE5" w:rsidRPr="00783424" w:rsidRDefault="00BE2BE5" w:rsidP="00083E4D">
            <w:r w:rsidRPr="00783424">
              <w:t>IFO</w:t>
            </w:r>
          </w:p>
        </w:tc>
        <w:tc>
          <w:tcPr>
            <w:tcW w:w="2268" w:type="dxa"/>
            <w:noWrap/>
            <w:vAlign w:val="center"/>
            <w:hideMark/>
          </w:tcPr>
          <w:p w14:paraId="3C3930C7" w14:textId="77777777" w:rsidR="00BE2BE5" w:rsidRPr="00783424" w:rsidRDefault="00BE2BE5" w:rsidP="00083E4D">
            <w:r w:rsidRPr="00783424">
              <w:t>0.093</w:t>
            </w:r>
          </w:p>
        </w:tc>
        <w:tc>
          <w:tcPr>
            <w:tcW w:w="2268" w:type="dxa"/>
            <w:noWrap/>
            <w:vAlign w:val="center"/>
            <w:hideMark/>
          </w:tcPr>
          <w:p w14:paraId="79111E87" w14:textId="77777777" w:rsidR="00BE2BE5" w:rsidRPr="00783424" w:rsidRDefault="00BE2BE5" w:rsidP="00083E4D">
            <w:r w:rsidRPr="00783424">
              <w:t>-0.121</w:t>
            </w:r>
          </w:p>
        </w:tc>
      </w:tr>
      <w:tr w:rsidR="00BE2BE5" w:rsidRPr="00783424" w14:paraId="575EB5A2" w14:textId="77777777" w:rsidTr="00083E4D">
        <w:trPr>
          <w:trHeight w:val="288"/>
        </w:trPr>
        <w:tc>
          <w:tcPr>
            <w:tcW w:w="1980" w:type="dxa"/>
            <w:noWrap/>
            <w:vAlign w:val="center"/>
            <w:hideMark/>
          </w:tcPr>
          <w:p w14:paraId="7633FA38" w14:textId="77777777" w:rsidR="00BE2BE5" w:rsidRPr="00783424" w:rsidRDefault="00BE2BE5" w:rsidP="00083E4D">
            <w:r w:rsidRPr="00783424">
              <w:t>PCR</w:t>
            </w:r>
          </w:p>
        </w:tc>
        <w:tc>
          <w:tcPr>
            <w:tcW w:w="2268" w:type="dxa"/>
            <w:noWrap/>
            <w:vAlign w:val="center"/>
            <w:hideMark/>
          </w:tcPr>
          <w:p w14:paraId="43131E7F" w14:textId="77777777" w:rsidR="00BE2BE5" w:rsidRPr="00783424" w:rsidRDefault="00BE2BE5" w:rsidP="00083E4D">
            <w:r w:rsidRPr="00783424">
              <w:t>0.143</w:t>
            </w:r>
          </w:p>
        </w:tc>
        <w:tc>
          <w:tcPr>
            <w:tcW w:w="2268" w:type="dxa"/>
            <w:noWrap/>
            <w:vAlign w:val="center"/>
            <w:hideMark/>
          </w:tcPr>
          <w:p w14:paraId="4F85B432" w14:textId="77777777" w:rsidR="00BE2BE5" w:rsidRPr="00783424" w:rsidRDefault="00BE2BE5" w:rsidP="00083E4D">
            <w:r w:rsidRPr="00783424">
              <w:t>-0.202</w:t>
            </w:r>
          </w:p>
        </w:tc>
      </w:tr>
      <w:tr w:rsidR="00BE2BE5" w:rsidRPr="00783424" w14:paraId="7788B026" w14:textId="77777777" w:rsidTr="00083E4D">
        <w:trPr>
          <w:trHeight w:val="288"/>
        </w:trPr>
        <w:tc>
          <w:tcPr>
            <w:tcW w:w="1980" w:type="dxa"/>
            <w:noWrap/>
            <w:vAlign w:val="center"/>
            <w:hideMark/>
          </w:tcPr>
          <w:p w14:paraId="676AEF07" w14:textId="77777777" w:rsidR="00BE2BE5" w:rsidRPr="00783424" w:rsidRDefault="00BE2BE5" w:rsidP="00083E4D">
            <w:r w:rsidRPr="00783424">
              <w:t>PLIC</w:t>
            </w:r>
          </w:p>
        </w:tc>
        <w:tc>
          <w:tcPr>
            <w:tcW w:w="2268" w:type="dxa"/>
            <w:noWrap/>
            <w:vAlign w:val="center"/>
            <w:hideMark/>
          </w:tcPr>
          <w:p w14:paraId="0C60BDF5" w14:textId="77777777" w:rsidR="00BE2BE5" w:rsidRPr="00783424" w:rsidRDefault="00BE2BE5" w:rsidP="00083E4D">
            <w:r w:rsidRPr="00783424">
              <w:t>0.105</w:t>
            </w:r>
          </w:p>
        </w:tc>
        <w:tc>
          <w:tcPr>
            <w:tcW w:w="2268" w:type="dxa"/>
            <w:noWrap/>
            <w:vAlign w:val="center"/>
            <w:hideMark/>
          </w:tcPr>
          <w:p w14:paraId="76640E62" w14:textId="77777777" w:rsidR="00BE2BE5" w:rsidRPr="00783424" w:rsidRDefault="00BE2BE5" w:rsidP="00083E4D">
            <w:r w:rsidRPr="00783424">
              <w:t>-0.154</w:t>
            </w:r>
          </w:p>
        </w:tc>
      </w:tr>
      <w:tr w:rsidR="00BE2BE5" w:rsidRPr="00783424" w14:paraId="289F9689" w14:textId="77777777" w:rsidTr="00083E4D">
        <w:trPr>
          <w:trHeight w:val="288"/>
        </w:trPr>
        <w:tc>
          <w:tcPr>
            <w:tcW w:w="1980" w:type="dxa"/>
            <w:noWrap/>
            <w:vAlign w:val="center"/>
            <w:hideMark/>
          </w:tcPr>
          <w:p w14:paraId="51DA8708" w14:textId="77777777" w:rsidR="00BE2BE5" w:rsidRPr="00783424" w:rsidRDefault="00BE2BE5" w:rsidP="00083E4D">
            <w:r w:rsidRPr="00783424">
              <w:t>PTR</w:t>
            </w:r>
          </w:p>
        </w:tc>
        <w:tc>
          <w:tcPr>
            <w:tcW w:w="2268" w:type="dxa"/>
            <w:noWrap/>
            <w:vAlign w:val="center"/>
            <w:hideMark/>
          </w:tcPr>
          <w:p w14:paraId="477B2708" w14:textId="77777777" w:rsidR="00BE2BE5" w:rsidRPr="00783424" w:rsidRDefault="00BE2BE5" w:rsidP="00083E4D">
            <w:r w:rsidRPr="00783424">
              <w:t>0.111</w:t>
            </w:r>
          </w:p>
        </w:tc>
        <w:tc>
          <w:tcPr>
            <w:tcW w:w="2268" w:type="dxa"/>
            <w:noWrap/>
            <w:vAlign w:val="center"/>
            <w:hideMark/>
          </w:tcPr>
          <w:p w14:paraId="5A9531AD" w14:textId="77777777" w:rsidR="00BE2BE5" w:rsidRPr="00783424" w:rsidRDefault="00BE2BE5" w:rsidP="00083E4D">
            <w:r w:rsidRPr="00783424">
              <w:t>-0.135</w:t>
            </w:r>
          </w:p>
        </w:tc>
      </w:tr>
      <w:tr w:rsidR="00BE2BE5" w:rsidRPr="00783424" w14:paraId="48E7A968" w14:textId="77777777" w:rsidTr="00083E4D">
        <w:trPr>
          <w:trHeight w:val="288"/>
        </w:trPr>
        <w:tc>
          <w:tcPr>
            <w:tcW w:w="1980" w:type="dxa"/>
            <w:noWrap/>
            <w:vAlign w:val="center"/>
            <w:hideMark/>
          </w:tcPr>
          <w:p w14:paraId="0D5ED3B3" w14:textId="77777777" w:rsidR="00BE2BE5" w:rsidRPr="00783424" w:rsidRDefault="00BE2BE5" w:rsidP="00083E4D">
            <w:r w:rsidRPr="00783424">
              <w:t>RLIC</w:t>
            </w:r>
          </w:p>
        </w:tc>
        <w:tc>
          <w:tcPr>
            <w:tcW w:w="2268" w:type="dxa"/>
            <w:noWrap/>
            <w:vAlign w:val="center"/>
            <w:hideMark/>
          </w:tcPr>
          <w:p w14:paraId="09EC29E9" w14:textId="77777777" w:rsidR="00BE2BE5" w:rsidRPr="00783424" w:rsidRDefault="00BE2BE5" w:rsidP="00083E4D">
            <w:r w:rsidRPr="00783424">
              <w:t>0.075</w:t>
            </w:r>
          </w:p>
        </w:tc>
        <w:tc>
          <w:tcPr>
            <w:tcW w:w="2268" w:type="dxa"/>
            <w:noWrap/>
            <w:vAlign w:val="center"/>
            <w:hideMark/>
          </w:tcPr>
          <w:p w14:paraId="441085BE" w14:textId="77777777" w:rsidR="00BE2BE5" w:rsidRPr="00783424" w:rsidRDefault="00BE2BE5" w:rsidP="00083E4D">
            <w:r w:rsidRPr="00783424">
              <w:t>-0.151</w:t>
            </w:r>
          </w:p>
        </w:tc>
      </w:tr>
      <w:tr w:rsidR="00BE2BE5" w:rsidRPr="00783424" w14:paraId="6500224C" w14:textId="77777777" w:rsidTr="00083E4D">
        <w:trPr>
          <w:trHeight w:val="288"/>
        </w:trPr>
        <w:tc>
          <w:tcPr>
            <w:tcW w:w="1980" w:type="dxa"/>
            <w:noWrap/>
            <w:vAlign w:val="center"/>
            <w:hideMark/>
          </w:tcPr>
          <w:p w14:paraId="7A5ADD62" w14:textId="77777777" w:rsidR="00BE2BE5" w:rsidRPr="00783424" w:rsidRDefault="00BE2BE5" w:rsidP="00083E4D">
            <w:r w:rsidRPr="00783424">
              <w:t>SCC</w:t>
            </w:r>
          </w:p>
        </w:tc>
        <w:tc>
          <w:tcPr>
            <w:tcW w:w="2268" w:type="dxa"/>
            <w:noWrap/>
            <w:vAlign w:val="center"/>
            <w:hideMark/>
          </w:tcPr>
          <w:p w14:paraId="0AEBFA4E" w14:textId="77777777" w:rsidR="00BE2BE5" w:rsidRPr="00783424" w:rsidRDefault="00BE2BE5" w:rsidP="00083E4D">
            <w:r w:rsidRPr="00783424">
              <w:t>0.143</w:t>
            </w:r>
          </w:p>
        </w:tc>
        <w:tc>
          <w:tcPr>
            <w:tcW w:w="2268" w:type="dxa"/>
            <w:noWrap/>
            <w:vAlign w:val="center"/>
            <w:hideMark/>
          </w:tcPr>
          <w:p w14:paraId="19EE4600" w14:textId="77777777" w:rsidR="00BE2BE5" w:rsidRPr="00783424" w:rsidRDefault="00BE2BE5" w:rsidP="00083E4D">
            <w:r w:rsidRPr="00783424">
              <w:t>-0.13</w:t>
            </w:r>
          </w:p>
        </w:tc>
      </w:tr>
      <w:tr w:rsidR="00BE2BE5" w:rsidRPr="00783424" w14:paraId="4810FA5C" w14:textId="77777777" w:rsidTr="00083E4D">
        <w:trPr>
          <w:trHeight w:val="288"/>
        </w:trPr>
        <w:tc>
          <w:tcPr>
            <w:tcW w:w="1980" w:type="dxa"/>
            <w:noWrap/>
            <w:vAlign w:val="center"/>
            <w:hideMark/>
          </w:tcPr>
          <w:p w14:paraId="5130B592" w14:textId="77777777" w:rsidR="00BE2BE5" w:rsidRPr="00783424" w:rsidRDefault="00BE2BE5" w:rsidP="00083E4D">
            <w:r w:rsidRPr="00783424">
              <w:t>SCR</w:t>
            </w:r>
          </w:p>
        </w:tc>
        <w:tc>
          <w:tcPr>
            <w:tcW w:w="2268" w:type="dxa"/>
            <w:noWrap/>
            <w:vAlign w:val="center"/>
            <w:hideMark/>
          </w:tcPr>
          <w:p w14:paraId="54B27476" w14:textId="77777777" w:rsidR="00BE2BE5" w:rsidRPr="00783424" w:rsidRDefault="00BE2BE5" w:rsidP="00083E4D">
            <w:r w:rsidRPr="00783424">
              <w:t>0.192</w:t>
            </w:r>
          </w:p>
        </w:tc>
        <w:tc>
          <w:tcPr>
            <w:tcW w:w="2268" w:type="dxa"/>
            <w:noWrap/>
            <w:vAlign w:val="center"/>
            <w:hideMark/>
          </w:tcPr>
          <w:p w14:paraId="5D2AA536" w14:textId="77777777" w:rsidR="00BE2BE5" w:rsidRPr="00783424" w:rsidRDefault="00BE2BE5" w:rsidP="00083E4D">
            <w:r w:rsidRPr="00783424">
              <w:t>-0.197</w:t>
            </w:r>
          </w:p>
        </w:tc>
      </w:tr>
      <w:tr w:rsidR="00BE2BE5" w:rsidRPr="00783424" w14:paraId="04C6A1EE" w14:textId="77777777" w:rsidTr="00083E4D">
        <w:trPr>
          <w:trHeight w:val="288"/>
        </w:trPr>
        <w:tc>
          <w:tcPr>
            <w:tcW w:w="1980" w:type="dxa"/>
            <w:noWrap/>
            <w:vAlign w:val="center"/>
            <w:hideMark/>
          </w:tcPr>
          <w:p w14:paraId="4E616AEC" w14:textId="77777777" w:rsidR="00BE2BE5" w:rsidRPr="00783424" w:rsidRDefault="00BE2BE5" w:rsidP="00083E4D">
            <w:r w:rsidRPr="00783424">
              <w:t>SFO</w:t>
            </w:r>
          </w:p>
        </w:tc>
        <w:tc>
          <w:tcPr>
            <w:tcW w:w="2268" w:type="dxa"/>
            <w:noWrap/>
            <w:vAlign w:val="center"/>
            <w:hideMark/>
          </w:tcPr>
          <w:p w14:paraId="0A4FAEDD" w14:textId="77777777" w:rsidR="00BE2BE5" w:rsidRPr="00783424" w:rsidRDefault="00BE2BE5" w:rsidP="00083E4D">
            <w:r w:rsidRPr="00783424">
              <w:t>0.164</w:t>
            </w:r>
          </w:p>
        </w:tc>
        <w:tc>
          <w:tcPr>
            <w:tcW w:w="2268" w:type="dxa"/>
            <w:noWrap/>
            <w:vAlign w:val="center"/>
            <w:hideMark/>
          </w:tcPr>
          <w:p w14:paraId="2DF40092" w14:textId="77777777" w:rsidR="00BE2BE5" w:rsidRPr="00783424" w:rsidRDefault="00BE2BE5" w:rsidP="00083E4D">
            <w:r w:rsidRPr="00783424">
              <w:t>-0.232</w:t>
            </w:r>
          </w:p>
        </w:tc>
      </w:tr>
      <w:tr w:rsidR="00BE2BE5" w:rsidRPr="00783424" w14:paraId="412B4184" w14:textId="77777777" w:rsidTr="00083E4D">
        <w:trPr>
          <w:trHeight w:val="288"/>
        </w:trPr>
        <w:tc>
          <w:tcPr>
            <w:tcW w:w="1980" w:type="dxa"/>
            <w:noWrap/>
            <w:vAlign w:val="center"/>
            <w:hideMark/>
          </w:tcPr>
          <w:p w14:paraId="533EE67A" w14:textId="77777777" w:rsidR="00BE2BE5" w:rsidRPr="00783424" w:rsidRDefault="00BE2BE5" w:rsidP="00083E4D">
            <w:r w:rsidRPr="00783424">
              <w:t>SLF</w:t>
            </w:r>
          </w:p>
        </w:tc>
        <w:tc>
          <w:tcPr>
            <w:tcW w:w="2268" w:type="dxa"/>
            <w:noWrap/>
            <w:vAlign w:val="center"/>
            <w:hideMark/>
          </w:tcPr>
          <w:p w14:paraId="2F1CA6F2" w14:textId="77777777" w:rsidR="00BE2BE5" w:rsidRPr="00783424" w:rsidRDefault="00BE2BE5" w:rsidP="00083E4D">
            <w:r w:rsidRPr="00783424">
              <w:t>0.126</w:t>
            </w:r>
          </w:p>
        </w:tc>
        <w:tc>
          <w:tcPr>
            <w:tcW w:w="2268" w:type="dxa"/>
            <w:noWrap/>
            <w:vAlign w:val="center"/>
            <w:hideMark/>
          </w:tcPr>
          <w:p w14:paraId="793D5678" w14:textId="77777777" w:rsidR="00BE2BE5" w:rsidRPr="00783424" w:rsidRDefault="00BE2BE5" w:rsidP="00083E4D">
            <w:r w:rsidRPr="00783424">
              <w:t>-0.169</w:t>
            </w:r>
          </w:p>
        </w:tc>
      </w:tr>
      <w:tr w:rsidR="00BE2BE5" w:rsidRPr="00783424" w14:paraId="29AED9A9" w14:textId="77777777" w:rsidTr="00083E4D">
        <w:trPr>
          <w:trHeight w:val="288"/>
        </w:trPr>
        <w:tc>
          <w:tcPr>
            <w:tcW w:w="1980" w:type="dxa"/>
            <w:noWrap/>
            <w:vAlign w:val="center"/>
            <w:hideMark/>
          </w:tcPr>
          <w:p w14:paraId="337D2B9D" w14:textId="77777777" w:rsidR="00BE2BE5" w:rsidRPr="00783424" w:rsidRDefault="00BE2BE5" w:rsidP="00083E4D">
            <w:r w:rsidRPr="00783424">
              <w:t>SS</w:t>
            </w:r>
          </w:p>
        </w:tc>
        <w:tc>
          <w:tcPr>
            <w:tcW w:w="2268" w:type="dxa"/>
            <w:noWrap/>
            <w:vAlign w:val="center"/>
            <w:hideMark/>
          </w:tcPr>
          <w:p w14:paraId="63FEE486" w14:textId="77777777" w:rsidR="00BE2BE5" w:rsidRPr="00783424" w:rsidRDefault="00BE2BE5" w:rsidP="00083E4D">
            <w:r w:rsidRPr="00783424">
              <w:t>0.12</w:t>
            </w:r>
          </w:p>
        </w:tc>
        <w:tc>
          <w:tcPr>
            <w:tcW w:w="2268" w:type="dxa"/>
            <w:noWrap/>
            <w:vAlign w:val="center"/>
            <w:hideMark/>
          </w:tcPr>
          <w:p w14:paraId="4491D540" w14:textId="77777777" w:rsidR="00BE2BE5" w:rsidRPr="00783424" w:rsidRDefault="00BE2BE5" w:rsidP="00083E4D">
            <w:r w:rsidRPr="00783424">
              <w:t>-0.23</w:t>
            </w:r>
          </w:p>
        </w:tc>
      </w:tr>
      <w:tr w:rsidR="00BE2BE5" w:rsidRPr="00783424" w14:paraId="126A0CBF" w14:textId="77777777" w:rsidTr="00083E4D">
        <w:trPr>
          <w:trHeight w:val="288"/>
        </w:trPr>
        <w:tc>
          <w:tcPr>
            <w:tcW w:w="1980" w:type="dxa"/>
            <w:noWrap/>
            <w:vAlign w:val="center"/>
            <w:hideMark/>
          </w:tcPr>
          <w:p w14:paraId="33E0E0F7" w14:textId="77777777" w:rsidR="00BE2BE5" w:rsidRPr="00783424" w:rsidRDefault="00BE2BE5" w:rsidP="00083E4D">
            <w:r w:rsidRPr="00783424">
              <w:t>UNC</w:t>
            </w:r>
          </w:p>
        </w:tc>
        <w:tc>
          <w:tcPr>
            <w:tcW w:w="2268" w:type="dxa"/>
            <w:noWrap/>
            <w:vAlign w:val="center"/>
            <w:hideMark/>
          </w:tcPr>
          <w:p w14:paraId="552342E3" w14:textId="77777777" w:rsidR="00BE2BE5" w:rsidRPr="00783424" w:rsidRDefault="00BE2BE5" w:rsidP="00083E4D">
            <w:r w:rsidRPr="00783424">
              <w:t>0.052</w:t>
            </w:r>
          </w:p>
        </w:tc>
        <w:tc>
          <w:tcPr>
            <w:tcW w:w="2268" w:type="dxa"/>
            <w:noWrap/>
            <w:vAlign w:val="center"/>
            <w:hideMark/>
          </w:tcPr>
          <w:p w14:paraId="44C9F287" w14:textId="77777777" w:rsidR="00BE2BE5" w:rsidRPr="00783424" w:rsidRDefault="00BE2BE5" w:rsidP="00083E4D">
            <w:r w:rsidRPr="00783424">
              <w:t>-0.12</w:t>
            </w:r>
          </w:p>
        </w:tc>
      </w:tr>
      <w:tr w:rsidR="00BE2BE5" w:rsidRPr="00783424" w14:paraId="15E5F679" w14:textId="77777777" w:rsidTr="00083E4D">
        <w:trPr>
          <w:trHeight w:val="288"/>
        </w:trPr>
        <w:tc>
          <w:tcPr>
            <w:tcW w:w="1980" w:type="dxa"/>
            <w:noWrap/>
            <w:vAlign w:val="center"/>
            <w:hideMark/>
          </w:tcPr>
          <w:p w14:paraId="0977BDDA" w14:textId="77777777" w:rsidR="00BE2BE5" w:rsidRPr="00783424" w:rsidRDefault="00BE2BE5" w:rsidP="00083E4D">
            <w:r w:rsidRPr="00783424">
              <w:t>Average</w:t>
            </w:r>
          </w:p>
        </w:tc>
        <w:tc>
          <w:tcPr>
            <w:tcW w:w="2268" w:type="dxa"/>
            <w:noWrap/>
            <w:vAlign w:val="center"/>
            <w:hideMark/>
          </w:tcPr>
          <w:p w14:paraId="51BB0C17" w14:textId="77777777" w:rsidR="00BE2BE5" w:rsidRPr="00783424" w:rsidRDefault="00BE2BE5" w:rsidP="00083E4D">
            <w:r w:rsidRPr="00783424">
              <w:t>0.176</w:t>
            </w:r>
          </w:p>
        </w:tc>
        <w:tc>
          <w:tcPr>
            <w:tcW w:w="2268" w:type="dxa"/>
            <w:noWrap/>
            <w:vAlign w:val="center"/>
            <w:hideMark/>
          </w:tcPr>
          <w:p w14:paraId="0FCBBB87" w14:textId="77777777" w:rsidR="00BE2BE5" w:rsidRPr="00783424" w:rsidRDefault="00BE2BE5" w:rsidP="00083E4D">
            <w:r w:rsidRPr="00783424">
              <w:t>-0.258</w:t>
            </w:r>
          </w:p>
        </w:tc>
      </w:tr>
    </w:tbl>
    <w:p w14:paraId="43714C02" w14:textId="77777777" w:rsidR="00A70E4F" w:rsidRDefault="00A70E4F" w:rsidP="00BE2BE5">
      <w:pPr>
        <w:rPr>
          <w:rFonts w:cstheme="minorHAnsi"/>
          <w:b/>
          <w:bCs/>
        </w:rPr>
      </w:pPr>
    </w:p>
    <w:p w14:paraId="2D95BDC2" w14:textId="77777777" w:rsidR="00A70E4F" w:rsidRDefault="00A70E4F">
      <w:pPr>
        <w:rPr>
          <w:rFonts w:cstheme="minorHAnsi"/>
          <w:b/>
          <w:bCs/>
        </w:rPr>
      </w:pPr>
      <w:r>
        <w:rPr>
          <w:rFonts w:cstheme="minorHAnsi"/>
          <w:b/>
          <w:bCs/>
        </w:rPr>
        <w:br w:type="page"/>
      </w:r>
    </w:p>
    <w:p w14:paraId="5FC5E8C0" w14:textId="77777777" w:rsidR="00A70E4F" w:rsidRDefault="00A70E4F" w:rsidP="00BE2BE5">
      <w:pPr>
        <w:rPr>
          <w:rFonts w:cstheme="minorHAnsi"/>
          <w:b/>
          <w:bCs/>
        </w:rPr>
        <w:sectPr w:rsidR="00A70E4F" w:rsidSect="00AF11B3">
          <w:type w:val="continuous"/>
          <w:pgSz w:w="11906" w:h="16838"/>
          <w:pgMar w:top="1440" w:right="1440" w:bottom="1440" w:left="1440" w:header="708" w:footer="708" w:gutter="0"/>
          <w:cols w:space="708"/>
          <w:docGrid w:linePitch="360"/>
        </w:sectPr>
      </w:pPr>
    </w:p>
    <w:p w14:paraId="11169489" w14:textId="3832E7A9" w:rsidR="00A70E4F" w:rsidRPr="00895ED5" w:rsidRDefault="00A70E4F" w:rsidP="00A70E4F">
      <w:r w:rsidRPr="00EA54CB">
        <w:rPr>
          <w:b/>
          <w:bCs/>
        </w:rPr>
        <w:lastRenderedPageBreak/>
        <w:t>Table S</w:t>
      </w:r>
      <w:r>
        <w:rPr>
          <w:b/>
          <w:bCs/>
        </w:rPr>
        <w:t>5</w:t>
      </w:r>
      <w:r w:rsidRPr="00EA54CB">
        <w:rPr>
          <w:b/>
          <w:bCs/>
        </w:rPr>
        <w:t>.</w:t>
      </w:r>
      <w:r w:rsidRPr="00895ED5">
        <w:t xml:space="preserve"> </w:t>
      </w:r>
      <w:r>
        <w:t xml:space="preserve">Standardised betas from linear regression analyses examining the association between FA values and severity of symptoms measured by the Beck Depression Inventory </w:t>
      </w:r>
      <w:r w:rsidR="00BA104C">
        <w:t xml:space="preserve">in adults only. This table was obtained from Table S92 in van </w:t>
      </w:r>
      <w:proofErr w:type="spellStart"/>
      <w:r w:rsidR="00BA104C">
        <w:t>Velzen</w:t>
      </w:r>
      <w:proofErr w:type="spellEnd"/>
      <w:r w:rsidR="00BA104C">
        <w:t xml:space="preserve"> et al [12]. </w:t>
      </w:r>
    </w:p>
    <w:p w14:paraId="4C8AA388" w14:textId="77777777" w:rsidR="00A70E4F" w:rsidRDefault="00A70E4F" w:rsidP="00A70E4F">
      <w:pPr>
        <w:rPr>
          <w:rFonts w:ascii="Arial" w:hAnsi="Arial" w:cs="Arial"/>
          <w:b/>
          <w:sz w:val="20"/>
          <w:szCs w:val="20"/>
          <w:lang w:val="en-AU"/>
        </w:rPr>
      </w:pPr>
    </w:p>
    <w:tbl>
      <w:tblPr>
        <w:tblW w:w="1281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385"/>
        <w:gridCol w:w="1444"/>
        <w:gridCol w:w="1414"/>
        <w:gridCol w:w="1414"/>
        <w:gridCol w:w="1415"/>
        <w:gridCol w:w="1415"/>
        <w:gridCol w:w="1415"/>
        <w:gridCol w:w="1493"/>
        <w:gridCol w:w="1415"/>
      </w:tblGrid>
      <w:tr w:rsidR="00A70E4F" w14:paraId="292F260B" w14:textId="77777777" w:rsidTr="00A70E4F">
        <w:trPr>
          <w:trHeight w:val="127"/>
        </w:trPr>
        <w:tc>
          <w:tcPr>
            <w:tcW w:w="1384" w:type="dxa"/>
            <w:tcBorders>
              <w:top w:val="single" w:sz="4" w:space="0" w:color="auto"/>
              <w:left w:val="nil"/>
              <w:bottom w:val="single" w:sz="4" w:space="0" w:color="auto"/>
              <w:right w:val="nil"/>
            </w:tcBorders>
            <w:hideMark/>
          </w:tcPr>
          <w:p w14:paraId="7DB0650E" w14:textId="77777777" w:rsidR="00A70E4F" w:rsidRDefault="00A70E4F" w:rsidP="00A70E4F">
            <w:pPr>
              <w:rPr>
                <w:rFonts w:ascii="Arial" w:hAnsi="Arial" w:cs="Arial"/>
                <w:sz w:val="20"/>
                <w:szCs w:val="20"/>
              </w:rPr>
            </w:pPr>
            <w:r>
              <w:rPr>
                <w:rFonts w:ascii="Arial" w:hAnsi="Arial" w:cs="Arial"/>
                <w:sz w:val="20"/>
                <w:szCs w:val="20"/>
              </w:rPr>
              <w:t>Region</w:t>
            </w:r>
          </w:p>
        </w:tc>
        <w:tc>
          <w:tcPr>
            <w:tcW w:w="1444" w:type="dxa"/>
            <w:tcBorders>
              <w:top w:val="single" w:sz="4" w:space="0" w:color="auto"/>
              <w:left w:val="nil"/>
              <w:bottom w:val="single" w:sz="4" w:space="0" w:color="auto"/>
              <w:right w:val="nil"/>
            </w:tcBorders>
            <w:hideMark/>
          </w:tcPr>
          <w:p w14:paraId="7321C351" w14:textId="77777777" w:rsidR="00A70E4F" w:rsidRDefault="00A70E4F" w:rsidP="00A70E4F">
            <w:pPr>
              <w:jc w:val="center"/>
              <w:rPr>
                <w:rFonts w:ascii="Arial" w:hAnsi="Arial" w:cs="Arial"/>
                <w:sz w:val="20"/>
                <w:szCs w:val="20"/>
              </w:rPr>
            </w:pPr>
            <w:r>
              <w:rPr>
                <w:rFonts w:ascii="Arial" w:hAnsi="Arial" w:cs="Arial"/>
                <w:sz w:val="20"/>
                <w:szCs w:val="20"/>
              </w:rPr>
              <w:t>Beta</w:t>
            </w:r>
          </w:p>
        </w:tc>
        <w:tc>
          <w:tcPr>
            <w:tcW w:w="1414" w:type="dxa"/>
            <w:tcBorders>
              <w:top w:val="single" w:sz="4" w:space="0" w:color="auto"/>
              <w:left w:val="nil"/>
              <w:bottom w:val="single" w:sz="4" w:space="0" w:color="auto"/>
              <w:right w:val="nil"/>
            </w:tcBorders>
            <w:hideMark/>
          </w:tcPr>
          <w:p w14:paraId="714EF6BB" w14:textId="77777777" w:rsidR="00A70E4F" w:rsidRDefault="00A70E4F" w:rsidP="00A70E4F">
            <w:pPr>
              <w:jc w:val="center"/>
              <w:rPr>
                <w:rFonts w:ascii="Arial" w:hAnsi="Arial" w:cs="Arial"/>
                <w:sz w:val="20"/>
                <w:szCs w:val="20"/>
              </w:rPr>
            </w:pPr>
            <w:r>
              <w:rPr>
                <w:rFonts w:ascii="Arial" w:hAnsi="Arial" w:cs="Arial"/>
                <w:sz w:val="20"/>
                <w:szCs w:val="20"/>
              </w:rPr>
              <w:t>SE</w:t>
            </w:r>
          </w:p>
        </w:tc>
        <w:tc>
          <w:tcPr>
            <w:tcW w:w="1414" w:type="dxa"/>
            <w:tcBorders>
              <w:top w:val="single" w:sz="4" w:space="0" w:color="auto"/>
              <w:left w:val="nil"/>
              <w:bottom w:val="single" w:sz="4" w:space="0" w:color="auto"/>
              <w:right w:val="nil"/>
            </w:tcBorders>
            <w:hideMark/>
          </w:tcPr>
          <w:p w14:paraId="7D5C4AF5" w14:textId="77777777" w:rsidR="00A70E4F" w:rsidRDefault="00A70E4F" w:rsidP="00A70E4F">
            <w:pPr>
              <w:jc w:val="center"/>
              <w:rPr>
                <w:rFonts w:ascii="Arial" w:hAnsi="Arial" w:cs="Arial"/>
                <w:sz w:val="20"/>
                <w:szCs w:val="20"/>
              </w:rPr>
            </w:pPr>
            <w:r>
              <w:rPr>
                <w:rFonts w:ascii="Arial" w:hAnsi="Arial" w:cs="Arial"/>
                <w:sz w:val="20"/>
                <w:szCs w:val="20"/>
              </w:rPr>
              <w:t>CI LB</w:t>
            </w:r>
          </w:p>
        </w:tc>
        <w:tc>
          <w:tcPr>
            <w:tcW w:w="1415" w:type="dxa"/>
            <w:tcBorders>
              <w:top w:val="single" w:sz="4" w:space="0" w:color="auto"/>
              <w:left w:val="nil"/>
              <w:bottom w:val="single" w:sz="4" w:space="0" w:color="auto"/>
              <w:right w:val="nil"/>
            </w:tcBorders>
            <w:hideMark/>
          </w:tcPr>
          <w:p w14:paraId="58B48FEA" w14:textId="77777777" w:rsidR="00A70E4F" w:rsidRDefault="00A70E4F" w:rsidP="00A70E4F">
            <w:pPr>
              <w:jc w:val="center"/>
              <w:rPr>
                <w:rFonts w:ascii="Arial" w:hAnsi="Arial" w:cs="Arial"/>
                <w:sz w:val="20"/>
                <w:szCs w:val="20"/>
              </w:rPr>
            </w:pPr>
            <w:r>
              <w:rPr>
                <w:rFonts w:ascii="Arial" w:hAnsi="Arial" w:cs="Arial"/>
                <w:sz w:val="20"/>
                <w:szCs w:val="20"/>
              </w:rPr>
              <w:t>CI UB</w:t>
            </w:r>
          </w:p>
        </w:tc>
        <w:tc>
          <w:tcPr>
            <w:tcW w:w="1415" w:type="dxa"/>
            <w:tcBorders>
              <w:top w:val="single" w:sz="4" w:space="0" w:color="auto"/>
              <w:left w:val="nil"/>
              <w:bottom w:val="single" w:sz="4" w:space="0" w:color="auto"/>
              <w:right w:val="nil"/>
            </w:tcBorders>
            <w:hideMark/>
          </w:tcPr>
          <w:p w14:paraId="2201E80A" w14:textId="77777777" w:rsidR="00A70E4F" w:rsidRDefault="00A70E4F" w:rsidP="00A70E4F">
            <w:pPr>
              <w:jc w:val="center"/>
              <w:rPr>
                <w:rFonts w:ascii="Arial" w:hAnsi="Arial" w:cs="Arial"/>
                <w:sz w:val="20"/>
                <w:szCs w:val="20"/>
              </w:rPr>
            </w:pPr>
            <w:r>
              <w:rPr>
                <w:rFonts w:ascii="Arial" w:hAnsi="Arial" w:cs="Arial"/>
                <w:sz w:val="20"/>
                <w:szCs w:val="20"/>
              </w:rPr>
              <w:t>P-value</w:t>
            </w:r>
          </w:p>
        </w:tc>
        <w:tc>
          <w:tcPr>
            <w:tcW w:w="1415" w:type="dxa"/>
            <w:tcBorders>
              <w:top w:val="single" w:sz="4" w:space="0" w:color="auto"/>
              <w:left w:val="nil"/>
              <w:bottom w:val="single" w:sz="4" w:space="0" w:color="auto"/>
              <w:right w:val="nil"/>
            </w:tcBorders>
            <w:hideMark/>
          </w:tcPr>
          <w:p w14:paraId="3E2F8DEA" w14:textId="77777777" w:rsidR="00A70E4F" w:rsidRDefault="00A70E4F" w:rsidP="00A70E4F">
            <w:pPr>
              <w:jc w:val="center"/>
              <w:rPr>
                <w:rFonts w:ascii="Arial" w:hAnsi="Arial" w:cs="Arial"/>
                <w:sz w:val="20"/>
                <w:szCs w:val="20"/>
              </w:rPr>
            </w:pPr>
            <w:r>
              <w:rPr>
                <w:rFonts w:ascii="Arial" w:hAnsi="Arial" w:cs="Arial"/>
                <w:sz w:val="20"/>
                <w:szCs w:val="20"/>
              </w:rPr>
              <w:t>FDR P-value</w:t>
            </w:r>
          </w:p>
        </w:tc>
        <w:tc>
          <w:tcPr>
            <w:tcW w:w="1493" w:type="dxa"/>
            <w:tcBorders>
              <w:top w:val="single" w:sz="4" w:space="0" w:color="auto"/>
              <w:left w:val="nil"/>
              <w:bottom w:val="single" w:sz="4" w:space="0" w:color="auto"/>
              <w:right w:val="nil"/>
            </w:tcBorders>
            <w:hideMark/>
          </w:tcPr>
          <w:p w14:paraId="41643262" w14:textId="77777777" w:rsidR="00A70E4F" w:rsidRDefault="00A70E4F" w:rsidP="00A70E4F">
            <w:pPr>
              <w:jc w:val="center"/>
              <w:rPr>
                <w:rFonts w:ascii="Arial" w:hAnsi="Arial" w:cs="Arial"/>
                <w:sz w:val="20"/>
                <w:szCs w:val="20"/>
              </w:rPr>
            </w:pPr>
            <w:r>
              <w:rPr>
                <w:rFonts w:ascii="Arial" w:hAnsi="Arial" w:cs="Arial"/>
                <w:sz w:val="20"/>
                <w:szCs w:val="20"/>
              </w:rPr>
              <w:t>I</w:t>
            </w:r>
            <w:r>
              <w:rPr>
                <w:rFonts w:ascii="Arial" w:hAnsi="Arial" w:cs="Arial"/>
                <w:sz w:val="20"/>
                <w:szCs w:val="20"/>
                <w:vertAlign w:val="superscript"/>
              </w:rPr>
              <w:t>2</w:t>
            </w:r>
          </w:p>
        </w:tc>
        <w:tc>
          <w:tcPr>
            <w:tcW w:w="1415" w:type="dxa"/>
            <w:tcBorders>
              <w:top w:val="single" w:sz="4" w:space="0" w:color="auto"/>
              <w:left w:val="nil"/>
              <w:bottom w:val="single" w:sz="4" w:space="0" w:color="auto"/>
              <w:right w:val="nil"/>
            </w:tcBorders>
            <w:hideMark/>
          </w:tcPr>
          <w:p w14:paraId="3BEDB46A" w14:textId="77777777" w:rsidR="00A70E4F" w:rsidRDefault="00A70E4F" w:rsidP="00A70E4F">
            <w:pPr>
              <w:jc w:val="center"/>
              <w:rPr>
                <w:rFonts w:ascii="Arial" w:hAnsi="Arial" w:cs="Arial"/>
                <w:sz w:val="20"/>
                <w:szCs w:val="20"/>
              </w:rPr>
            </w:pPr>
            <w:r>
              <w:rPr>
                <w:rFonts w:ascii="Arial" w:hAnsi="Arial" w:cs="Arial"/>
                <w:sz w:val="20"/>
                <w:szCs w:val="20"/>
              </w:rPr>
              <w:t>N</w:t>
            </w:r>
          </w:p>
        </w:tc>
      </w:tr>
      <w:tr w:rsidR="00A70E4F" w14:paraId="73C556AD" w14:textId="77777777" w:rsidTr="00A70E4F">
        <w:tc>
          <w:tcPr>
            <w:tcW w:w="1384" w:type="dxa"/>
            <w:tcBorders>
              <w:top w:val="single" w:sz="4" w:space="0" w:color="auto"/>
              <w:left w:val="nil"/>
              <w:bottom w:val="nil"/>
              <w:right w:val="nil"/>
            </w:tcBorders>
            <w:hideMark/>
          </w:tcPr>
          <w:p w14:paraId="10D33E2E" w14:textId="77777777" w:rsidR="00A70E4F" w:rsidRDefault="00A70E4F" w:rsidP="00A70E4F">
            <w:pPr>
              <w:rPr>
                <w:rFonts w:ascii="Arial" w:hAnsi="Arial" w:cs="Arial"/>
                <w:sz w:val="20"/>
                <w:szCs w:val="20"/>
              </w:rPr>
            </w:pPr>
            <w:r>
              <w:rPr>
                <w:rFonts w:ascii="Arial" w:hAnsi="Arial" w:cs="Arial"/>
                <w:sz w:val="20"/>
                <w:szCs w:val="20"/>
              </w:rPr>
              <w:t>ACR</w:t>
            </w:r>
          </w:p>
        </w:tc>
        <w:tc>
          <w:tcPr>
            <w:tcW w:w="1444" w:type="dxa"/>
            <w:tcBorders>
              <w:top w:val="single" w:sz="4" w:space="0" w:color="auto"/>
              <w:left w:val="nil"/>
              <w:bottom w:val="nil"/>
              <w:right w:val="nil"/>
            </w:tcBorders>
            <w:vAlign w:val="bottom"/>
            <w:hideMark/>
          </w:tcPr>
          <w:p w14:paraId="13051772"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0.000313</w:t>
            </w:r>
          </w:p>
        </w:tc>
        <w:tc>
          <w:tcPr>
            <w:tcW w:w="1414" w:type="dxa"/>
            <w:tcBorders>
              <w:top w:val="single" w:sz="4" w:space="0" w:color="auto"/>
              <w:left w:val="nil"/>
              <w:bottom w:val="nil"/>
              <w:right w:val="nil"/>
            </w:tcBorders>
            <w:vAlign w:val="bottom"/>
            <w:hideMark/>
          </w:tcPr>
          <w:p w14:paraId="456134C0"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0.000187</w:t>
            </w:r>
          </w:p>
        </w:tc>
        <w:tc>
          <w:tcPr>
            <w:tcW w:w="1414" w:type="dxa"/>
            <w:tcBorders>
              <w:top w:val="single" w:sz="4" w:space="0" w:color="auto"/>
              <w:left w:val="nil"/>
              <w:bottom w:val="nil"/>
              <w:right w:val="nil"/>
            </w:tcBorders>
            <w:vAlign w:val="bottom"/>
            <w:hideMark/>
          </w:tcPr>
          <w:p w14:paraId="3D317667"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-0.000053</w:t>
            </w:r>
          </w:p>
        </w:tc>
        <w:tc>
          <w:tcPr>
            <w:tcW w:w="1415" w:type="dxa"/>
            <w:tcBorders>
              <w:top w:val="single" w:sz="4" w:space="0" w:color="auto"/>
              <w:left w:val="nil"/>
              <w:bottom w:val="nil"/>
              <w:right w:val="nil"/>
            </w:tcBorders>
            <w:vAlign w:val="bottom"/>
            <w:hideMark/>
          </w:tcPr>
          <w:p w14:paraId="2D98204A"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0.000679</w:t>
            </w:r>
          </w:p>
        </w:tc>
        <w:tc>
          <w:tcPr>
            <w:tcW w:w="1415" w:type="dxa"/>
            <w:tcBorders>
              <w:top w:val="single" w:sz="4" w:space="0" w:color="auto"/>
              <w:left w:val="nil"/>
              <w:bottom w:val="nil"/>
              <w:right w:val="nil"/>
            </w:tcBorders>
            <w:vAlign w:val="bottom"/>
            <w:hideMark/>
          </w:tcPr>
          <w:p w14:paraId="401B8CAD"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0.093</w:t>
            </w:r>
          </w:p>
        </w:tc>
        <w:tc>
          <w:tcPr>
            <w:tcW w:w="1415" w:type="dxa"/>
            <w:tcBorders>
              <w:top w:val="single" w:sz="4" w:space="0" w:color="auto"/>
              <w:left w:val="nil"/>
              <w:bottom w:val="nil"/>
              <w:right w:val="nil"/>
            </w:tcBorders>
            <w:vAlign w:val="bottom"/>
            <w:hideMark/>
          </w:tcPr>
          <w:p w14:paraId="7BF0A1DC" w14:textId="77777777" w:rsidR="00A70E4F" w:rsidRDefault="00A70E4F" w:rsidP="00A70E4F">
            <w:pPr>
              <w:jc w:val="center"/>
              <w:rPr>
                <w:rFonts w:ascii="Arial" w:hAnsi="Arial" w:cs="Arial"/>
                <w:sz w:val="20"/>
                <w:szCs w:val="20"/>
              </w:rPr>
            </w:pPr>
            <w:r>
              <w:rPr>
                <w:rFonts w:ascii="Arial" w:eastAsia="Times New Roman" w:hAnsi="Arial" w:cs="Arial"/>
                <w:color w:val="000000"/>
                <w:sz w:val="20"/>
                <w:szCs w:val="20"/>
              </w:rPr>
              <w:t>0.883</w:t>
            </w:r>
          </w:p>
        </w:tc>
        <w:tc>
          <w:tcPr>
            <w:tcW w:w="1493" w:type="dxa"/>
            <w:tcBorders>
              <w:top w:val="single" w:sz="4" w:space="0" w:color="auto"/>
              <w:left w:val="nil"/>
              <w:bottom w:val="nil"/>
              <w:right w:val="nil"/>
            </w:tcBorders>
            <w:vAlign w:val="bottom"/>
            <w:hideMark/>
          </w:tcPr>
          <w:p w14:paraId="597E6D08"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34.109</w:t>
            </w:r>
          </w:p>
        </w:tc>
        <w:tc>
          <w:tcPr>
            <w:tcW w:w="1415" w:type="dxa"/>
            <w:tcBorders>
              <w:top w:val="single" w:sz="4" w:space="0" w:color="auto"/>
              <w:left w:val="nil"/>
              <w:bottom w:val="nil"/>
              <w:right w:val="nil"/>
            </w:tcBorders>
            <w:vAlign w:val="bottom"/>
            <w:hideMark/>
          </w:tcPr>
          <w:p w14:paraId="6229AC56"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477</w:t>
            </w:r>
          </w:p>
        </w:tc>
      </w:tr>
      <w:tr w:rsidR="00A70E4F" w14:paraId="2C771F89" w14:textId="77777777" w:rsidTr="00A70E4F">
        <w:tc>
          <w:tcPr>
            <w:tcW w:w="1384" w:type="dxa"/>
            <w:tcBorders>
              <w:top w:val="nil"/>
              <w:left w:val="nil"/>
              <w:bottom w:val="nil"/>
              <w:right w:val="nil"/>
            </w:tcBorders>
            <w:hideMark/>
          </w:tcPr>
          <w:p w14:paraId="749B1937" w14:textId="77777777" w:rsidR="00A70E4F" w:rsidRDefault="00A70E4F" w:rsidP="00A70E4F">
            <w:pPr>
              <w:rPr>
                <w:rFonts w:ascii="Arial" w:hAnsi="Arial" w:cs="Arial"/>
                <w:sz w:val="20"/>
                <w:szCs w:val="20"/>
              </w:rPr>
            </w:pPr>
            <w:r>
              <w:rPr>
                <w:rFonts w:ascii="Arial" w:hAnsi="Arial" w:cs="Arial"/>
                <w:sz w:val="20"/>
                <w:szCs w:val="20"/>
              </w:rPr>
              <w:t>ALIC</w:t>
            </w:r>
          </w:p>
        </w:tc>
        <w:tc>
          <w:tcPr>
            <w:tcW w:w="1444" w:type="dxa"/>
            <w:tcBorders>
              <w:top w:val="nil"/>
              <w:left w:val="nil"/>
              <w:bottom w:val="nil"/>
              <w:right w:val="nil"/>
            </w:tcBorders>
            <w:vAlign w:val="bottom"/>
            <w:hideMark/>
          </w:tcPr>
          <w:p w14:paraId="7D23423F"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0.000088</w:t>
            </w:r>
          </w:p>
        </w:tc>
        <w:tc>
          <w:tcPr>
            <w:tcW w:w="1414" w:type="dxa"/>
            <w:tcBorders>
              <w:top w:val="nil"/>
              <w:left w:val="nil"/>
              <w:bottom w:val="nil"/>
              <w:right w:val="nil"/>
            </w:tcBorders>
            <w:vAlign w:val="bottom"/>
            <w:hideMark/>
          </w:tcPr>
          <w:p w14:paraId="4CB1610C"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0.000139</w:t>
            </w:r>
          </w:p>
        </w:tc>
        <w:tc>
          <w:tcPr>
            <w:tcW w:w="1414" w:type="dxa"/>
            <w:tcBorders>
              <w:top w:val="nil"/>
              <w:left w:val="nil"/>
              <w:bottom w:val="nil"/>
              <w:right w:val="nil"/>
            </w:tcBorders>
            <w:vAlign w:val="bottom"/>
            <w:hideMark/>
          </w:tcPr>
          <w:p w14:paraId="4BE4F46E"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-0.000184</w:t>
            </w:r>
          </w:p>
        </w:tc>
        <w:tc>
          <w:tcPr>
            <w:tcW w:w="1415" w:type="dxa"/>
            <w:tcBorders>
              <w:top w:val="nil"/>
              <w:left w:val="nil"/>
              <w:bottom w:val="nil"/>
              <w:right w:val="nil"/>
            </w:tcBorders>
            <w:vAlign w:val="bottom"/>
            <w:hideMark/>
          </w:tcPr>
          <w:p w14:paraId="29820F75"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0.000360</w:t>
            </w:r>
          </w:p>
        </w:tc>
        <w:tc>
          <w:tcPr>
            <w:tcW w:w="1415" w:type="dxa"/>
            <w:tcBorders>
              <w:top w:val="nil"/>
              <w:left w:val="nil"/>
              <w:bottom w:val="nil"/>
              <w:right w:val="nil"/>
            </w:tcBorders>
            <w:vAlign w:val="bottom"/>
            <w:hideMark/>
          </w:tcPr>
          <w:p w14:paraId="7D97B9C4"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0.528</w:t>
            </w:r>
          </w:p>
        </w:tc>
        <w:tc>
          <w:tcPr>
            <w:tcW w:w="1415" w:type="dxa"/>
            <w:tcBorders>
              <w:top w:val="nil"/>
              <w:left w:val="nil"/>
              <w:bottom w:val="nil"/>
              <w:right w:val="nil"/>
            </w:tcBorders>
            <w:vAlign w:val="bottom"/>
            <w:hideMark/>
          </w:tcPr>
          <w:p w14:paraId="40BE923C" w14:textId="77777777" w:rsidR="00A70E4F" w:rsidRDefault="00A70E4F" w:rsidP="00A70E4F">
            <w:pPr>
              <w:jc w:val="center"/>
              <w:rPr>
                <w:rFonts w:ascii="Arial" w:hAnsi="Arial" w:cs="Arial"/>
                <w:sz w:val="20"/>
                <w:szCs w:val="20"/>
              </w:rPr>
            </w:pPr>
            <w:r>
              <w:rPr>
                <w:rFonts w:ascii="Arial" w:eastAsia="Times New Roman" w:hAnsi="Arial" w:cs="Arial"/>
                <w:color w:val="000000"/>
                <w:sz w:val="20"/>
                <w:szCs w:val="20"/>
              </w:rPr>
              <w:t>0.975</w:t>
            </w:r>
          </w:p>
        </w:tc>
        <w:tc>
          <w:tcPr>
            <w:tcW w:w="1493" w:type="dxa"/>
            <w:tcBorders>
              <w:top w:val="nil"/>
              <w:left w:val="nil"/>
              <w:bottom w:val="nil"/>
              <w:right w:val="nil"/>
            </w:tcBorders>
            <w:vAlign w:val="bottom"/>
            <w:hideMark/>
          </w:tcPr>
          <w:p w14:paraId="69FCCF5A"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19.424</w:t>
            </w:r>
          </w:p>
        </w:tc>
        <w:tc>
          <w:tcPr>
            <w:tcW w:w="1415" w:type="dxa"/>
            <w:tcBorders>
              <w:top w:val="nil"/>
              <w:left w:val="nil"/>
              <w:bottom w:val="nil"/>
              <w:right w:val="nil"/>
            </w:tcBorders>
            <w:vAlign w:val="bottom"/>
            <w:hideMark/>
          </w:tcPr>
          <w:p w14:paraId="22AB9B72"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477</w:t>
            </w:r>
          </w:p>
        </w:tc>
      </w:tr>
      <w:tr w:rsidR="00A70E4F" w14:paraId="3921A212" w14:textId="77777777" w:rsidTr="00A70E4F">
        <w:tc>
          <w:tcPr>
            <w:tcW w:w="1384" w:type="dxa"/>
            <w:tcBorders>
              <w:top w:val="nil"/>
              <w:left w:val="nil"/>
              <w:bottom w:val="nil"/>
              <w:right w:val="nil"/>
            </w:tcBorders>
            <w:hideMark/>
          </w:tcPr>
          <w:p w14:paraId="71018A4E" w14:textId="77777777" w:rsidR="00A70E4F" w:rsidRDefault="00A70E4F" w:rsidP="00A70E4F">
            <w:pPr>
              <w:rPr>
                <w:rFonts w:ascii="Arial" w:hAnsi="Arial" w:cs="Arial"/>
                <w:sz w:val="20"/>
                <w:szCs w:val="20"/>
              </w:rPr>
            </w:pPr>
            <w:r>
              <w:rPr>
                <w:rFonts w:ascii="Arial" w:hAnsi="Arial" w:cs="Arial"/>
                <w:sz w:val="20"/>
                <w:szCs w:val="20"/>
              </w:rPr>
              <w:t>BCC</w:t>
            </w:r>
          </w:p>
        </w:tc>
        <w:tc>
          <w:tcPr>
            <w:tcW w:w="1444" w:type="dxa"/>
            <w:tcBorders>
              <w:top w:val="nil"/>
              <w:left w:val="nil"/>
              <w:bottom w:val="nil"/>
              <w:right w:val="nil"/>
            </w:tcBorders>
            <w:vAlign w:val="bottom"/>
            <w:hideMark/>
          </w:tcPr>
          <w:p w14:paraId="6323D3BC"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0.000020</w:t>
            </w:r>
          </w:p>
        </w:tc>
        <w:tc>
          <w:tcPr>
            <w:tcW w:w="1414" w:type="dxa"/>
            <w:tcBorders>
              <w:top w:val="nil"/>
              <w:left w:val="nil"/>
              <w:bottom w:val="nil"/>
              <w:right w:val="nil"/>
            </w:tcBorders>
            <w:vAlign w:val="bottom"/>
            <w:hideMark/>
          </w:tcPr>
          <w:p w14:paraId="707EC7CF"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0.000165</w:t>
            </w:r>
          </w:p>
        </w:tc>
        <w:tc>
          <w:tcPr>
            <w:tcW w:w="1414" w:type="dxa"/>
            <w:tcBorders>
              <w:top w:val="nil"/>
              <w:left w:val="nil"/>
              <w:bottom w:val="nil"/>
              <w:right w:val="nil"/>
            </w:tcBorders>
            <w:vAlign w:val="bottom"/>
            <w:hideMark/>
          </w:tcPr>
          <w:p w14:paraId="4AC43B59"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-0.000304</w:t>
            </w:r>
          </w:p>
        </w:tc>
        <w:tc>
          <w:tcPr>
            <w:tcW w:w="1415" w:type="dxa"/>
            <w:tcBorders>
              <w:top w:val="nil"/>
              <w:left w:val="nil"/>
              <w:bottom w:val="nil"/>
              <w:right w:val="nil"/>
            </w:tcBorders>
            <w:vAlign w:val="bottom"/>
            <w:hideMark/>
          </w:tcPr>
          <w:p w14:paraId="65259594"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0.000344</w:t>
            </w:r>
          </w:p>
        </w:tc>
        <w:tc>
          <w:tcPr>
            <w:tcW w:w="1415" w:type="dxa"/>
            <w:tcBorders>
              <w:top w:val="nil"/>
              <w:left w:val="nil"/>
              <w:bottom w:val="nil"/>
              <w:right w:val="nil"/>
            </w:tcBorders>
            <w:vAlign w:val="bottom"/>
            <w:hideMark/>
          </w:tcPr>
          <w:p w14:paraId="6DE83D35"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0.904</w:t>
            </w:r>
          </w:p>
        </w:tc>
        <w:tc>
          <w:tcPr>
            <w:tcW w:w="1415" w:type="dxa"/>
            <w:tcBorders>
              <w:top w:val="nil"/>
              <w:left w:val="nil"/>
              <w:bottom w:val="nil"/>
              <w:right w:val="nil"/>
            </w:tcBorders>
            <w:vAlign w:val="bottom"/>
            <w:hideMark/>
          </w:tcPr>
          <w:p w14:paraId="0181106C" w14:textId="77777777" w:rsidR="00A70E4F" w:rsidRDefault="00A70E4F" w:rsidP="00A70E4F">
            <w:pPr>
              <w:jc w:val="center"/>
              <w:rPr>
                <w:rFonts w:ascii="Arial" w:hAnsi="Arial" w:cs="Arial"/>
                <w:sz w:val="20"/>
                <w:szCs w:val="20"/>
              </w:rPr>
            </w:pPr>
            <w:r>
              <w:rPr>
                <w:rFonts w:ascii="Arial" w:eastAsia="Times New Roman" w:hAnsi="Arial" w:cs="Arial"/>
                <w:color w:val="000000"/>
                <w:sz w:val="20"/>
                <w:szCs w:val="20"/>
              </w:rPr>
              <w:t>0.975</w:t>
            </w:r>
          </w:p>
        </w:tc>
        <w:tc>
          <w:tcPr>
            <w:tcW w:w="1493" w:type="dxa"/>
            <w:tcBorders>
              <w:top w:val="nil"/>
              <w:left w:val="nil"/>
              <w:bottom w:val="nil"/>
              <w:right w:val="nil"/>
            </w:tcBorders>
            <w:vAlign w:val="bottom"/>
            <w:hideMark/>
          </w:tcPr>
          <w:p w14:paraId="4F5F9D94"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w:t>
            </w:r>
          </w:p>
        </w:tc>
        <w:tc>
          <w:tcPr>
            <w:tcW w:w="1415" w:type="dxa"/>
            <w:tcBorders>
              <w:top w:val="nil"/>
              <w:left w:val="nil"/>
              <w:bottom w:val="nil"/>
              <w:right w:val="nil"/>
            </w:tcBorders>
            <w:vAlign w:val="bottom"/>
            <w:hideMark/>
          </w:tcPr>
          <w:p w14:paraId="222D2643"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477</w:t>
            </w:r>
          </w:p>
        </w:tc>
      </w:tr>
      <w:tr w:rsidR="00A70E4F" w14:paraId="00FADADA" w14:textId="77777777" w:rsidTr="00A70E4F">
        <w:tc>
          <w:tcPr>
            <w:tcW w:w="1384" w:type="dxa"/>
            <w:tcBorders>
              <w:top w:val="nil"/>
              <w:left w:val="nil"/>
              <w:bottom w:val="nil"/>
              <w:right w:val="nil"/>
            </w:tcBorders>
            <w:hideMark/>
          </w:tcPr>
          <w:p w14:paraId="5A535C30" w14:textId="77777777" w:rsidR="00A70E4F" w:rsidRDefault="00A70E4F" w:rsidP="00A70E4F">
            <w:pPr>
              <w:rPr>
                <w:rFonts w:ascii="Arial" w:hAnsi="Arial" w:cs="Arial"/>
                <w:sz w:val="20"/>
                <w:szCs w:val="20"/>
              </w:rPr>
            </w:pPr>
            <w:r>
              <w:rPr>
                <w:rFonts w:ascii="Arial" w:hAnsi="Arial" w:cs="Arial"/>
                <w:sz w:val="20"/>
                <w:szCs w:val="20"/>
              </w:rPr>
              <w:t>CC</w:t>
            </w:r>
          </w:p>
        </w:tc>
        <w:tc>
          <w:tcPr>
            <w:tcW w:w="1444" w:type="dxa"/>
            <w:tcBorders>
              <w:top w:val="nil"/>
              <w:left w:val="nil"/>
              <w:bottom w:val="nil"/>
              <w:right w:val="nil"/>
            </w:tcBorders>
            <w:vAlign w:val="bottom"/>
            <w:hideMark/>
          </w:tcPr>
          <w:p w14:paraId="4B047A80"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0.000006</w:t>
            </w:r>
          </w:p>
        </w:tc>
        <w:tc>
          <w:tcPr>
            <w:tcW w:w="1414" w:type="dxa"/>
            <w:tcBorders>
              <w:top w:val="nil"/>
              <w:left w:val="nil"/>
              <w:bottom w:val="nil"/>
              <w:right w:val="nil"/>
            </w:tcBorders>
            <w:vAlign w:val="bottom"/>
            <w:hideMark/>
          </w:tcPr>
          <w:p w14:paraId="05DC4AE8"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0.000123</w:t>
            </w:r>
          </w:p>
        </w:tc>
        <w:tc>
          <w:tcPr>
            <w:tcW w:w="1414" w:type="dxa"/>
            <w:tcBorders>
              <w:top w:val="nil"/>
              <w:left w:val="nil"/>
              <w:bottom w:val="nil"/>
              <w:right w:val="nil"/>
            </w:tcBorders>
            <w:vAlign w:val="bottom"/>
            <w:hideMark/>
          </w:tcPr>
          <w:p w14:paraId="6F3267EA"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-0.000235</w:t>
            </w:r>
          </w:p>
        </w:tc>
        <w:tc>
          <w:tcPr>
            <w:tcW w:w="1415" w:type="dxa"/>
            <w:tcBorders>
              <w:top w:val="nil"/>
              <w:left w:val="nil"/>
              <w:bottom w:val="nil"/>
              <w:right w:val="nil"/>
            </w:tcBorders>
            <w:vAlign w:val="bottom"/>
            <w:hideMark/>
          </w:tcPr>
          <w:p w14:paraId="7BC980B4"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0.000246</w:t>
            </w:r>
          </w:p>
        </w:tc>
        <w:tc>
          <w:tcPr>
            <w:tcW w:w="1415" w:type="dxa"/>
            <w:tcBorders>
              <w:top w:val="nil"/>
              <w:left w:val="nil"/>
              <w:bottom w:val="nil"/>
              <w:right w:val="nil"/>
            </w:tcBorders>
            <w:vAlign w:val="bottom"/>
            <w:hideMark/>
          </w:tcPr>
          <w:p w14:paraId="7C5B6D9A"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0.963</w:t>
            </w:r>
          </w:p>
        </w:tc>
        <w:tc>
          <w:tcPr>
            <w:tcW w:w="1415" w:type="dxa"/>
            <w:tcBorders>
              <w:top w:val="nil"/>
              <w:left w:val="nil"/>
              <w:bottom w:val="nil"/>
              <w:right w:val="nil"/>
            </w:tcBorders>
            <w:vAlign w:val="bottom"/>
            <w:hideMark/>
          </w:tcPr>
          <w:p w14:paraId="5A88A2A8" w14:textId="77777777" w:rsidR="00A70E4F" w:rsidRDefault="00A70E4F" w:rsidP="00A70E4F">
            <w:pPr>
              <w:jc w:val="center"/>
              <w:rPr>
                <w:rFonts w:ascii="Arial" w:hAnsi="Arial" w:cs="Arial"/>
                <w:sz w:val="20"/>
                <w:szCs w:val="20"/>
              </w:rPr>
            </w:pPr>
            <w:r>
              <w:rPr>
                <w:rFonts w:ascii="Arial" w:eastAsia="Times New Roman" w:hAnsi="Arial" w:cs="Arial"/>
                <w:color w:val="000000"/>
                <w:sz w:val="20"/>
                <w:szCs w:val="20"/>
              </w:rPr>
              <w:t>0.975</w:t>
            </w:r>
          </w:p>
        </w:tc>
        <w:tc>
          <w:tcPr>
            <w:tcW w:w="1493" w:type="dxa"/>
            <w:tcBorders>
              <w:top w:val="nil"/>
              <w:left w:val="nil"/>
              <w:bottom w:val="nil"/>
              <w:right w:val="nil"/>
            </w:tcBorders>
            <w:vAlign w:val="bottom"/>
            <w:hideMark/>
          </w:tcPr>
          <w:p w14:paraId="46D4EEA8"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0.276</w:t>
            </w:r>
          </w:p>
        </w:tc>
        <w:tc>
          <w:tcPr>
            <w:tcW w:w="1415" w:type="dxa"/>
            <w:tcBorders>
              <w:top w:val="nil"/>
              <w:left w:val="nil"/>
              <w:bottom w:val="nil"/>
              <w:right w:val="nil"/>
            </w:tcBorders>
            <w:vAlign w:val="bottom"/>
            <w:hideMark/>
          </w:tcPr>
          <w:p w14:paraId="71D484E3"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477</w:t>
            </w:r>
          </w:p>
        </w:tc>
      </w:tr>
      <w:tr w:rsidR="00A70E4F" w14:paraId="15100E14" w14:textId="77777777" w:rsidTr="00A70E4F">
        <w:tc>
          <w:tcPr>
            <w:tcW w:w="1384" w:type="dxa"/>
            <w:tcBorders>
              <w:top w:val="nil"/>
              <w:left w:val="nil"/>
              <w:bottom w:val="nil"/>
              <w:right w:val="nil"/>
            </w:tcBorders>
            <w:hideMark/>
          </w:tcPr>
          <w:p w14:paraId="32AA7D57" w14:textId="77777777" w:rsidR="00A70E4F" w:rsidRDefault="00A70E4F" w:rsidP="00A70E4F">
            <w:pPr>
              <w:rPr>
                <w:rFonts w:ascii="Arial" w:hAnsi="Arial" w:cs="Arial"/>
                <w:sz w:val="20"/>
                <w:szCs w:val="20"/>
              </w:rPr>
            </w:pPr>
            <w:r>
              <w:rPr>
                <w:rFonts w:ascii="Arial" w:hAnsi="Arial" w:cs="Arial"/>
                <w:sz w:val="20"/>
                <w:szCs w:val="20"/>
              </w:rPr>
              <w:t>CGC</w:t>
            </w:r>
          </w:p>
        </w:tc>
        <w:tc>
          <w:tcPr>
            <w:tcW w:w="1444" w:type="dxa"/>
            <w:tcBorders>
              <w:top w:val="nil"/>
              <w:left w:val="nil"/>
              <w:bottom w:val="nil"/>
              <w:right w:val="nil"/>
            </w:tcBorders>
            <w:vAlign w:val="bottom"/>
            <w:hideMark/>
          </w:tcPr>
          <w:p w14:paraId="51974986"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0.000029</w:t>
            </w:r>
          </w:p>
        </w:tc>
        <w:tc>
          <w:tcPr>
            <w:tcW w:w="1414" w:type="dxa"/>
            <w:tcBorders>
              <w:top w:val="nil"/>
              <w:left w:val="nil"/>
              <w:bottom w:val="nil"/>
              <w:right w:val="nil"/>
            </w:tcBorders>
            <w:vAlign w:val="bottom"/>
            <w:hideMark/>
          </w:tcPr>
          <w:p w14:paraId="33EC73A2"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0.000261</w:t>
            </w:r>
          </w:p>
        </w:tc>
        <w:tc>
          <w:tcPr>
            <w:tcW w:w="1414" w:type="dxa"/>
            <w:tcBorders>
              <w:top w:val="nil"/>
              <w:left w:val="nil"/>
              <w:bottom w:val="nil"/>
              <w:right w:val="nil"/>
            </w:tcBorders>
            <w:vAlign w:val="bottom"/>
            <w:hideMark/>
          </w:tcPr>
          <w:p w14:paraId="111CD6D6"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-0.000482</w:t>
            </w:r>
          </w:p>
        </w:tc>
        <w:tc>
          <w:tcPr>
            <w:tcW w:w="1415" w:type="dxa"/>
            <w:tcBorders>
              <w:top w:val="nil"/>
              <w:left w:val="nil"/>
              <w:bottom w:val="nil"/>
              <w:right w:val="nil"/>
            </w:tcBorders>
            <w:vAlign w:val="bottom"/>
            <w:hideMark/>
          </w:tcPr>
          <w:p w14:paraId="1A6A8013"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0.000539</w:t>
            </w:r>
          </w:p>
        </w:tc>
        <w:tc>
          <w:tcPr>
            <w:tcW w:w="1415" w:type="dxa"/>
            <w:tcBorders>
              <w:top w:val="nil"/>
              <w:left w:val="nil"/>
              <w:bottom w:val="nil"/>
              <w:right w:val="nil"/>
            </w:tcBorders>
            <w:vAlign w:val="bottom"/>
            <w:hideMark/>
          </w:tcPr>
          <w:p w14:paraId="02C01274"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0.913</w:t>
            </w:r>
          </w:p>
        </w:tc>
        <w:tc>
          <w:tcPr>
            <w:tcW w:w="1415" w:type="dxa"/>
            <w:tcBorders>
              <w:top w:val="nil"/>
              <w:left w:val="nil"/>
              <w:bottom w:val="nil"/>
              <w:right w:val="nil"/>
            </w:tcBorders>
            <w:vAlign w:val="bottom"/>
            <w:hideMark/>
          </w:tcPr>
          <w:p w14:paraId="1D908C70" w14:textId="77777777" w:rsidR="00A70E4F" w:rsidRDefault="00A70E4F" w:rsidP="00A70E4F">
            <w:pPr>
              <w:jc w:val="center"/>
              <w:rPr>
                <w:rFonts w:ascii="Arial" w:hAnsi="Arial" w:cs="Arial"/>
                <w:sz w:val="20"/>
                <w:szCs w:val="20"/>
              </w:rPr>
            </w:pPr>
            <w:r>
              <w:rPr>
                <w:rFonts w:ascii="Arial" w:eastAsia="Times New Roman" w:hAnsi="Arial" w:cs="Arial"/>
                <w:color w:val="000000"/>
                <w:sz w:val="20"/>
                <w:szCs w:val="20"/>
              </w:rPr>
              <w:t>0.975</w:t>
            </w:r>
          </w:p>
        </w:tc>
        <w:tc>
          <w:tcPr>
            <w:tcW w:w="1493" w:type="dxa"/>
            <w:tcBorders>
              <w:top w:val="nil"/>
              <w:left w:val="nil"/>
              <w:bottom w:val="nil"/>
              <w:right w:val="nil"/>
            </w:tcBorders>
            <w:vAlign w:val="bottom"/>
            <w:hideMark/>
          </w:tcPr>
          <w:p w14:paraId="4D68632E"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41.845</w:t>
            </w:r>
          </w:p>
        </w:tc>
        <w:tc>
          <w:tcPr>
            <w:tcW w:w="1415" w:type="dxa"/>
            <w:tcBorders>
              <w:top w:val="nil"/>
              <w:left w:val="nil"/>
              <w:bottom w:val="nil"/>
              <w:right w:val="nil"/>
            </w:tcBorders>
            <w:vAlign w:val="bottom"/>
            <w:hideMark/>
          </w:tcPr>
          <w:p w14:paraId="38B1B8EC"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477</w:t>
            </w:r>
          </w:p>
        </w:tc>
      </w:tr>
      <w:tr w:rsidR="00A70E4F" w14:paraId="03475163" w14:textId="77777777" w:rsidTr="00A70E4F">
        <w:tc>
          <w:tcPr>
            <w:tcW w:w="1384" w:type="dxa"/>
            <w:tcBorders>
              <w:top w:val="nil"/>
              <w:left w:val="nil"/>
              <w:bottom w:val="nil"/>
              <w:right w:val="nil"/>
            </w:tcBorders>
            <w:hideMark/>
          </w:tcPr>
          <w:p w14:paraId="23F8CEAA" w14:textId="77777777" w:rsidR="00A70E4F" w:rsidRDefault="00A70E4F" w:rsidP="00A70E4F">
            <w:pPr>
              <w:rPr>
                <w:rFonts w:ascii="Arial" w:hAnsi="Arial" w:cs="Arial"/>
                <w:sz w:val="20"/>
                <w:szCs w:val="20"/>
              </w:rPr>
            </w:pPr>
            <w:r>
              <w:rPr>
                <w:rFonts w:ascii="Arial" w:hAnsi="Arial" w:cs="Arial"/>
                <w:sz w:val="20"/>
                <w:szCs w:val="20"/>
              </w:rPr>
              <w:t>CGH</w:t>
            </w:r>
          </w:p>
        </w:tc>
        <w:tc>
          <w:tcPr>
            <w:tcW w:w="1444" w:type="dxa"/>
            <w:tcBorders>
              <w:top w:val="nil"/>
              <w:left w:val="nil"/>
              <w:bottom w:val="nil"/>
              <w:right w:val="nil"/>
            </w:tcBorders>
            <w:vAlign w:val="bottom"/>
            <w:hideMark/>
          </w:tcPr>
          <w:p w14:paraId="1B1D087B"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-0.000359</w:t>
            </w:r>
          </w:p>
        </w:tc>
        <w:tc>
          <w:tcPr>
            <w:tcW w:w="1414" w:type="dxa"/>
            <w:tcBorders>
              <w:top w:val="nil"/>
              <w:left w:val="nil"/>
              <w:bottom w:val="nil"/>
              <w:right w:val="nil"/>
            </w:tcBorders>
            <w:vAlign w:val="bottom"/>
            <w:hideMark/>
          </w:tcPr>
          <w:p w14:paraId="43DB1D6A"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0.000326</w:t>
            </w:r>
          </w:p>
        </w:tc>
        <w:tc>
          <w:tcPr>
            <w:tcW w:w="1414" w:type="dxa"/>
            <w:tcBorders>
              <w:top w:val="nil"/>
              <w:left w:val="nil"/>
              <w:bottom w:val="nil"/>
              <w:right w:val="nil"/>
            </w:tcBorders>
            <w:vAlign w:val="bottom"/>
            <w:hideMark/>
          </w:tcPr>
          <w:p w14:paraId="48045754"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-0.000997</w:t>
            </w:r>
          </w:p>
        </w:tc>
        <w:tc>
          <w:tcPr>
            <w:tcW w:w="1415" w:type="dxa"/>
            <w:tcBorders>
              <w:top w:val="nil"/>
              <w:left w:val="nil"/>
              <w:bottom w:val="nil"/>
              <w:right w:val="nil"/>
            </w:tcBorders>
            <w:vAlign w:val="bottom"/>
            <w:hideMark/>
          </w:tcPr>
          <w:p w14:paraId="699719F7"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0.000279</w:t>
            </w:r>
          </w:p>
        </w:tc>
        <w:tc>
          <w:tcPr>
            <w:tcW w:w="1415" w:type="dxa"/>
            <w:tcBorders>
              <w:top w:val="nil"/>
              <w:left w:val="nil"/>
              <w:bottom w:val="nil"/>
              <w:right w:val="nil"/>
            </w:tcBorders>
            <w:vAlign w:val="bottom"/>
            <w:hideMark/>
          </w:tcPr>
          <w:p w14:paraId="64CBFA83"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0.269</w:t>
            </w:r>
          </w:p>
        </w:tc>
        <w:tc>
          <w:tcPr>
            <w:tcW w:w="1415" w:type="dxa"/>
            <w:tcBorders>
              <w:top w:val="nil"/>
              <w:left w:val="nil"/>
              <w:bottom w:val="nil"/>
              <w:right w:val="nil"/>
            </w:tcBorders>
            <w:vAlign w:val="bottom"/>
            <w:hideMark/>
          </w:tcPr>
          <w:p w14:paraId="00564F02" w14:textId="77777777" w:rsidR="00A70E4F" w:rsidRDefault="00A70E4F" w:rsidP="00A70E4F">
            <w:pPr>
              <w:jc w:val="center"/>
              <w:rPr>
                <w:rFonts w:ascii="Arial" w:hAnsi="Arial" w:cs="Arial"/>
                <w:sz w:val="20"/>
                <w:szCs w:val="20"/>
              </w:rPr>
            </w:pPr>
            <w:r>
              <w:rPr>
                <w:rFonts w:ascii="Arial" w:eastAsia="Times New Roman" w:hAnsi="Arial" w:cs="Arial"/>
                <w:color w:val="000000"/>
                <w:sz w:val="20"/>
                <w:szCs w:val="20"/>
              </w:rPr>
              <w:t>0.975</w:t>
            </w:r>
          </w:p>
        </w:tc>
        <w:tc>
          <w:tcPr>
            <w:tcW w:w="1493" w:type="dxa"/>
            <w:tcBorders>
              <w:top w:val="nil"/>
              <w:left w:val="nil"/>
              <w:bottom w:val="nil"/>
              <w:right w:val="nil"/>
            </w:tcBorders>
            <w:vAlign w:val="bottom"/>
            <w:hideMark/>
          </w:tcPr>
          <w:p w14:paraId="0A21A3EC"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50.839</w:t>
            </w:r>
          </w:p>
        </w:tc>
        <w:tc>
          <w:tcPr>
            <w:tcW w:w="1415" w:type="dxa"/>
            <w:tcBorders>
              <w:top w:val="nil"/>
              <w:left w:val="nil"/>
              <w:bottom w:val="nil"/>
              <w:right w:val="nil"/>
            </w:tcBorders>
            <w:vAlign w:val="bottom"/>
            <w:hideMark/>
          </w:tcPr>
          <w:p w14:paraId="479A3DF2"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477</w:t>
            </w:r>
          </w:p>
        </w:tc>
      </w:tr>
      <w:tr w:rsidR="00A70E4F" w14:paraId="1D2809DE" w14:textId="77777777" w:rsidTr="00A70E4F">
        <w:tc>
          <w:tcPr>
            <w:tcW w:w="1384" w:type="dxa"/>
            <w:tcBorders>
              <w:top w:val="nil"/>
              <w:left w:val="nil"/>
              <w:bottom w:val="nil"/>
              <w:right w:val="nil"/>
            </w:tcBorders>
            <w:hideMark/>
          </w:tcPr>
          <w:p w14:paraId="6209FD68" w14:textId="77777777" w:rsidR="00A70E4F" w:rsidRDefault="00A70E4F" w:rsidP="00A70E4F">
            <w:pPr>
              <w:rPr>
                <w:rFonts w:ascii="Arial" w:hAnsi="Arial" w:cs="Arial"/>
                <w:sz w:val="20"/>
                <w:szCs w:val="20"/>
              </w:rPr>
            </w:pPr>
            <w:r>
              <w:rPr>
                <w:rFonts w:ascii="Arial" w:hAnsi="Arial" w:cs="Arial"/>
                <w:sz w:val="20"/>
                <w:szCs w:val="20"/>
              </w:rPr>
              <w:t>CR</w:t>
            </w:r>
          </w:p>
        </w:tc>
        <w:tc>
          <w:tcPr>
            <w:tcW w:w="1444" w:type="dxa"/>
            <w:tcBorders>
              <w:top w:val="nil"/>
              <w:left w:val="nil"/>
              <w:bottom w:val="nil"/>
              <w:right w:val="nil"/>
            </w:tcBorders>
            <w:vAlign w:val="bottom"/>
            <w:hideMark/>
          </w:tcPr>
          <w:p w14:paraId="344B72B3"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0.000165</w:t>
            </w:r>
          </w:p>
        </w:tc>
        <w:tc>
          <w:tcPr>
            <w:tcW w:w="1414" w:type="dxa"/>
            <w:tcBorders>
              <w:top w:val="nil"/>
              <w:left w:val="nil"/>
              <w:bottom w:val="nil"/>
              <w:right w:val="nil"/>
            </w:tcBorders>
            <w:vAlign w:val="bottom"/>
            <w:hideMark/>
          </w:tcPr>
          <w:p w14:paraId="4D7C076E"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0.000131</w:t>
            </w:r>
          </w:p>
        </w:tc>
        <w:tc>
          <w:tcPr>
            <w:tcW w:w="1414" w:type="dxa"/>
            <w:tcBorders>
              <w:top w:val="nil"/>
              <w:left w:val="nil"/>
              <w:bottom w:val="nil"/>
              <w:right w:val="nil"/>
            </w:tcBorders>
            <w:vAlign w:val="bottom"/>
            <w:hideMark/>
          </w:tcPr>
          <w:p w14:paraId="2A35EEF7"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-0.000091</w:t>
            </w:r>
          </w:p>
        </w:tc>
        <w:tc>
          <w:tcPr>
            <w:tcW w:w="1415" w:type="dxa"/>
            <w:tcBorders>
              <w:top w:val="nil"/>
              <w:left w:val="nil"/>
              <w:bottom w:val="nil"/>
              <w:right w:val="nil"/>
            </w:tcBorders>
            <w:vAlign w:val="bottom"/>
            <w:hideMark/>
          </w:tcPr>
          <w:p w14:paraId="721D31B3"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0.000420</w:t>
            </w:r>
          </w:p>
        </w:tc>
        <w:tc>
          <w:tcPr>
            <w:tcW w:w="1415" w:type="dxa"/>
            <w:tcBorders>
              <w:top w:val="nil"/>
              <w:left w:val="nil"/>
              <w:bottom w:val="nil"/>
              <w:right w:val="nil"/>
            </w:tcBorders>
            <w:vAlign w:val="bottom"/>
            <w:hideMark/>
          </w:tcPr>
          <w:p w14:paraId="6508942A"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0.208</w:t>
            </w:r>
          </w:p>
        </w:tc>
        <w:tc>
          <w:tcPr>
            <w:tcW w:w="1415" w:type="dxa"/>
            <w:tcBorders>
              <w:top w:val="nil"/>
              <w:left w:val="nil"/>
              <w:bottom w:val="nil"/>
              <w:right w:val="nil"/>
            </w:tcBorders>
            <w:vAlign w:val="bottom"/>
            <w:hideMark/>
          </w:tcPr>
          <w:p w14:paraId="1528FE14" w14:textId="77777777" w:rsidR="00A70E4F" w:rsidRDefault="00A70E4F" w:rsidP="00A70E4F">
            <w:pPr>
              <w:jc w:val="center"/>
              <w:rPr>
                <w:rFonts w:ascii="Arial" w:hAnsi="Arial" w:cs="Arial"/>
                <w:sz w:val="20"/>
                <w:szCs w:val="20"/>
              </w:rPr>
            </w:pPr>
            <w:r>
              <w:rPr>
                <w:rFonts w:ascii="Arial" w:eastAsia="Times New Roman" w:hAnsi="Arial" w:cs="Arial"/>
                <w:color w:val="000000"/>
                <w:sz w:val="20"/>
                <w:szCs w:val="20"/>
              </w:rPr>
              <w:t>0.975</w:t>
            </w:r>
          </w:p>
        </w:tc>
        <w:tc>
          <w:tcPr>
            <w:tcW w:w="1493" w:type="dxa"/>
            <w:tcBorders>
              <w:top w:val="nil"/>
              <w:left w:val="nil"/>
              <w:bottom w:val="nil"/>
              <w:right w:val="nil"/>
            </w:tcBorders>
            <w:vAlign w:val="bottom"/>
            <w:hideMark/>
          </w:tcPr>
          <w:p w14:paraId="60A8118A"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17.340</w:t>
            </w:r>
          </w:p>
        </w:tc>
        <w:tc>
          <w:tcPr>
            <w:tcW w:w="1415" w:type="dxa"/>
            <w:tcBorders>
              <w:top w:val="nil"/>
              <w:left w:val="nil"/>
              <w:bottom w:val="nil"/>
              <w:right w:val="nil"/>
            </w:tcBorders>
            <w:vAlign w:val="bottom"/>
            <w:hideMark/>
          </w:tcPr>
          <w:p w14:paraId="2AB5D7E4"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477</w:t>
            </w:r>
          </w:p>
        </w:tc>
      </w:tr>
      <w:tr w:rsidR="00A70E4F" w14:paraId="61B27C8B" w14:textId="77777777" w:rsidTr="00A70E4F">
        <w:tc>
          <w:tcPr>
            <w:tcW w:w="1384" w:type="dxa"/>
            <w:tcBorders>
              <w:top w:val="nil"/>
              <w:left w:val="nil"/>
              <w:bottom w:val="nil"/>
              <w:right w:val="nil"/>
            </w:tcBorders>
            <w:hideMark/>
          </w:tcPr>
          <w:p w14:paraId="240F3A6E" w14:textId="77777777" w:rsidR="00A70E4F" w:rsidRDefault="00A70E4F" w:rsidP="00A70E4F">
            <w:pPr>
              <w:rPr>
                <w:rFonts w:ascii="Arial" w:hAnsi="Arial" w:cs="Arial"/>
                <w:sz w:val="20"/>
                <w:szCs w:val="20"/>
              </w:rPr>
            </w:pPr>
            <w:r>
              <w:rPr>
                <w:rFonts w:ascii="Arial" w:hAnsi="Arial" w:cs="Arial"/>
                <w:sz w:val="20"/>
                <w:szCs w:val="20"/>
              </w:rPr>
              <w:t>CST</w:t>
            </w:r>
          </w:p>
        </w:tc>
        <w:tc>
          <w:tcPr>
            <w:tcW w:w="1444" w:type="dxa"/>
            <w:tcBorders>
              <w:top w:val="nil"/>
              <w:left w:val="nil"/>
              <w:bottom w:val="nil"/>
              <w:right w:val="nil"/>
            </w:tcBorders>
            <w:vAlign w:val="bottom"/>
            <w:hideMark/>
          </w:tcPr>
          <w:p w14:paraId="77414AF3"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-0.000346</w:t>
            </w:r>
          </w:p>
        </w:tc>
        <w:tc>
          <w:tcPr>
            <w:tcW w:w="1414" w:type="dxa"/>
            <w:tcBorders>
              <w:top w:val="nil"/>
              <w:left w:val="nil"/>
              <w:bottom w:val="nil"/>
              <w:right w:val="nil"/>
            </w:tcBorders>
            <w:vAlign w:val="bottom"/>
            <w:hideMark/>
          </w:tcPr>
          <w:p w14:paraId="1EE546F0"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0.000502</w:t>
            </w:r>
          </w:p>
        </w:tc>
        <w:tc>
          <w:tcPr>
            <w:tcW w:w="1414" w:type="dxa"/>
            <w:tcBorders>
              <w:top w:val="nil"/>
              <w:left w:val="nil"/>
              <w:bottom w:val="nil"/>
              <w:right w:val="nil"/>
            </w:tcBorders>
            <w:vAlign w:val="bottom"/>
            <w:hideMark/>
          </w:tcPr>
          <w:p w14:paraId="5CDF2600"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-0.001331</w:t>
            </w:r>
          </w:p>
        </w:tc>
        <w:tc>
          <w:tcPr>
            <w:tcW w:w="1415" w:type="dxa"/>
            <w:tcBorders>
              <w:top w:val="nil"/>
              <w:left w:val="nil"/>
              <w:bottom w:val="nil"/>
              <w:right w:val="nil"/>
            </w:tcBorders>
            <w:vAlign w:val="bottom"/>
            <w:hideMark/>
          </w:tcPr>
          <w:p w14:paraId="77C1AC68"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0.000638</w:t>
            </w:r>
          </w:p>
        </w:tc>
        <w:tc>
          <w:tcPr>
            <w:tcW w:w="1415" w:type="dxa"/>
            <w:tcBorders>
              <w:top w:val="nil"/>
              <w:left w:val="nil"/>
              <w:bottom w:val="nil"/>
              <w:right w:val="nil"/>
            </w:tcBorders>
            <w:vAlign w:val="bottom"/>
            <w:hideMark/>
          </w:tcPr>
          <w:p w14:paraId="5C000CE3"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0.491</w:t>
            </w:r>
          </w:p>
        </w:tc>
        <w:tc>
          <w:tcPr>
            <w:tcW w:w="1415" w:type="dxa"/>
            <w:tcBorders>
              <w:top w:val="nil"/>
              <w:left w:val="nil"/>
              <w:bottom w:val="nil"/>
              <w:right w:val="nil"/>
            </w:tcBorders>
            <w:vAlign w:val="bottom"/>
            <w:hideMark/>
          </w:tcPr>
          <w:p w14:paraId="08FB4B17" w14:textId="77777777" w:rsidR="00A70E4F" w:rsidRDefault="00A70E4F" w:rsidP="00A70E4F">
            <w:pPr>
              <w:jc w:val="center"/>
              <w:rPr>
                <w:rFonts w:ascii="Arial" w:hAnsi="Arial" w:cs="Arial"/>
                <w:sz w:val="20"/>
                <w:szCs w:val="20"/>
              </w:rPr>
            </w:pPr>
            <w:r>
              <w:rPr>
                <w:rFonts w:ascii="Arial" w:eastAsia="Times New Roman" w:hAnsi="Arial" w:cs="Arial"/>
                <w:color w:val="000000"/>
                <w:sz w:val="20"/>
                <w:szCs w:val="20"/>
              </w:rPr>
              <w:t>0.975</w:t>
            </w:r>
          </w:p>
        </w:tc>
        <w:tc>
          <w:tcPr>
            <w:tcW w:w="1493" w:type="dxa"/>
            <w:tcBorders>
              <w:top w:val="nil"/>
              <w:left w:val="nil"/>
              <w:bottom w:val="nil"/>
              <w:right w:val="nil"/>
            </w:tcBorders>
            <w:vAlign w:val="bottom"/>
            <w:hideMark/>
          </w:tcPr>
          <w:p w14:paraId="2B7C770A"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81.332</w:t>
            </w:r>
          </w:p>
        </w:tc>
        <w:tc>
          <w:tcPr>
            <w:tcW w:w="1415" w:type="dxa"/>
            <w:tcBorders>
              <w:top w:val="nil"/>
              <w:left w:val="nil"/>
              <w:bottom w:val="nil"/>
              <w:right w:val="nil"/>
            </w:tcBorders>
            <w:vAlign w:val="bottom"/>
            <w:hideMark/>
          </w:tcPr>
          <w:p w14:paraId="60EF919F"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477</w:t>
            </w:r>
          </w:p>
        </w:tc>
      </w:tr>
      <w:tr w:rsidR="00A70E4F" w14:paraId="752BE1EF" w14:textId="77777777" w:rsidTr="00A70E4F">
        <w:tc>
          <w:tcPr>
            <w:tcW w:w="1384" w:type="dxa"/>
            <w:tcBorders>
              <w:top w:val="nil"/>
              <w:left w:val="nil"/>
              <w:bottom w:val="nil"/>
              <w:right w:val="nil"/>
            </w:tcBorders>
            <w:hideMark/>
          </w:tcPr>
          <w:p w14:paraId="1760BD09" w14:textId="77777777" w:rsidR="00A70E4F" w:rsidRDefault="00A70E4F" w:rsidP="00A70E4F">
            <w:pPr>
              <w:rPr>
                <w:rFonts w:ascii="Arial" w:hAnsi="Arial" w:cs="Arial"/>
                <w:sz w:val="20"/>
                <w:szCs w:val="20"/>
              </w:rPr>
            </w:pPr>
            <w:r>
              <w:rPr>
                <w:rFonts w:ascii="Arial" w:hAnsi="Arial" w:cs="Arial"/>
                <w:sz w:val="20"/>
                <w:szCs w:val="20"/>
              </w:rPr>
              <w:t>EC</w:t>
            </w:r>
          </w:p>
        </w:tc>
        <w:tc>
          <w:tcPr>
            <w:tcW w:w="1444" w:type="dxa"/>
            <w:tcBorders>
              <w:top w:val="nil"/>
              <w:left w:val="nil"/>
              <w:bottom w:val="nil"/>
              <w:right w:val="nil"/>
            </w:tcBorders>
            <w:vAlign w:val="bottom"/>
            <w:hideMark/>
          </w:tcPr>
          <w:p w14:paraId="7540C241"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0.000018</w:t>
            </w:r>
          </w:p>
        </w:tc>
        <w:tc>
          <w:tcPr>
            <w:tcW w:w="1414" w:type="dxa"/>
            <w:tcBorders>
              <w:top w:val="nil"/>
              <w:left w:val="nil"/>
              <w:bottom w:val="nil"/>
              <w:right w:val="nil"/>
            </w:tcBorders>
            <w:vAlign w:val="bottom"/>
            <w:hideMark/>
          </w:tcPr>
          <w:p w14:paraId="50693C76"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0.000202</w:t>
            </w:r>
          </w:p>
        </w:tc>
        <w:tc>
          <w:tcPr>
            <w:tcW w:w="1414" w:type="dxa"/>
            <w:tcBorders>
              <w:top w:val="nil"/>
              <w:left w:val="nil"/>
              <w:bottom w:val="nil"/>
              <w:right w:val="nil"/>
            </w:tcBorders>
            <w:vAlign w:val="bottom"/>
            <w:hideMark/>
          </w:tcPr>
          <w:p w14:paraId="704156A7"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-0.000378</w:t>
            </w:r>
          </w:p>
        </w:tc>
        <w:tc>
          <w:tcPr>
            <w:tcW w:w="1415" w:type="dxa"/>
            <w:tcBorders>
              <w:top w:val="nil"/>
              <w:left w:val="nil"/>
              <w:bottom w:val="nil"/>
              <w:right w:val="nil"/>
            </w:tcBorders>
            <w:vAlign w:val="bottom"/>
            <w:hideMark/>
          </w:tcPr>
          <w:p w14:paraId="15A63211"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0.000414</w:t>
            </w:r>
          </w:p>
        </w:tc>
        <w:tc>
          <w:tcPr>
            <w:tcW w:w="1415" w:type="dxa"/>
            <w:tcBorders>
              <w:top w:val="nil"/>
              <w:left w:val="nil"/>
              <w:bottom w:val="nil"/>
              <w:right w:val="nil"/>
            </w:tcBorders>
            <w:vAlign w:val="bottom"/>
            <w:hideMark/>
          </w:tcPr>
          <w:p w14:paraId="23DB7125"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0.928</w:t>
            </w:r>
          </w:p>
        </w:tc>
        <w:tc>
          <w:tcPr>
            <w:tcW w:w="1415" w:type="dxa"/>
            <w:tcBorders>
              <w:top w:val="nil"/>
              <w:left w:val="nil"/>
              <w:bottom w:val="nil"/>
              <w:right w:val="nil"/>
            </w:tcBorders>
            <w:vAlign w:val="bottom"/>
            <w:hideMark/>
          </w:tcPr>
          <w:p w14:paraId="34907069" w14:textId="77777777" w:rsidR="00A70E4F" w:rsidRDefault="00A70E4F" w:rsidP="00A70E4F">
            <w:pPr>
              <w:jc w:val="center"/>
              <w:rPr>
                <w:rFonts w:ascii="Arial" w:hAnsi="Arial" w:cs="Arial"/>
                <w:sz w:val="20"/>
                <w:szCs w:val="20"/>
              </w:rPr>
            </w:pPr>
            <w:r>
              <w:rPr>
                <w:rFonts w:ascii="Arial" w:eastAsia="Times New Roman" w:hAnsi="Arial" w:cs="Arial"/>
                <w:color w:val="000000"/>
                <w:sz w:val="20"/>
                <w:szCs w:val="20"/>
              </w:rPr>
              <w:t>0.975</w:t>
            </w:r>
          </w:p>
        </w:tc>
        <w:tc>
          <w:tcPr>
            <w:tcW w:w="1493" w:type="dxa"/>
            <w:tcBorders>
              <w:top w:val="nil"/>
              <w:left w:val="nil"/>
              <w:bottom w:val="nil"/>
              <w:right w:val="nil"/>
            </w:tcBorders>
            <w:vAlign w:val="bottom"/>
            <w:hideMark/>
          </w:tcPr>
          <w:p w14:paraId="24352910"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56.521</w:t>
            </w:r>
          </w:p>
        </w:tc>
        <w:tc>
          <w:tcPr>
            <w:tcW w:w="1415" w:type="dxa"/>
            <w:tcBorders>
              <w:top w:val="nil"/>
              <w:left w:val="nil"/>
              <w:bottom w:val="nil"/>
              <w:right w:val="nil"/>
            </w:tcBorders>
            <w:vAlign w:val="bottom"/>
            <w:hideMark/>
          </w:tcPr>
          <w:p w14:paraId="26751824"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477</w:t>
            </w:r>
          </w:p>
        </w:tc>
      </w:tr>
      <w:tr w:rsidR="00A70E4F" w14:paraId="16DC935A" w14:textId="77777777" w:rsidTr="00A70E4F">
        <w:tc>
          <w:tcPr>
            <w:tcW w:w="1384" w:type="dxa"/>
            <w:tcBorders>
              <w:top w:val="nil"/>
              <w:left w:val="nil"/>
              <w:bottom w:val="nil"/>
              <w:right w:val="nil"/>
            </w:tcBorders>
            <w:hideMark/>
          </w:tcPr>
          <w:p w14:paraId="2F878B41" w14:textId="77777777" w:rsidR="00A70E4F" w:rsidRDefault="00A70E4F" w:rsidP="00A70E4F">
            <w:pPr>
              <w:rPr>
                <w:rFonts w:ascii="Arial" w:hAnsi="Arial" w:cs="Arial"/>
                <w:sz w:val="20"/>
                <w:szCs w:val="20"/>
              </w:rPr>
            </w:pPr>
            <w:r>
              <w:rPr>
                <w:rFonts w:ascii="Arial" w:hAnsi="Arial" w:cs="Arial"/>
                <w:sz w:val="20"/>
                <w:szCs w:val="20"/>
              </w:rPr>
              <w:t>FX</w:t>
            </w:r>
          </w:p>
        </w:tc>
        <w:tc>
          <w:tcPr>
            <w:tcW w:w="1444" w:type="dxa"/>
            <w:tcBorders>
              <w:top w:val="nil"/>
              <w:left w:val="nil"/>
              <w:bottom w:val="nil"/>
              <w:right w:val="nil"/>
            </w:tcBorders>
            <w:vAlign w:val="bottom"/>
            <w:hideMark/>
          </w:tcPr>
          <w:p w14:paraId="7DF61925"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-0.000419</w:t>
            </w:r>
          </w:p>
        </w:tc>
        <w:tc>
          <w:tcPr>
            <w:tcW w:w="1414" w:type="dxa"/>
            <w:tcBorders>
              <w:top w:val="nil"/>
              <w:left w:val="nil"/>
              <w:bottom w:val="nil"/>
              <w:right w:val="nil"/>
            </w:tcBorders>
            <w:vAlign w:val="bottom"/>
            <w:hideMark/>
          </w:tcPr>
          <w:p w14:paraId="652FAD28"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0.000259</w:t>
            </w:r>
          </w:p>
        </w:tc>
        <w:tc>
          <w:tcPr>
            <w:tcW w:w="1414" w:type="dxa"/>
            <w:tcBorders>
              <w:top w:val="nil"/>
              <w:left w:val="nil"/>
              <w:bottom w:val="nil"/>
              <w:right w:val="nil"/>
            </w:tcBorders>
            <w:vAlign w:val="bottom"/>
            <w:hideMark/>
          </w:tcPr>
          <w:p w14:paraId="7112B62A"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-0.000926</w:t>
            </w:r>
          </w:p>
        </w:tc>
        <w:tc>
          <w:tcPr>
            <w:tcW w:w="1415" w:type="dxa"/>
            <w:tcBorders>
              <w:top w:val="nil"/>
              <w:left w:val="nil"/>
              <w:bottom w:val="nil"/>
              <w:right w:val="nil"/>
            </w:tcBorders>
            <w:vAlign w:val="bottom"/>
            <w:hideMark/>
          </w:tcPr>
          <w:p w14:paraId="75E352E7"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0.000089</w:t>
            </w:r>
          </w:p>
        </w:tc>
        <w:tc>
          <w:tcPr>
            <w:tcW w:w="1415" w:type="dxa"/>
            <w:tcBorders>
              <w:top w:val="nil"/>
              <w:left w:val="nil"/>
              <w:bottom w:val="nil"/>
              <w:right w:val="nil"/>
            </w:tcBorders>
            <w:vAlign w:val="bottom"/>
            <w:hideMark/>
          </w:tcPr>
          <w:p w14:paraId="2CF06C9E"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0.106</w:t>
            </w:r>
          </w:p>
        </w:tc>
        <w:tc>
          <w:tcPr>
            <w:tcW w:w="1415" w:type="dxa"/>
            <w:tcBorders>
              <w:top w:val="nil"/>
              <w:left w:val="nil"/>
              <w:bottom w:val="nil"/>
              <w:right w:val="nil"/>
            </w:tcBorders>
            <w:vAlign w:val="bottom"/>
            <w:hideMark/>
          </w:tcPr>
          <w:p w14:paraId="1E83B740" w14:textId="77777777" w:rsidR="00A70E4F" w:rsidRDefault="00A70E4F" w:rsidP="00A70E4F">
            <w:pPr>
              <w:jc w:val="center"/>
              <w:rPr>
                <w:rFonts w:ascii="Arial" w:hAnsi="Arial" w:cs="Arial"/>
                <w:sz w:val="20"/>
                <w:szCs w:val="20"/>
              </w:rPr>
            </w:pPr>
            <w:r>
              <w:rPr>
                <w:rFonts w:ascii="Arial" w:eastAsia="Times New Roman" w:hAnsi="Arial" w:cs="Arial"/>
                <w:color w:val="000000"/>
                <w:sz w:val="20"/>
                <w:szCs w:val="20"/>
              </w:rPr>
              <w:t>0.883</w:t>
            </w:r>
          </w:p>
        </w:tc>
        <w:tc>
          <w:tcPr>
            <w:tcW w:w="1493" w:type="dxa"/>
            <w:tcBorders>
              <w:top w:val="nil"/>
              <w:left w:val="nil"/>
              <w:bottom w:val="nil"/>
              <w:right w:val="nil"/>
            </w:tcBorders>
            <w:vAlign w:val="bottom"/>
            <w:hideMark/>
          </w:tcPr>
          <w:p w14:paraId="3E19E186"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w:t>
            </w:r>
          </w:p>
        </w:tc>
        <w:tc>
          <w:tcPr>
            <w:tcW w:w="1415" w:type="dxa"/>
            <w:tcBorders>
              <w:top w:val="nil"/>
              <w:left w:val="nil"/>
              <w:bottom w:val="nil"/>
              <w:right w:val="nil"/>
            </w:tcBorders>
            <w:vAlign w:val="bottom"/>
            <w:hideMark/>
          </w:tcPr>
          <w:p w14:paraId="01EDB244"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477</w:t>
            </w:r>
          </w:p>
        </w:tc>
      </w:tr>
      <w:tr w:rsidR="00A70E4F" w14:paraId="2D9DD710" w14:textId="77777777" w:rsidTr="00A70E4F">
        <w:tc>
          <w:tcPr>
            <w:tcW w:w="1384" w:type="dxa"/>
            <w:tcBorders>
              <w:top w:val="nil"/>
              <w:left w:val="nil"/>
              <w:bottom w:val="nil"/>
              <w:right w:val="nil"/>
            </w:tcBorders>
            <w:hideMark/>
          </w:tcPr>
          <w:p w14:paraId="270DA377" w14:textId="77777777" w:rsidR="00A70E4F" w:rsidRDefault="00A70E4F" w:rsidP="00A70E4F">
            <w:pPr>
              <w:rPr>
                <w:rFonts w:ascii="Arial" w:hAnsi="Arial" w:cs="Arial"/>
                <w:sz w:val="20"/>
                <w:szCs w:val="20"/>
              </w:rPr>
            </w:pPr>
            <w:r>
              <w:rPr>
                <w:rFonts w:ascii="Arial" w:hAnsi="Arial" w:cs="Arial"/>
                <w:sz w:val="20"/>
                <w:szCs w:val="20"/>
              </w:rPr>
              <w:t>FXST</w:t>
            </w:r>
          </w:p>
        </w:tc>
        <w:tc>
          <w:tcPr>
            <w:tcW w:w="1444" w:type="dxa"/>
            <w:tcBorders>
              <w:top w:val="nil"/>
              <w:left w:val="nil"/>
              <w:bottom w:val="nil"/>
              <w:right w:val="nil"/>
            </w:tcBorders>
            <w:vAlign w:val="bottom"/>
            <w:hideMark/>
          </w:tcPr>
          <w:p w14:paraId="5144C673"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-0.000389</w:t>
            </w:r>
          </w:p>
        </w:tc>
        <w:tc>
          <w:tcPr>
            <w:tcW w:w="1414" w:type="dxa"/>
            <w:tcBorders>
              <w:top w:val="nil"/>
              <w:left w:val="nil"/>
              <w:bottom w:val="nil"/>
              <w:right w:val="nil"/>
            </w:tcBorders>
            <w:vAlign w:val="bottom"/>
            <w:hideMark/>
          </w:tcPr>
          <w:p w14:paraId="567E08C9"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0.000214</w:t>
            </w:r>
          </w:p>
        </w:tc>
        <w:tc>
          <w:tcPr>
            <w:tcW w:w="1414" w:type="dxa"/>
            <w:tcBorders>
              <w:top w:val="nil"/>
              <w:left w:val="nil"/>
              <w:bottom w:val="nil"/>
              <w:right w:val="nil"/>
            </w:tcBorders>
            <w:vAlign w:val="bottom"/>
            <w:hideMark/>
          </w:tcPr>
          <w:p w14:paraId="3C23ED26"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-0.000809</w:t>
            </w:r>
          </w:p>
        </w:tc>
        <w:tc>
          <w:tcPr>
            <w:tcW w:w="1415" w:type="dxa"/>
            <w:tcBorders>
              <w:top w:val="nil"/>
              <w:left w:val="nil"/>
              <w:bottom w:val="nil"/>
              <w:right w:val="nil"/>
            </w:tcBorders>
            <w:vAlign w:val="bottom"/>
            <w:hideMark/>
          </w:tcPr>
          <w:p w14:paraId="494D9462"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0.000031</w:t>
            </w:r>
          </w:p>
        </w:tc>
        <w:tc>
          <w:tcPr>
            <w:tcW w:w="1415" w:type="dxa"/>
            <w:tcBorders>
              <w:top w:val="nil"/>
              <w:left w:val="nil"/>
              <w:bottom w:val="nil"/>
              <w:right w:val="nil"/>
            </w:tcBorders>
            <w:vAlign w:val="bottom"/>
            <w:hideMark/>
          </w:tcPr>
          <w:p w14:paraId="40425BAD"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0.069</w:t>
            </w:r>
          </w:p>
        </w:tc>
        <w:tc>
          <w:tcPr>
            <w:tcW w:w="1415" w:type="dxa"/>
            <w:tcBorders>
              <w:top w:val="nil"/>
              <w:left w:val="nil"/>
              <w:bottom w:val="nil"/>
              <w:right w:val="nil"/>
            </w:tcBorders>
            <w:vAlign w:val="bottom"/>
            <w:hideMark/>
          </w:tcPr>
          <w:p w14:paraId="4CC3E126" w14:textId="77777777" w:rsidR="00A70E4F" w:rsidRDefault="00A70E4F" w:rsidP="00A70E4F">
            <w:pPr>
              <w:jc w:val="center"/>
              <w:rPr>
                <w:rFonts w:ascii="Arial" w:hAnsi="Arial" w:cs="Arial"/>
                <w:sz w:val="20"/>
                <w:szCs w:val="20"/>
              </w:rPr>
            </w:pPr>
            <w:r>
              <w:rPr>
                <w:rFonts w:ascii="Arial" w:eastAsia="Times New Roman" w:hAnsi="Arial" w:cs="Arial"/>
                <w:color w:val="000000"/>
                <w:sz w:val="20"/>
                <w:szCs w:val="20"/>
              </w:rPr>
              <w:t>0.883</w:t>
            </w:r>
          </w:p>
        </w:tc>
        <w:tc>
          <w:tcPr>
            <w:tcW w:w="1493" w:type="dxa"/>
            <w:tcBorders>
              <w:top w:val="nil"/>
              <w:left w:val="nil"/>
              <w:bottom w:val="nil"/>
              <w:right w:val="nil"/>
            </w:tcBorders>
            <w:vAlign w:val="bottom"/>
            <w:hideMark/>
          </w:tcPr>
          <w:p w14:paraId="11A15ED3"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31.235</w:t>
            </w:r>
          </w:p>
        </w:tc>
        <w:tc>
          <w:tcPr>
            <w:tcW w:w="1415" w:type="dxa"/>
            <w:tcBorders>
              <w:top w:val="nil"/>
              <w:left w:val="nil"/>
              <w:bottom w:val="nil"/>
              <w:right w:val="nil"/>
            </w:tcBorders>
            <w:vAlign w:val="bottom"/>
            <w:hideMark/>
          </w:tcPr>
          <w:p w14:paraId="76BF8D54"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477</w:t>
            </w:r>
          </w:p>
        </w:tc>
      </w:tr>
      <w:tr w:rsidR="00A70E4F" w14:paraId="69A37346" w14:textId="77777777" w:rsidTr="00A70E4F">
        <w:tc>
          <w:tcPr>
            <w:tcW w:w="1384" w:type="dxa"/>
            <w:tcBorders>
              <w:top w:val="nil"/>
              <w:left w:val="nil"/>
              <w:bottom w:val="nil"/>
              <w:right w:val="nil"/>
            </w:tcBorders>
            <w:hideMark/>
          </w:tcPr>
          <w:p w14:paraId="1B504AEB" w14:textId="77777777" w:rsidR="00A70E4F" w:rsidRDefault="00A70E4F" w:rsidP="00A70E4F">
            <w:pPr>
              <w:rPr>
                <w:rFonts w:ascii="Arial" w:hAnsi="Arial" w:cs="Arial"/>
                <w:sz w:val="20"/>
                <w:szCs w:val="20"/>
              </w:rPr>
            </w:pPr>
            <w:r>
              <w:rPr>
                <w:rFonts w:ascii="Arial" w:hAnsi="Arial" w:cs="Arial"/>
                <w:sz w:val="20"/>
                <w:szCs w:val="20"/>
              </w:rPr>
              <w:t>GCC</w:t>
            </w:r>
          </w:p>
        </w:tc>
        <w:tc>
          <w:tcPr>
            <w:tcW w:w="1444" w:type="dxa"/>
            <w:tcBorders>
              <w:top w:val="nil"/>
              <w:left w:val="nil"/>
              <w:bottom w:val="nil"/>
              <w:right w:val="nil"/>
            </w:tcBorders>
            <w:vAlign w:val="bottom"/>
            <w:hideMark/>
          </w:tcPr>
          <w:p w14:paraId="7256E57F"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-0.000075</w:t>
            </w:r>
          </w:p>
        </w:tc>
        <w:tc>
          <w:tcPr>
            <w:tcW w:w="1414" w:type="dxa"/>
            <w:tcBorders>
              <w:top w:val="nil"/>
              <w:left w:val="nil"/>
              <w:bottom w:val="nil"/>
              <w:right w:val="nil"/>
            </w:tcBorders>
            <w:vAlign w:val="bottom"/>
            <w:hideMark/>
          </w:tcPr>
          <w:p w14:paraId="0AAF27F6"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0.000236</w:t>
            </w:r>
          </w:p>
        </w:tc>
        <w:tc>
          <w:tcPr>
            <w:tcW w:w="1414" w:type="dxa"/>
            <w:tcBorders>
              <w:top w:val="nil"/>
              <w:left w:val="nil"/>
              <w:bottom w:val="nil"/>
              <w:right w:val="nil"/>
            </w:tcBorders>
            <w:vAlign w:val="bottom"/>
            <w:hideMark/>
          </w:tcPr>
          <w:p w14:paraId="7C9CAE5A"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-0.000537</w:t>
            </w:r>
          </w:p>
        </w:tc>
        <w:tc>
          <w:tcPr>
            <w:tcW w:w="1415" w:type="dxa"/>
            <w:tcBorders>
              <w:top w:val="nil"/>
              <w:left w:val="nil"/>
              <w:bottom w:val="nil"/>
              <w:right w:val="nil"/>
            </w:tcBorders>
            <w:vAlign w:val="bottom"/>
            <w:hideMark/>
          </w:tcPr>
          <w:p w14:paraId="21D9B66C"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0.000388</w:t>
            </w:r>
          </w:p>
        </w:tc>
        <w:tc>
          <w:tcPr>
            <w:tcW w:w="1415" w:type="dxa"/>
            <w:tcBorders>
              <w:top w:val="nil"/>
              <w:left w:val="nil"/>
              <w:bottom w:val="nil"/>
              <w:right w:val="nil"/>
            </w:tcBorders>
            <w:vAlign w:val="bottom"/>
            <w:hideMark/>
          </w:tcPr>
          <w:p w14:paraId="38380D4D"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0.752</w:t>
            </w:r>
          </w:p>
        </w:tc>
        <w:tc>
          <w:tcPr>
            <w:tcW w:w="1415" w:type="dxa"/>
            <w:tcBorders>
              <w:top w:val="nil"/>
              <w:left w:val="nil"/>
              <w:bottom w:val="nil"/>
              <w:right w:val="nil"/>
            </w:tcBorders>
            <w:vAlign w:val="bottom"/>
            <w:hideMark/>
          </w:tcPr>
          <w:p w14:paraId="59630210" w14:textId="77777777" w:rsidR="00A70E4F" w:rsidRDefault="00A70E4F" w:rsidP="00A70E4F">
            <w:pPr>
              <w:jc w:val="center"/>
              <w:rPr>
                <w:rFonts w:ascii="Arial" w:hAnsi="Arial" w:cs="Arial"/>
                <w:sz w:val="20"/>
                <w:szCs w:val="20"/>
              </w:rPr>
            </w:pPr>
            <w:r>
              <w:rPr>
                <w:rFonts w:ascii="Arial" w:eastAsia="Times New Roman" w:hAnsi="Arial" w:cs="Arial"/>
                <w:color w:val="000000"/>
                <w:sz w:val="20"/>
                <w:szCs w:val="20"/>
              </w:rPr>
              <w:t>0.975</w:t>
            </w:r>
          </w:p>
        </w:tc>
        <w:tc>
          <w:tcPr>
            <w:tcW w:w="1493" w:type="dxa"/>
            <w:tcBorders>
              <w:top w:val="nil"/>
              <w:left w:val="nil"/>
              <w:bottom w:val="nil"/>
              <w:right w:val="nil"/>
            </w:tcBorders>
            <w:vAlign w:val="bottom"/>
            <w:hideMark/>
          </w:tcPr>
          <w:p w14:paraId="4652F767"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47.584</w:t>
            </w:r>
          </w:p>
        </w:tc>
        <w:tc>
          <w:tcPr>
            <w:tcW w:w="1415" w:type="dxa"/>
            <w:tcBorders>
              <w:top w:val="nil"/>
              <w:left w:val="nil"/>
              <w:bottom w:val="nil"/>
              <w:right w:val="nil"/>
            </w:tcBorders>
            <w:vAlign w:val="bottom"/>
            <w:hideMark/>
          </w:tcPr>
          <w:p w14:paraId="77EA1137"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477</w:t>
            </w:r>
          </w:p>
        </w:tc>
      </w:tr>
      <w:tr w:rsidR="00A70E4F" w14:paraId="39D53741" w14:textId="77777777" w:rsidTr="00A70E4F">
        <w:tc>
          <w:tcPr>
            <w:tcW w:w="1384" w:type="dxa"/>
            <w:tcBorders>
              <w:top w:val="nil"/>
              <w:left w:val="nil"/>
              <w:bottom w:val="nil"/>
              <w:right w:val="nil"/>
            </w:tcBorders>
            <w:hideMark/>
          </w:tcPr>
          <w:p w14:paraId="3E8A2DDB" w14:textId="77777777" w:rsidR="00A70E4F" w:rsidRDefault="00A70E4F" w:rsidP="00A70E4F">
            <w:pPr>
              <w:rPr>
                <w:rFonts w:ascii="Arial" w:hAnsi="Arial" w:cs="Arial"/>
                <w:sz w:val="20"/>
                <w:szCs w:val="20"/>
              </w:rPr>
            </w:pPr>
            <w:r>
              <w:rPr>
                <w:rFonts w:ascii="Arial" w:hAnsi="Arial" w:cs="Arial"/>
                <w:sz w:val="20"/>
                <w:szCs w:val="20"/>
              </w:rPr>
              <w:t>IC</w:t>
            </w:r>
          </w:p>
        </w:tc>
        <w:tc>
          <w:tcPr>
            <w:tcW w:w="1444" w:type="dxa"/>
            <w:tcBorders>
              <w:top w:val="nil"/>
              <w:left w:val="nil"/>
              <w:bottom w:val="nil"/>
              <w:right w:val="nil"/>
            </w:tcBorders>
            <w:vAlign w:val="bottom"/>
            <w:hideMark/>
          </w:tcPr>
          <w:p w14:paraId="560DF3D6"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-0.000019</w:t>
            </w:r>
          </w:p>
        </w:tc>
        <w:tc>
          <w:tcPr>
            <w:tcW w:w="1414" w:type="dxa"/>
            <w:tcBorders>
              <w:top w:val="nil"/>
              <w:left w:val="nil"/>
              <w:bottom w:val="nil"/>
              <w:right w:val="nil"/>
            </w:tcBorders>
            <w:vAlign w:val="bottom"/>
            <w:hideMark/>
          </w:tcPr>
          <w:p w14:paraId="70504B4E"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0.000096</w:t>
            </w:r>
          </w:p>
        </w:tc>
        <w:tc>
          <w:tcPr>
            <w:tcW w:w="1414" w:type="dxa"/>
            <w:tcBorders>
              <w:top w:val="nil"/>
              <w:left w:val="nil"/>
              <w:bottom w:val="nil"/>
              <w:right w:val="nil"/>
            </w:tcBorders>
            <w:vAlign w:val="bottom"/>
            <w:hideMark/>
          </w:tcPr>
          <w:p w14:paraId="5365E51F"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-0.000206</w:t>
            </w:r>
          </w:p>
        </w:tc>
        <w:tc>
          <w:tcPr>
            <w:tcW w:w="1415" w:type="dxa"/>
            <w:tcBorders>
              <w:top w:val="nil"/>
              <w:left w:val="nil"/>
              <w:bottom w:val="nil"/>
              <w:right w:val="nil"/>
            </w:tcBorders>
            <w:vAlign w:val="bottom"/>
            <w:hideMark/>
          </w:tcPr>
          <w:p w14:paraId="0713C4C9"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0.000169</w:t>
            </w:r>
          </w:p>
        </w:tc>
        <w:tc>
          <w:tcPr>
            <w:tcW w:w="1415" w:type="dxa"/>
            <w:tcBorders>
              <w:top w:val="nil"/>
              <w:left w:val="nil"/>
              <w:bottom w:val="nil"/>
              <w:right w:val="nil"/>
            </w:tcBorders>
            <w:vAlign w:val="bottom"/>
            <w:hideMark/>
          </w:tcPr>
          <w:p w14:paraId="1C71036D"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0.847</w:t>
            </w:r>
          </w:p>
        </w:tc>
        <w:tc>
          <w:tcPr>
            <w:tcW w:w="1415" w:type="dxa"/>
            <w:tcBorders>
              <w:top w:val="nil"/>
              <w:left w:val="nil"/>
              <w:bottom w:val="nil"/>
              <w:right w:val="nil"/>
            </w:tcBorders>
            <w:vAlign w:val="bottom"/>
            <w:hideMark/>
          </w:tcPr>
          <w:p w14:paraId="369D2D1D" w14:textId="77777777" w:rsidR="00A70E4F" w:rsidRDefault="00A70E4F" w:rsidP="00A70E4F">
            <w:pPr>
              <w:jc w:val="center"/>
              <w:rPr>
                <w:rFonts w:ascii="Arial" w:hAnsi="Arial" w:cs="Arial"/>
                <w:sz w:val="20"/>
                <w:szCs w:val="20"/>
              </w:rPr>
            </w:pPr>
            <w:r>
              <w:rPr>
                <w:rFonts w:ascii="Arial" w:eastAsia="Times New Roman" w:hAnsi="Arial" w:cs="Arial"/>
                <w:color w:val="000000"/>
                <w:sz w:val="20"/>
                <w:szCs w:val="20"/>
              </w:rPr>
              <w:t>0.975</w:t>
            </w:r>
          </w:p>
        </w:tc>
        <w:tc>
          <w:tcPr>
            <w:tcW w:w="1493" w:type="dxa"/>
            <w:tcBorders>
              <w:top w:val="nil"/>
              <w:left w:val="nil"/>
              <w:bottom w:val="nil"/>
              <w:right w:val="nil"/>
            </w:tcBorders>
            <w:vAlign w:val="bottom"/>
            <w:hideMark/>
          </w:tcPr>
          <w:p w14:paraId="46D87412"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w:t>
            </w:r>
          </w:p>
        </w:tc>
        <w:tc>
          <w:tcPr>
            <w:tcW w:w="1415" w:type="dxa"/>
            <w:tcBorders>
              <w:top w:val="nil"/>
              <w:left w:val="nil"/>
              <w:bottom w:val="nil"/>
              <w:right w:val="nil"/>
            </w:tcBorders>
            <w:vAlign w:val="bottom"/>
            <w:hideMark/>
          </w:tcPr>
          <w:p w14:paraId="78E9BBC4"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477</w:t>
            </w:r>
          </w:p>
        </w:tc>
      </w:tr>
      <w:tr w:rsidR="00A70E4F" w14:paraId="71AB2CEA" w14:textId="77777777" w:rsidTr="00A70E4F">
        <w:tc>
          <w:tcPr>
            <w:tcW w:w="1384" w:type="dxa"/>
            <w:tcBorders>
              <w:top w:val="nil"/>
              <w:left w:val="nil"/>
              <w:bottom w:val="nil"/>
              <w:right w:val="nil"/>
            </w:tcBorders>
            <w:hideMark/>
          </w:tcPr>
          <w:p w14:paraId="43B58591" w14:textId="77777777" w:rsidR="00A70E4F" w:rsidRDefault="00A70E4F" w:rsidP="00A70E4F">
            <w:pPr>
              <w:rPr>
                <w:rFonts w:ascii="Arial" w:hAnsi="Arial" w:cs="Arial"/>
                <w:sz w:val="20"/>
                <w:szCs w:val="20"/>
              </w:rPr>
            </w:pPr>
            <w:r>
              <w:rPr>
                <w:rFonts w:ascii="Arial" w:hAnsi="Arial" w:cs="Arial"/>
                <w:sz w:val="20"/>
                <w:szCs w:val="20"/>
              </w:rPr>
              <w:t>IFO</w:t>
            </w:r>
          </w:p>
        </w:tc>
        <w:tc>
          <w:tcPr>
            <w:tcW w:w="1444" w:type="dxa"/>
            <w:tcBorders>
              <w:top w:val="nil"/>
              <w:left w:val="nil"/>
              <w:bottom w:val="nil"/>
              <w:right w:val="nil"/>
            </w:tcBorders>
            <w:vAlign w:val="bottom"/>
            <w:hideMark/>
          </w:tcPr>
          <w:p w14:paraId="25D1D40F"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-0.000330</w:t>
            </w:r>
          </w:p>
        </w:tc>
        <w:tc>
          <w:tcPr>
            <w:tcW w:w="1414" w:type="dxa"/>
            <w:tcBorders>
              <w:top w:val="nil"/>
              <w:left w:val="nil"/>
              <w:bottom w:val="nil"/>
              <w:right w:val="nil"/>
            </w:tcBorders>
            <w:vAlign w:val="bottom"/>
            <w:hideMark/>
          </w:tcPr>
          <w:p w14:paraId="7DC108C1"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0.000487</w:t>
            </w:r>
          </w:p>
        </w:tc>
        <w:tc>
          <w:tcPr>
            <w:tcW w:w="1414" w:type="dxa"/>
            <w:tcBorders>
              <w:top w:val="nil"/>
              <w:left w:val="nil"/>
              <w:bottom w:val="nil"/>
              <w:right w:val="nil"/>
            </w:tcBorders>
            <w:vAlign w:val="bottom"/>
            <w:hideMark/>
          </w:tcPr>
          <w:p w14:paraId="7179D4FD"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-0.001285</w:t>
            </w:r>
          </w:p>
        </w:tc>
        <w:tc>
          <w:tcPr>
            <w:tcW w:w="1415" w:type="dxa"/>
            <w:tcBorders>
              <w:top w:val="nil"/>
              <w:left w:val="nil"/>
              <w:bottom w:val="nil"/>
              <w:right w:val="nil"/>
            </w:tcBorders>
            <w:vAlign w:val="bottom"/>
            <w:hideMark/>
          </w:tcPr>
          <w:p w14:paraId="69ECD7EE"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0.000625</w:t>
            </w:r>
          </w:p>
        </w:tc>
        <w:tc>
          <w:tcPr>
            <w:tcW w:w="1415" w:type="dxa"/>
            <w:tcBorders>
              <w:top w:val="nil"/>
              <w:left w:val="nil"/>
              <w:bottom w:val="nil"/>
              <w:right w:val="nil"/>
            </w:tcBorders>
            <w:vAlign w:val="bottom"/>
            <w:hideMark/>
          </w:tcPr>
          <w:p w14:paraId="3E24C690"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0.498</w:t>
            </w:r>
          </w:p>
        </w:tc>
        <w:tc>
          <w:tcPr>
            <w:tcW w:w="1415" w:type="dxa"/>
            <w:tcBorders>
              <w:top w:val="nil"/>
              <w:left w:val="nil"/>
              <w:bottom w:val="nil"/>
              <w:right w:val="nil"/>
            </w:tcBorders>
            <w:vAlign w:val="bottom"/>
            <w:hideMark/>
          </w:tcPr>
          <w:p w14:paraId="23E25AE1" w14:textId="77777777" w:rsidR="00A70E4F" w:rsidRDefault="00A70E4F" w:rsidP="00A70E4F">
            <w:pPr>
              <w:jc w:val="center"/>
              <w:rPr>
                <w:rFonts w:ascii="Arial" w:hAnsi="Arial" w:cs="Arial"/>
                <w:sz w:val="20"/>
                <w:szCs w:val="20"/>
              </w:rPr>
            </w:pPr>
            <w:r>
              <w:rPr>
                <w:rFonts w:ascii="Arial" w:eastAsia="Times New Roman" w:hAnsi="Arial" w:cs="Arial"/>
                <w:color w:val="000000"/>
                <w:sz w:val="20"/>
                <w:szCs w:val="20"/>
              </w:rPr>
              <w:t>0.975</w:t>
            </w:r>
          </w:p>
        </w:tc>
        <w:tc>
          <w:tcPr>
            <w:tcW w:w="1493" w:type="dxa"/>
            <w:tcBorders>
              <w:top w:val="nil"/>
              <w:left w:val="nil"/>
              <w:bottom w:val="nil"/>
              <w:right w:val="nil"/>
            </w:tcBorders>
            <w:vAlign w:val="bottom"/>
            <w:hideMark/>
          </w:tcPr>
          <w:p w14:paraId="3DC5380A"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78.024</w:t>
            </w:r>
          </w:p>
        </w:tc>
        <w:tc>
          <w:tcPr>
            <w:tcW w:w="1415" w:type="dxa"/>
            <w:tcBorders>
              <w:top w:val="nil"/>
              <w:left w:val="nil"/>
              <w:bottom w:val="nil"/>
              <w:right w:val="nil"/>
            </w:tcBorders>
            <w:vAlign w:val="bottom"/>
            <w:hideMark/>
          </w:tcPr>
          <w:p w14:paraId="5203AA5A"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477</w:t>
            </w:r>
          </w:p>
        </w:tc>
      </w:tr>
      <w:tr w:rsidR="00A70E4F" w14:paraId="3BBACEC2" w14:textId="77777777" w:rsidTr="00A70E4F">
        <w:tc>
          <w:tcPr>
            <w:tcW w:w="1384" w:type="dxa"/>
            <w:tcBorders>
              <w:top w:val="nil"/>
              <w:left w:val="nil"/>
              <w:bottom w:val="nil"/>
              <w:right w:val="nil"/>
            </w:tcBorders>
            <w:hideMark/>
          </w:tcPr>
          <w:p w14:paraId="4EE6EE44" w14:textId="77777777" w:rsidR="00A70E4F" w:rsidRDefault="00A70E4F" w:rsidP="00A70E4F">
            <w:pPr>
              <w:rPr>
                <w:rFonts w:ascii="Arial" w:hAnsi="Arial" w:cs="Arial"/>
                <w:sz w:val="20"/>
                <w:szCs w:val="20"/>
              </w:rPr>
            </w:pPr>
            <w:r>
              <w:rPr>
                <w:rFonts w:ascii="Arial" w:hAnsi="Arial" w:cs="Arial"/>
                <w:sz w:val="20"/>
                <w:szCs w:val="20"/>
              </w:rPr>
              <w:t>PCR</w:t>
            </w:r>
          </w:p>
        </w:tc>
        <w:tc>
          <w:tcPr>
            <w:tcW w:w="1444" w:type="dxa"/>
            <w:tcBorders>
              <w:top w:val="nil"/>
              <w:left w:val="nil"/>
              <w:bottom w:val="nil"/>
              <w:right w:val="nil"/>
            </w:tcBorders>
            <w:vAlign w:val="bottom"/>
            <w:hideMark/>
          </w:tcPr>
          <w:p w14:paraId="0C4F77DB"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0.000054</w:t>
            </w:r>
          </w:p>
        </w:tc>
        <w:tc>
          <w:tcPr>
            <w:tcW w:w="1414" w:type="dxa"/>
            <w:tcBorders>
              <w:top w:val="nil"/>
              <w:left w:val="nil"/>
              <w:bottom w:val="nil"/>
              <w:right w:val="nil"/>
            </w:tcBorders>
            <w:vAlign w:val="bottom"/>
            <w:hideMark/>
          </w:tcPr>
          <w:p w14:paraId="5FB5B52B"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0.000112</w:t>
            </w:r>
          </w:p>
        </w:tc>
        <w:tc>
          <w:tcPr>
            <w:tcW w:w="1414" w:type="dxa"/>
            <w:tcBorders>
              <w:top w:val="nil"/>
              <w:left w:val="nil"/>
              <w:bottom w:val="nil"/>
              <w:right w:val="nil"/>
            </w:tcBorders>
            <w:vAlign w:val="bottom"/>
            <w:hideMark/>
          </w:tcPr>
          <w:p w14:paraId="58F41DB1"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-0.000167</w:t>
            </w:r>
          </w:p>
        </w:tc>
        <w:tc>
          <w:tcPr>
            <w:tcW w:w="1415" w:type="dxa"/>
            <w:tcBorders>
              <w:top w:val="nil"/>
              <w:left w:val="nil"/>
              <w:bottom w:val="nil"/>
              <w:right w:val="nil"/>
            </w:tcBorders>
            <w:vAlign w:val="bottom"/>
            <w:hideMark/>
          </w:tcPr>
          <w:p w14:paraId="2823FECC"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0.000274</w:t>
            </w:r>
          </w:p>
        </w:tc>
        <w:tc>
          <w:tcPr>
            <w:tcW w:w="1415" w:type="dxa"/>
            <w:tcBorders>
              <w:top w:val="nil"/>
              <w:left w:val="nil"/>
              <w:bottom w:val="nil"/>
              <w:right w:val="nil"/>
            </w:tcBorders>
            <w:vAlign w:val="bottom"/>
            <w:hideMark/>
          </w:tcPr>
          <w:p w14:paraId="07F29661"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0.633</w:t>
            </w:r>
          </w:p>
        </w:tc>
        <w:tc>
          <w:tcPr>
            <w:tcW w:w="1415" w:type="dxa"/>
            <w:tcBorders>
              <w:top w:val="nil"/>
              <w:left w:val="nil"/>
              <w:bottom w:val="nil"/>
              <w:right w:val="nil"/>
            </w:tcBorders>
            <w:vAlign w:val="bottom"/>
            <w:hideMark/>
          </w:tcPr>
          <w:p w14:paraId="007FB88C" w14:textId="77777777" w:rsidR="00A70E4F" w:rsidRDefault="00A70E4F" w:rsidP="00A70E4F">
            <w:pPr>
              <w:jc w:val="center"/>
              <w:rPr>
                <w:rFonts w:ascii="Arial" w:hAnsi="Arial" w:cs="Arial"/>
                <w:sz w:val="20"/>
                <w:szCs w:val="20"/>
              </w:rPr>
            </w:pPr>
            <w:r>
              <w:rPr>
                <w:rFonts w:ascii="Arial" w:eastAsia="Times New Roman" w:hAnsi="Arial" w:cs="Arial"/>
                <w:color w:val="000000"/>
                <w:sz w:val="20"/>
                <w:szCs w:val="20"/>
              </w:rPr>
              <w:t>0.975</w:t>
            </w:r>
          </w:p>
        </w:tc>
        <w:tc>
          <w:tcPr>
            <w:tcW w:w="1493" w:type="dxa"/>
            <w:tcBorders>
              <w:top w:val="nil"/>
              <w:left w:val="nil"/>
              <w:bottom w:val="nil"/>
              <w:right w:val="nil"/>
            </w:tcBorders>
            <w:vAlign w:val="bottom"/>
            <w:hideMark/>
          </w:tcPr>
          <w:p w14:paraId="3ED773E7"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w:t>
            </w:r>
          </w:p>
        </w:tc>
        <w:tc>
          <w:tcPr>
            <w:tcW w:w="1415" w:type="dxa"/>
            <w:tcBorders>
              <w:top w:val="nil"/>
              <w:left w:val="nil"/>
              <w:bottom w:val="nil"/>
              <w:right w:val="nil"/>
            </w:tcBorders>
            <w:vAlign w:val="bottom"/>
            <w:hideMark/>
          </w:tcPr>
          <w:p w14:paraId="6A8642BA"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477</w:t>
            </w:r>
          </w:p>
        </w:tc>
      </w:tr>
      <w:tr w:rsidR="00A70E4F" w14:paraId="14B24A84" w14:textId="77777777" w:rsidTr="00A70E4F">
        <w:tc>
          <w:tcPr>
            <w:tcW w:w="1384" w:type="dxa"/>
            <w:tcBorders>
              <w:top w:val="nil"/>
              <w:left w:val="nil"/>
              <w:bottom w:val="nil"/>
              <w:right w:val="nil"/>
            </w:tcBorders>
            <w:hideMark/>
          </w:tcPr>
          <w:p w14:paraId="089AC59E" w14:textId="77777777" w:rsidR="00A70E4F" w:rsidRDefault="00A70E4F" w:rsidP="00A70E4F">
            <w:pPr>
              <w:rPr>
                <w:rFonts w:ascii="Arial" w:hAnsi="Arial" w:cs="Arial"/>
                <w:sz w:val="20"/>
                <w:szCs w:val="20"/>
              </w:rPr>
            </w:pPr>
            <w:r>
              <w:rPr>
                <w:rFonts w:ascii="Arial" w:hAnsi="Arial" w:cs="Arial"/>
                <w:sz w:val="20"/>
                <w:szCs w:val="20"/>
              </w:rPr>
              <w:t>PLIC</w:t>
            </w:r>
          </w:p>
        </w:tc>
        <w:tc>
          <w:tcPr>
            <w:tcW w:w="1444" w:type="dxa"/>
            <w:tcBorders>
              <w:top w:val="nil"/>
              <w:left w:val="nil"/>
              <w:bottom w:val="nil"/>
              <w:right w:val="nil"/>
            </w:tcBorders>
            <w:vAlign w:val="bottom"/>
            <w:hideMark/>
          </w:tcPr>
          <w:p w14:paraId="349BE969"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-0.000032</w:t>
            </w:r>
          </w:p>
        </w:tc>
        <w:tc>
          <w:tcPr>
            <w:tcW w:w="1414" w:type="dxa"/>
            <w:tcBorders>
              <w:top w:val="nil"/>
              <w:left w:val="nil"/>
              <w:bottom w:val="nil"/>
              <w:right w:val="nil"/>
            </w:tcBorders>
            <w:vAlign w:val="bottom"/>
            <w:hideMark/>
          </w:tcPr>
          <w:p w14:paraId="5C561EA9"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0.000124</w:t>
            </w:r>
          </w:p>
        </w:tc>
        <w:tc>
          <w:tcPr>
            <w:tcW w:w="1414" w:type="dxa"/>
            <w:tcBorders>
              <w:top w:val="nil"/>
              <w:left w:val="nil"/>
              <w:bottom w:val="nil"/>
              <w:right w:val="nil"/>
            </w:tcBorders>
            <w:vAlign w:val="bottom"/>
            <w:hideMark/>
          </w:tcPr>
          <w:p w14:paraId="6EE3181A"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-0.000276</w:t>
            </w:r>
          </w:p>
        </w:tc>
        <w:tc>
          <w:tcPr>
            <w:tcW w:w="1415" w:type="dxa"/>
            <w:tcBorders>
              <w:top w:val="nil"/>
              <w:left w:val="nil"/>
              <w:bottom w:val="nil"/>
              <w:right w:val="nil"/>
            </w:tcBorders>
            <w:vAlign w:val="bottom"/>
            <w:hideMark/>
          </w:tcPr>
          <w:p w14:paraId="19208E11"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0.000211</w:t>
            </w:r>
          </w:p>
        </w:tc>
        <w:tc>
          <w:tcPr>
            <w:tcW w:w="1415" w:type="dxa"/>
            <w:tcBorders>
              <w:top w:val="nil"/>
              <w:left w:val="nil"/>
              <w:bottom w:val="nil"/>
              <w:right w:val="nil"/>
            </w:tcBorders>
            <w:vAlign w:val="bottom"/>
            <w:hideMark/>
          </w:tcPr>
          <w:p w14:paraId="10F6D5F4"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0.794</w:t>
            </w:r>
          </w:p>
        </w:tc>
        <w:tc>
          <w:tcPr>
            <w:tcW w:w="1415" w:type="dxa"/>
            <w:tcBorders>
              <w:top w:val="nil"/>
              <w:left w:val="nil"/>
              <w:bottom w:val="nil"/>
              <w:right w:val="nil"/>
            </w:tcBorders>
            <w:vAlign w:val="bottom"/>
            <w:hideMark/>
          </w:tcPr>
          <w:p w14:paraId="687AB8D2" w14:textId="77777777" w:rsidR="00A70E4F" w:rsidRDefault="00A70E4F" w:rsidP="00A70E4F">
            <w:pPr>
              <w:jc w:val="center"/>
              <w:rPr>
                <w:rFonts w:ascii="Arial" w:hAnsi="Arial" w:cs="Arial"/>
                <w:sz w:val="20"/>
                <w:szCs w:val="20"/>
              </w:rPr>
            </w:pPr>
            <w:r>
              <w:rPr>
                <w:rFonts w:ascii="Arial" w:eastAsia="Times New Roman" w:hAnsi="Arial" w:cs="Arial"/>
                <w:color w:val="000000"/>
                <w:sz w:val="20"/>
                <w:szCs w:val="20"/>
              </w:rPr>
              <w:t>0.975</w:t>
            </w:r>
          </w:p>
        </w:tc>
        <w:tc>
          <w:tcPr>
            <w:tcW w:w="1493" w:type="dxa"/>
            <w:tcBorders>
              <w:top w:val="nil"/>
              <w:left w:val="nil"/>
              <w:bottom w:val="nil"/>
              <w:right w:val="nil"/>
            </w:tcBorders>
            <w:vAlign w:val="bottom"/>
            <w:hideMark/>
          </w:tcPr>
          <w:p w14:paraId="47113F8F"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w:t>
            </w:r>
          </w:p>
        </w:tc>
        <w:tc>
          <w:tcPr>
            <w:tcW w:w="1415" w:type="dxa"/>
            <w:tcBorders>
              <w:top w:val="nil"/>
              <w:left w:val="nil"/>
              <w:bottom w:val="nil"/>
              <w:right w:val="nil"/>
            </w:tcBorders>
            <w:vAlign w:val="bottom"/>
            <w:hideMark/>
          </w:tcPr>
          <w:p w14:paraId="7BC020AB"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477</w:t>
            </w:r>
          </w:p>
        </w:tc>
      </w:tr>
      <w:tr w:rsidR="00A70E4F" w14:paraId="0A398B45" w14:textId="77777777" w:rsidTr="00A70E4F">
        <w:tc>
          <w:tcPr>
            <w:tcW w:w="1384" w:type="dxa"/>
            <w:tcBorders>
              <w:top w:val="nil"/>
              <w:left w:val="nil"/>
              <w:bottom w:val="nil"/>
              <w:right w:val="nil"/>
            </w:tcBorders>
            <w:hideMark/>
          </w:tcPr>
          <w:p w14:paraId="16E17050" w14:textId="77777777" w:rsidR="00A70E4F" w:rsidRDefault="00A70E4F" w:rsidP="00A70E4F">
            <w:pPr>
              <w:rPr>
                <w:rFonts w:ascii="Arial" w:hAnsi="Arial" w:cs="Arial"/>
                <w:sz w:val="20"/>
                <w:szCs w:val="20"/>
              </w:rPr>
            </w:pPr>
            <w:r>
              <w:rPr>
                <w:rFonts w:ascii="Arial" w:hAnsi="Arial" w:cs="Arial"/>
                <w:sz w:val="20"/>
                <w:szCs w:val="20"/>
              </w:rPr>
              <w:t>PTR</w:t>
            </w:r>
          </w:p>
        </w:tc>
        <w:tc>
          <w:tcPr>
            <w:tcW w:w="1444" w:type="dxa"/>
            <w:tcBorders>
              <w:top w:val="nil"/>
              <w:left w:val="nil"/>
              <w:bottom w:val="nil"/>
              <w:right w:val="nil"/>
            </w:tcBorders>
            <w:vAlign w:val="bottom"/>
            <w:hideMark/>
          </w:tcPr>
          <w:p w14:paraId="619E760A"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-0.000131</w:t>
            </w:r>
          </w:p>
        </w:tc>
        <w:tc>
          <w:tcPr>
            <w:tcW w:w="1414" w:type="dxa"/>
            <w:tcBorders>
              <w:top w:val="nil"/>
              <w:left w:val="nil"/>
              <w:bottom w:val="nil"/>
              <w:right w:val="nil"/>
            </w:tcBorders>
            <w:vAlign w:val="bottom"/>
            <w:hideMark/>
          </w:tcPr>
          <w:p w14:paraId="17235AB1"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0.000133</w:t>
            </w:r>
          </w:p>
        </w:tc>
        <w:tc>
          <w:tcPr>
            <w:tcW w:w="1414" w:type="dxa"/>
            <w:tcBorders>
              <w:top w:val="nil"/>
              <w:left w:val="nil"/>
              <w:bottom w:val="nil"/>
              <w:right w:val="nil"/>
            </w:tcBorders>
            <w:vAlign w:val="bottom"/>
            <w:hideMark/>
          </w:tcPr>
          <w:p w14:paraId="425AF1D9"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-0.000392</w:t>
            </w:r>
          </w:p>
        </w:tc>
        <w:tc>
          <w:tcPr>
            <w:tcW w:w="1415" w:type="dxa"/>
            <w:tcBorders>
              <w:top w:val="nil"/>
              <w:left w:val="nil"/>
              <w:bottom w:val="nil"/>
              <w:right w:val="nil"/>
            </w:tcBorders>
            <w:vAlign w:val="bottom"/>
            <w:hideMark/>
          </w:tcPr>
          <w:p w14:paraId="35FCD87E"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0.000130</w:t>
            </w:r>
          </w:p>
        </w:tc>
        <w:tc>
          <w:tcPr>
            <w:tcW w:w="1415" w:type="dxa"/>
            <w:tcBorders>
              <w:top w:val="nil"/>
              <w:left w:val="nil"/>
              <w:bottom w:val="nil"/>
              <w:right w:val="nil"/>
            </w:tcBorders>
            <w:vAlign w:val="bottom"/>
            <w:hideMark/>
          </w:tcPr>
          <w:p w14:paraId="400A1844"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0.326</w:t>
            </w:r>
          </w:p>
        </w:tc>
        <w:tc>
          <w:tcPr>
            <w:tcW w:w="1415" w:type="dxa"/>
            <w:tcBorders>
              <w:top w:val="nil"/>
              <w:left w:val="nil"/>
              <w:bottom w:val="nil"/>
              <w:right w:val="nil"/>
            </w:tcBorders>
            <w:vAlign w:val="bottom"/>
            <w:hideMark/>
          </w:tcPr>
          <w:p w14:paraId="5E51AEE9" w14:textId="77777777" w:rsidR="00A70E4F" w:rsidRDefault="00A70E4F" w:rsidP="00A70E4F">
            <w:pPr>
              <w:jc w:val="center"/>
              <w:rPr>
                <w:rFonts w:ascii="Arial" w:hAnsi="Arial" w:cs="Arial"/>
                <w:sz w:val="20"/>
                <w:szCs w:val="20"/>
              </w:rPr>
            </w:pPr>
            <w:r>
              <w:rPr>
                <w:rFonts w:ascii="Arial" w:eastAsia="Times New Roman" w:hAnsi="Arial" w:cs="Arial"/>
                <w:color w:val="000000"/>
                <w:sz w:val="20"/>
                <w:szCs w:val="20"/>
              </w:rPr>
              <w:t>0.975</w:t>
            </w:r>
          </w:p>
        </w:tc>
        <w:tc>
          <w:tcPr>
            <w:tcW w:w="1493" w:type="dxa"/>
            <w:tcBorders>
              <w:top w:val="nil"/>
              <w:left w:val="nil"/>
              <w:bottom w:val="nil"/>
              <w:right w:val="nil"/>
            </w:tcBorders>
            <w:vAlign w:val="bottom"/>
            <w:hideMark/>
          </w:tcPr>
          <w:p w14:paraId="7EB0020C"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w:t>
            </w:r>
          </w:p>
        </w:tc>
        <w:tc>
          <w:tcPr>
            <w:tcW w:w="1415" w:type="dxa"/>
            <w:tcBorders>
              <w:top w:val="nil"/>
              <w:left w:val="nil"/>
              <w:bottom w:val="nil"/>
              <w:right w:val="nil"/>
            </w:tcBorders>
            <w:vAlign w:val="bottom"/>
            <w:hideMark/>
          </w:tcPr>
          <w:p w14:paraId="414B8BA8"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477</w:t>
            </w:r>
          </w:p>
        </w:tc>
      </w:tr>
      <w:tr w:rsidR="00A70E4F" w14:paraId="1426E8BF" w14:textId="77777777" w:rsidTr="00A70E4F">
        <w:tc>
          <w:tcPr>
            <w:tcW w:w="1384" w:type="dxa"/>
            <w:tcBorders>
              <w:top w:val="nil"/>
              <w:left w:val="nil"/>
              <w:bottom w:val="nil"/>
              <w:right w:val="nil"/>
            </w:tcBorders>
            <w:hideMark/>
          </w:tcPr>
          <w:p w14:paraId="5CA0845F" w14:textId="77777777" w:rsidR="00A70E4F" w:rsidRDefault="00A70E4F" w:rsidP="00A70E4F">
            <w:pPr>
              <w:rPr>
                <w:rFonts w:ascii="Arial" w:hAnsi="Arial" w:cs="Arial"/>
                <w:sz w:val="20"/>
                <w:szCs w:val="20"/>
              </w:rPr>
            </w:pPr>
            <w:r>
              <w:rPr>
                <w:rFonts w:ascii="Arial" w:hAnsi="Arial" w:cs="Arial"/>
                <w:sz w:val="20"/>
                <w:szCs w:val="20"/>
              </w:rPr>
              <w:t>RLIC</w:t>
            </w:r>
          </w:p>
        </w:tc>
        <w:tc>
          <w:tcPr>
            <w:tcW w:w="1444" w:type="dxa"/>
            <w:tcBorders>
              <w:top w:val="nil"/>
              <w:left w:val="nil"/>
              <w:bottom w:val="nil"/>
              <w:right w:val="nil"/>
            </w:tcBorders>
            <w:vAlign w:val="bottom"/>
            <w:hideMark/>
          </w:tcPr>
          <w:p w14:paraId="15031418"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-0.000129</w:t>
            </w:r>
          </w:p>
        </w:tc>
        <w:tc>
          <w:tcPr>
            <w:tcW w:w="1414" w:type="dxa"/>
            <w:tcBorders>
              <w:top w:val="nil"/>
              <w:left w:val="nil"/>
              <w:bottom w:val="nil"/>
              <w:right w:val="nil"/>
            </w:tcBorders>
            <w:vAlign w:val="bottom"/>
            <w:hideMark/>
          </w:tcPr>
          <w:p w14:paraId="32269F8E"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0.000118</w:t>
            </w:r>
          </w:p>
        </w:tc>
        <w:tc>
          <w:tcPr>
            <w:tcW w:w="1414" w:type="dxa"/>
            <w:tcBorders>
              <w:top w:val="nil"/>
              <w:left w:val="nil"/>
              <w:bottom w:val="nil"/>
              <w:right w:val="nil"/>
            </w:tcBorders>
            <w:vAlign w:val="bottom"/>
            <w:hideMark/>
          </w:tcPr>
          <w:p w14:paraId="0EC3E554"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-0.000361</w:t>
            </w:r>
          </w:p>
        </w:tc>
        <w:tc>
          <w:tcPr>
            <w:tcW w:w="1415" w:type="dxa"/>
            <w:tcBorders>
              <w:top w:val="nil"/>
              <w:left w:val="nil"/>
              <w:bottom w:val="nil"/>
              <w:right w:val="nil"/>
            </w:tcBorders>
            <w:vAlign w:val="bottom"/>
            <w:hideMark/>
          </w:tcPr>
          <w:p w14:paraId="0C4179B9"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0.000103</w:t>
            </w:r>
          </w:p>
        </w:tc>
        <w:tc>
          <w:tcPr>
            <w:tcW w:w="1415" w:type="dxa"/>
            <w:tcBorders>
              <w:top w:val="nil"/>
              <w:left w:val="nil"/>
              <w:bottom w:val="nil"/>
              <w:right w:val="nil"/>
            </w:tcBorders>
            <w:vAlign w:val="bottom"/>
            <w:hideMark/>
          </w:tcPr>
          <w:p w14:paraId="46E75625"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0.276</w:t>
            </w:r>
          </w:p>
        </w:tc>
        <w:tc>
          <w:tcPr>
            <w:tcW w:w="1415" w:type="dxa"/>
            <w:tcBorders>
              <w:top w:val="nil"/>
              <w:left w:val="nil"/>
              <w:bottom w:val="nil"/>
              <w:right w:val="nil"/>
            </w:tcBorders>
            <w:vAlign w:val="bottom"/>
            <w:hideMark/>
          </w:tcPr>
          <w:p w14:paraId="33E09C2A" w14:textId="77777777" w:rsidR="00A70E4F" w:rsidRDefault="00A70E4F" w:rsidP="00A70E4F">
            <w:pPr>
              <w:jc w:val="center"/>
              <w:rPr>
                <w:rFonts w:ascii="Arial" w:hAnsi="Arial" w:cs="Arial"/>
                <w:sz w:val="20"/>
                <w:szCs w:val="20"/>
              </w:rPr>
            </w:pPr>
            <w:r>
              <w:rPr>
                <w:rFonts w:ascii="Arial" w:eastAsia="Times New Roman" w:hAnsi="Arial" w:cs="Arial"/>
                <w:color w:val="000000"/>
                <w:sz w:val="20"/>
                <w:szCs w:val="20"/>
              </w:rPr>
              <w:t>0.975</w:t>
            </w:r>
          </w:p>
        </w:tc>
        <w:tc>
          <w:tcPr>
            <w:tcW w:w="1493" w:type="dxa"/>
            <w:tcBorders>
              <w:top w:val="nil"/>
              <w:left w:val="nil"/>
              <w:bottom w:val="nil"/>
              <w:right w:val="nil"/>
            </w:tcBorders>
            <w:vAlign w:val="bottom"/>
            <w:hideMark/>
          </w:tcPr>
          <w:p w14:paraId="4AD3BF1D"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w:t>
            </w:r>
          </w:p>
        </w:tc>
        <w:tc>
          <w:tcPr>
            <w:tcW w:w="1415" w:type="dxa"/>
            <w:tcBorders>
              <w:top w:val="nil"/>
              <w:left w:val="nil"/>
              <w:bottom w:val="nil"/>
              <w:right w:val="nil"/>
            </w:tcBorders>
            <w:vAlign w:val="bottom"/>
            <w:hideMark/>
          </w:tcPr>
          <w:p w14:paraId="38579CCB"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477</w:t>
            </w:r>
          </w:p>
        </w:tc>
      </w:tr>
      <w:tr w:rsidR="00A70E4F" w14:paraId="3152BCA3" w14:textId="77777777" w:rsidTr="00A70E4F">
        <w:tc>
          <w:tcPr>
            <w:tcW w:w="1384" w:type="dxa"/>
            <w:tcBorders>
              <w:top w:val="nil"/>
              <w:left w:val="nil"/>
              <w:bottom w:val="nil"/>
              <w:right w:val="nil"/>
            </w:tcBorders>
            <w:hideMark/>
          </w:tcPr>
          <w:p w14:paraId="33BBA86D" w14:textId="77777777" w:rsidR="00A70E4F" w:rsidRDefault="00A70E4F" w:rsidP="00A70E4F">
            <w:pPr>
              <w:rPr>
                <w:rFonts w:ascii="Arial" w:hAnsi="Arial" w:cs="Arial"/>
                <w:sz w:val="20"/>
                <w:szCs w:val="20"/>
              </w:rPr>
            </w:pPr>
            <w:r>
              <w:rPr>
                <w:rFonts w:ascii="Arial" w:hAnsi="Arial" w:cs="Arial"/>
                <w:sz w:val="20"/>
                <w:szCs w:val="20"/>
              </w:rPr>
              <w:t>SCC</w:t>
            </w:r>
          </w:p>
        </w:tc>
        <w:tc>
          <w:tcPr>
            <w:tcW w:w="1444" w:type="dxa"/>
            <w:tcBorders>
              <w:top w:val="nil"/>
              <w:left w:val="nil"/>
              <w:bottom w:val="nil"/>
              <w:right w:val="nil"/>
            </w:tcBorders>
            <w:vAlign w:val="bottom"/>
            <w:hideMark/>
          </w:tcPr>
          <w:p w14:paraId="41392A8D"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0.000055</w:t>
            </w:r>
          </w:p>
        </w:tc>
        <w:tc>
          <w:tcPr>
            <w:tcW w:w="1414" w:type="dxa"/>
            <w:tcBorders>
              <w:top w:val="nil"/>
              <w:left w:val="nil"/>
              <w:bottom w:val="nil"/>
              <w:right w:val="nil"/>
            </w:tcBorders>
            <w:vAlign w:val="bottom"/>
            <w:hideMark/>
          </w:tcPr>
          <w:p w14:paraId="49222B9A"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0.000099</w:t>
            </w:r>
          </w:p>
        </w:tc>
        <w:tc>
          <w:tcPr>
            <w:tcW w:w="1414" w:type="dxa"/>
            <w:tcBorders>
              <w:top w:val="nil"/>
              <w:left w:val="nil"/>
              <w:bottom w:val="nil"/>
              <w:right w:val="nil"/>
            </w:tcBorders>
            <w:vAlign w:val="bottom"/>
            <w:hideMark/>
          </w:tcPr>
          <w:p w14:paraId="3EEF9E9E"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-0.000139</w:t>
            </w:r>
          </w:p>
        </w:tc>
        <w:tc>
          <w:tcPr>
            <w:tcW w:w="1415" w:type="dxa"/>
            <w:tcBorders>
              <w:top w:val="nil"/>
              <w:left w:val="nil"/>
              <w:bottom w:val="nil"/>
              <w:right w:val="nil"/>
            </w:tcBorders>
            <w:vAlign w:val="bottom"/>
            <w:hideMark/>
          </w:tcPr>
          <w:p w14:paraId="09A4EDEA"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0.000249</w:t>
            </w:r>
          </w:p>
        </w:tc>
        <w:tc>
          <w:tcPr>
            <w:tcW w:w="1415" w:type="dxa"/>
            <w:tcBorders>
              <w:top w:val="nil"/>
              <w:left w:val="nil"/>
              <w:bottom w:val="nil"/>
              <w:right w:val="nil"/>
            </w:tcBorders>
            <w:vAlign w:val="bottom"/>
            <w:hideMark/>
          </w:tcPr>
          <w:p w14:paraId="1747EDAC"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0.576</w:t>
            </w:r>
          </w:p>
        </w:tc>
        <w:tc>
          <w:tcPr>
            <w:tcW w:w="1415" w:type="dxa"/>
            <w:tcBorders>
              <w:top w:val="nil"/>
              <w:left w:val="nil"/>
              <w:bottom w:val="nil"/>
              <w:right w:val="nil"/>
            </w:tcBorders>
            <w:vAlign w:val="bottom"/>
            <w:hideMark/>
          </w:tcPr>
          <w:p w14:paraId="3D7593C9" w14:textId="77777777" w:rsidR="00A70E4F" w:rsidRDefault="00A70E4F" w:rsidP="00A70E4F">
            <w:pPr>
              <w:jc w:val="center"/>
              <w:rPr>
                <w:rFonts w:ascii="Arial" w:hAnsi="Arial" w:cs="Arial"/>
                <w:sz w:val="20"/>
                <w:szCs w:val="20"/>
              </w:rPr>
            </w:pPr>
            <w:r>
              <w:rPr>
                <w:rFonts w:ascii="Arial" w:eastAsia="Times New Roman" w:hAnsi="Arial" w:cs="Arial"/>
                <w:color w:val="000000"/>
                <w:sz w:val="20"/>
                <w:szCs w:val="20"/>
              </w:rPr>
              <w:t>0.975</w:t>
            </w:r>
          </w:p>
        </w:tc>
        <w:tc>
          <w:tcPr>
            <w:tcW w:w="1493" w:type="dxa"/>
            <w:tcBorders>
              <w:top w:val="nil"/>
              <w:left w:val="nil"/>
              <w:bottom w:val="nil"/>
              <w:right w:val="nil"/>
            </w:tcBorders>
            <w:vAlign w:val="bottom"/>
            <w:hideMark/>
          </w:tcPr>
          <w:p w14:paraId="62B3579D"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w:t>
            </w:r>
          </w:p>
        </w:tc>
        <w:tc>
          <w:tcPr>
            <w:tcW w:w="1415" w:type="dxa"/>
            <w:tcBorders>
              <w:top w:val="nil"/>
              <w:left w:val="nil"/>
              <w:bottom w:val="nil"/>
              <w:right w:val="nil"/>
            </w:tcBorders>
            <w:vAlign w:val="bottom"/>
            <w:hideMark/>
          </w:tcPr>
          <w:p w14:paraId="15351AD3"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477</w:t>
            </w:r>
          </w:p>
        </w:tc>
      </w:tr>
      <w:tr w:rsidR="00A70E4F" w14:paraId="624D2AB4" w14:textId="77777777" w:rsidTr="00A70E4F">
        <w:tc>
          <w:tcPr>
            <w:tcW w:w="1384" w:type="dxa"/>
            <w:tcBorders>
              <w:top w:val="nil"/>
              <w:left w:val="nil"/>
              <w:bottom w:val="nil"/>
              <w:right w:val="nil"/>
            </w:tcBorders>
            <w:hideMark/>
          </w:tcPr>
          <w:p w14:paraId="4E1B8498" w14:textId="77777777" w:rsidR="00A70E4F" w:rsidRDefault="00A70E4F" w:rsidP="00A70E4F">
            <w:pPr>
              <w:rPr>
                <w:rFonts w:ascii="Arial" w:hAnsi="Arial" w:cs="Arial"/>
                <w:sz w:val="20"/>
                <w:szCs w:val="20"/>
              </w:rPr>
            </w:pPr>
            <w:r>
              <w:rPr>
                <w:rFonts w:ascii="Arial" w:hAnsi="Arial" w:cs="Arial"/>
                <w:sz w:val="20"/>
                <w:szCs w:val="20"/>
              </w:rPr>
              <w:t>SCR</w:t>
            </w:r>
          </w:p>
        </w:tc>
        <w:tc>
          <w:tcPr>
            <w:tcW w:w="1444" w:type="dxa"/>
            <w:tcBorders>
              <w:top w:val="nil"/>
              <w:left w:val="nil"/>
              <w:bottom w:val="nil"/>
              <w:right w:val="nil"/>
            </w:tcBorders>
            <w:vAlign w:val="bottom"/>
            <w:hideMark/>
          </w:tcPr>
          <w:p w14:paraId="10BA8AB9"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0.000208</w:t>
            </w:r>
          </w:p>
        </w:tc>
        <w:tc>
          <w:tcPr>
            <w:tcW w:w="1414" w:type="dxa"/>
            <w:tcBorders>
              <w:top w:val="nil"/>
              <w:left w:val="nil"/>
              <w:bottom w:val="nil"/>
              <w:right w:val="nil"/>
            </w:tcBorders>
            <w:vAlign w:val="bottom"/>
            <w:hideMark/>
          </w:tcPr>
          <w:p w14:paraId="5F6883F7"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0.000215</w:t>
            </w:r>
          </w:p>
        </w:tc>
        <w:tc>
          <w:tcPr>
            <w:tcW w:w="1414" w:type="dxa"/>
            <w:tcBorders>
              <w:top w:val="nil"/>
              <w:left w:val="nil"/>
              <w:bottom w:val="nil"/>
              <w:right w:val="nil"/>
            </w:tcBorders>
            <w:vAlign w:val="bottom"/>
            <w:hideMark/>
          </w:tcPr>
          <w:p w14:paraId="479B93BD"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-0.000214</w:t>
            </w:r>
          </w:p>
        </w:tc>
        <w:tc>
          <w:tcPr>
            <w:tcW w:w="1415" w:type="dxa"/>
            <w:tcBorders>
              <w:top w:val="nil"/>
              <w:left w:val="nil"/>
              <w:bottom w:val="nil"/>
              <w:right w:val="nil"/>
            </w:tcBorders>
            <w:vAlign w:val="bottom"/>
            <w:hideMark/>
          </w:tcPr>
          <w:p w14:paraId="367FA0EA"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0.000631</w:t>
            </w:r>
          </w:p>
        </w:tc>
        <w:tc>
          <w:tcPr>
            <w:tcW w:w="1415" w:type="dxa"/>
            <w:tcBorders>
              <w:top w:val="nil"/>
              <w:left w:val="nil"/>
              <w:bottom w:val="nil"/>
              <w:right w:val="nil"/>
            </w:tcBorders>
            <w:vAlign w:val="bottom"/>
            <w:hideMark/>
          </w:tcPr>
          <w:p w14:paraId="594CF005"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0.333</w:t>
            </w:r>
          </w:p>
        </w:tc>
        <w:tc>
          <w:tcPr>
            <w:tcW w:w="1415" w:type="dxa"/>
            <w:tcBorders>
              <w:top w:val="nil"/>
              <w:left w:val="nil"/>
              <w:bottom w:val="nil"/>
              <w:right w:val="nil"/>
            </w:tcBorders>
            <w:vAlign w:val="bottom"/>
            <w:hideMark/>
          </w:tcPr>
          <w:p w14:paraId="77A0E6CD" w14:textId="77777777" w:rsidR="00A70E4F" w:rsidRDefault="00A70E4F" w:rsidP="00A70E4F">
            <w:pPr>
              <w:jc w:val="center"/>
              <w:rPr>
                <w:rFonts w:ascii="Arial" w:hAnsi="Arial" w:cs="Arial"/>
                <w:sz w:val="20"/>
                <w:szCs w:val="20"/>
              </w:rPr>
            </w:pPr>
            <w:r>
              <w:rPr>
                <w:rFonts w:ascii="Arial" w:eastAsia="Times New Roman" w:hAnsi="Arial" w:cs="Arial"/>
                <w:color w:val="000000"/>
                <w:sz w:val="20"/>
                <w:szCs w:val="20"/>
              </w:rPr>
              <w:t>0.975</w:t>
            </w:r>
          </w:p>
        </w:tc>
        <w:tc>
          <w:tcPr>
            <w:tcW w:w="1493" w:type="dxa"/>
            <w:tcBorders>
              <w:top w:val="nil"/>
              <w:left w:val="nil"/>
              <w:bottom w:val="nil"/>
              <w:right w:val="nil"/>
            </w:tcBorders>
            <w:vAlign w:val="bottom"/>
            <w:hideMark/>
          </w:tcPr>
          <w:p w14:paraId="72C33164"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53.738</w:t>
            </w:r>
          </w:p>
        </w:tc>
        <w:tc>
          <w:tcPr>
            <w:tcW w:w="1415" w:type="dxa"/>
            <w:tcBorders>
              <w:top w:val="nil"/>
              <w:left w:val="nil"/>
              <w:bottom w:val="nil"/>
              <w:right w:val="nil"/>
            </w:tcBorders>
            <w:vAlign w:val="bottom"/>
            <w:hideMark/>
          </w:tcPr>
          <w:p w14:paraId="454AD153"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477</w:t>
            </w:r>
          </w:p>
        </w:tc>
      </w:tr>
      <w:tr w:rsidR="00A70E4F" w14:paraId="156CEE03" w14:textId="77777777" w:rsidTr="00A70E4F">
        <w:tc>
          <w:tcPr>
            <w:tcW w:w="1384" w:type="dxa"/>
            <w:tcBorders>
              <w:top w:val="nil"/>
              <w:left w:val="nil"/>
              <w:bottom w:val="nil"/>
              <w:right w:val="nil"/>
            </w:tcBorders>
            <w:hideMark/>
          </w:tcPr>
          <w:p w14:paraId="456C1528" w14:textId="77777777" w:rsidR="00A70E4F" w:rsidRDefault="00A70E4F" w:rsidP="00A70E4F">
            <w:pPr>
              <w:rPr>
                <w:rFonts w:ascii="Arial" w:hAnsi="Arial" w:cs="Arial"/>
                <w:sz w:val="20"/>
                <w:szCs w:val="20"/>
              </w:rPr>
            </w:pPr>
            <w:r>
              <w:rPr>
                <w:rFonts w:ascii="Arial" w:hAnsi="Arial" w:cs="Arial"/>
                <w:sz w:val="20"/>
                <w:szCs w:val="20"/>
              </w:rPr>
              <w:t>SFO</w:t>
            </w:r>
          </w:p>
        </w:tc>
        <w:tc>
          <w:tcPr>
            <w:tcW w:w="1444" w:type="dxa"/>
            <w:tcBorders>
              <w:top w:val="nil"/>
              <w:left w:val="nil"/>
              <w:bottom w:val="nil"/>
              <w:right w:val="nil"/>
            </w:tcBorders>
            <w:vAlign w:val="bottom"/>
            <w:hideMark/>
          </w:tcPr>
          <w:p w14:paraId="5E746A3C"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0.000122</w:t>
            </w:r>
          </w:p>
        </w:tc>
        <w:tc>
          <w:tcPr>
            <w:tcW w:w="1414" w:type="dxa"/>
            <w:tcBorders>
              <w:top w:val="nil"/>
              <w:left w:val="nil"/>
              <w:bottom w:val="nil"/>
              <w:right w:val="nil"/>
            </w:tcBorders>
            <w:vAlign w:val="bottom"/>
            <w:hideMark/>
          </w:tcPr>
          <w:p w14:paraId="331C5D4F"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0.000365</w:t>
            </w:r>
          </w:p>
        </w:tc>
        <w:tc>
          <w:tcPr>
            <w:tcW w:w="1414" w:type="dxa"/>
            <w:tcBorders>
              <w:top w:val="nil"/>
              <w:left w:val="nil"/>
              <w:bottom w:val="nil"/>
              <w:right w:val="nil"/>
            </w:tcBorders>
            <w:vAlign w:val="bottom"/>
            <w:hideMark/>
          </w:tcPr>
          <w:p w14:paraId="62346D8C"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-0.000593</w:t>
            </w:r>
          </w:p>
        </w:tc>
        <w:tc>
          <w:tcPr>
            <w:tcW w:w="1415" w:type="dxa"/>
            <w:tcBorders>
              <w:top w:val="nil"/>
              <w:left w:val="nil"/>
              <w:bottom w:val="nil"/>
              <w:right w:val="nil"/>
            </w:tcBorders>
            <w:vAlign w:val="bottom"/>
            <w:hideMark/>
          </w:tcPr>
          <w:p w14:paraId="105B8980"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0.000837</w:t>
            </w:r>
          </w:p>
        </w:tc>
        <w:tc>
          <w:tcPr>
            <w:tcW w:w="1415" w:type="dxa"/>
            <w:tcBorders>
              <w:top w:val="nil"/>
              <w:left w:val="nil"/>
              <w:bottom w:val="nil"/>
              <w:right w:val="nil"/>
            </w:tcBorders>
            <w:vAlign w:val="bottom"/>
            <w:hideMark/>
          </w:tcPr>
          <w:p w14:paraId="22B6ADB9"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0.738</w:t>
            </w:r>
          </w:p>
        </w:tc>
        <w:tc>
          <w:tcPr>
            <w:tcW w:w="1415" w:type="dxa"/>
            <w:tcBorders>
              <w:top w:val="nil"/>
              <w:left w:val="nil"/>
              <w:bottom w:val="nil"/>
              <w:right w:val="nil"/>
            </w:tcBorders>
            <w:vAlign w:val="bottom"/>
            <w:hideMark/>
          </w:tcPr>
          <w:p w14:paraId="55334ADA" w14:textId="77777777" w:rsidR="00A70E4F" w:rsidRDefault="00A70E4F" w:rsidP="00A70E4F">
            <w:pPr>
              <w:jc w:val="center"/>
              <w:rPr>
                <w:rFonts w:ascii="Arial" w:hAnsi="Arial" w:cs="Arial"/>
                <w:sz w:val="20"/>
                <w:szCs w:val="20"/>
              </w:rPr>
            </w:pPr>
            <w:r>
              <w:rPr>
                <w:rFonts w:ascii="Arial" w:eastAsia="Times New Roman" w:hAnsi="Arial" w:cs="Arial"/>
                <w:color w:val="000000"/>
                <w:sz w:val="20"/>
                <w:szCs w:val="20"/>
              </w:rPr>
              <w:t>0.975</w:t>
            </w:r>
          </w:p>
        </w:tc>
        <w:tc>
          <w:tcPr>
            <w:tcW w:w="1493" w:type="dxa"/>
            <w:tcBorders>
              <w:top w:val="nil"/>
              <w:left w:val="nil"/>
              <w:bottom w:val="nil"/>
              <w:right w:val="nil"/>
            </w:tcBorders>
            <w:vAlign w:val="bottom"/>
            <w:hideMark/>
          </w:tcPr>
          <w:p w14:paraId="2BCB7353"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71.573</w:t>
            </w:r>
          </w:p>
        </w:tc>
        <w:tc>
          <w:tcPr>
            <w:tcW w:w="1415" w:type="dxa"/>
            <w:tcBorders>
              <w:top w:val="nil"/>
              <w:left w:val="nil"/>
              <w:bottom w:val="nil"/>
              <w:right w:val="nil"/>
            </w:tcBorders>
            <w:vAlign w:val="bottom"/>
            <w:hideMark/>
          </w:tcPr>
          <w:p w14:paraId="371400BC"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477</w:t>
            </w:r>
          </w:p>
        </w:tc>
      </w:tr>
      <w:tr w:rsidR="00A70E4F" w14:paraId="46CC16DD" w14:textId="77777777" w:rsidTr="00A70E4F">
        <w:tc>
          <w:tcPr>
            <w:tcW w:w="1384" w:type="dxa"/>
            <w:tcBorders>
              <w:top w:val="nil"/>
              <w:left w:val="nil"/>
              <w:bottom w:val="nil"/>
              <w:right w:val="nil"/>
            </w:tcBorders>
            <w:hideMark/>
          </w:tcPr>
          <w:p w14:paraId="0EF3A808" w14:textId="77777777" w:rsidR="00A70E4F" w:rsidRDefault="00A70E4F" w:rsidP="00A70E4F">
            <w:pPr>
              <w:rPr>
                <w:rFonts w:ascii="Arial" w:hAnsi="Arial" w:cs="Arial"/>
                <w:sz w:val="20"/>
                <w:szCs w:val="20"/>
              </w:rPr>
            </w:pPr>
            <w:r>
              <w:rPr>
                <w:rFonts w:ascii="Arial" w:hAnsi="Arial" w:cs="Arial"/>
                <w:sz w:val="20"/>
                <w:szCs w:val="20"/>
              </w:rPr>
              <w:t>SLF</w:t>
            </w:r>
          </w:p>
        </w:tc>
        <w:tc>
          <w:tcPr>
            <w:tcW w:w="1444" w:type="dxa"/>
            <w:tcBorders>
              <w:top w:val="nil"/>
              <w:left w:val="nil"/>
              <w:bottom w:val="nil"/>
              <w:right w:val="nil"/>
            </w:tcBorders>
            <w:vAlign w:val="bottom"/>
            <w:hideMark/>
          </w:tcPr>
          <w:p w14:paraId="34820490"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0.000045</w:t>
            </w:r>
          </w:p>
        </w:tc>
        <w:tc>
          <w:tcPr>
            <w:tcW w:w="1414" w:type="dxa"/>
            <w:tcBorders>
              <w:top w:val="nil"/>
              <w:left w:val="nil"/>
              <w:bottom w:val="nil"/>
              <w:right w:val="nil"/>
            </w:tcBorders>
            <w:vAlign w:val="bottom"/>
            <w:hideMark/>
          </w:tcPr>
          <w:p w14:paraId="7AF5D0FD"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0.000114</w:t>
            </w:r>
          </w:p>
        </w:tc>
        <w:tc>
          <w:tcPr>
            <w:tcW w:w="1414" w:type="dxa"/>
            <w:tcBorders>
              <w:top w:val="nil"/>
              <w:left w:val="nil"/>
              <w:bottom w:val="nil"/>
              <w:right w:val="nil"/>
            </w:tcBorders>
            <w:vAlign w:val="bottom"/>
            <w:hideMark/>
          </w:tcPr>
          <w:p w14:paraId="435F8175"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-0.000178</w:t>
            </w:r>
          </w:p>
        </w:tc>
        <w:tc>
          <w:tcPr>
            <w:tcW w:w="1415" w:type="dxa"/>
            <w:tcBorders>
              <w:top w:val="nil"/>
              <w:left w:val="nil"/>
              <w:bottom w:val="nil"/>
              <w:right w:val="nil"/>
            </w:tcBorders>
            <w:vAlign w:val="bottom"/>
            <w:hideMark/>
          </w:tcPr>
          <w:p w14:paraId="41F62F9C"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0.000267</w:t>
            </w:r>
          </w:p>
        </w:tc>
        <w:tc>
          <w:tcPr>
            <w:tcW w:w="1415" w:type="dxa"/>
            <w:tcBorders>
              <w:top w:val="nil"/>
              <w:left w:val="nil"/>
              <w:bottom w:val="nil"/>
              <w:right w:val="nil"/>
            </w:tcBorders>
            <w:vAlign w:val="bottom"/>
            <w:hideMark/>
          </w:tcPr>
          <w:p w14:paraId="1C8D3FCD"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0.695</w:t>
            </w:r>
          </w:p>
        </w:tc>
        <w:tc>
          <w:tcPr>
            <w:tcW w:w="1415" w:type="dxa"/>
            <w:tcBorders>
              <w:top w:val="nil"/>
              <w:left w:val="nil"/>
              <w:bottom w:val="nil"/>
              <w:right w:val="nil"/>
            </w:tcBorders>
            <w:vAlign w:val="bottom"/>
            <w:hideMark/>
          </w:tcPr>
          <w:p w14:paraId="71D563ED" w14:textId="77777777" w:rsidR="00A70E4F" w:rsidRDefault="00A70E4F" w:rsidP="00A70E4F">
            <w:pPr>
              <w:jc w:val="center"/>
              <w:rPr>
                <w:rFonts w:ascii="Arial" w:hAnsi="Arial" w:cs="Arial"/>
                <w:sz w:val="20"/>
                <w:szCs w:val="20"/>
              </w:rPr>
            </w:pPr>
            <w:r>
              <w:rPr>
                <w:rFonts w:ascii="Arial" w:eastAsia="Times New Roman" w:hAnsi="Arial" w:cs="Arial"/>
                <w:color w:val="000000"/>
                <w:sz w:val="20"/>
                <w:szCs w:val="20"/>
              </w:rPr>
              <w:t>0.975</w:t>
            </w:r>
          </w:p>
        </w:tc>
        <w:tc>
          <w:tcPr>
            <w:tcW w:w="1493" w:type="dxa"/>
            <w:tcBorders>
              <w:top w:val="nil"/>
              <w:left w:val="nil"/>
              <w:bottom w:val="nil"/>
              <w:right w:val="nil"/>
            </w:tcBorders>
            <w:vAlign w:val="bottom"/>
            <w:hideMark/>
          </w:tcPr>
          <w:p w14:paraId="22676DBD"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w:t>
            </w:r>
          </w:p>
        </w:tc>
        <w:tc>
          <w:tcPr>
            <w:tcW w:w="1415" w:type="dxa"/>
            <w:tcBorders>
              <w:top w:val="nil"/>
              <w:left w:val="nil"/>
              <w:bottom w:val="nil"/>
              <w:right w:val="nil"/>
            </w:tcBorders>
            <w:vAlign w:val="bottom"/>
            <w:hideMark/>
          </w:tcPr>
          <w:p w14:paraId="74E9C233"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477</w:t>
            </w:r>
          </w:p>
        </w:tc>
      </w:tr>
      <w:tr w:rsidR="00A70E4F" w14:paraId="1ED911C8" w14:textId="77777777" w:rsidTr="00A70E4F">
        <w:tc>
          <w:tcPr>
            <w:tcW w:w="1384" w:type="dxa"/>
            <w:tcBorders>
              <w:top w:val="nil"/>
              <w:left w:val="nil"/>
              <w:bottom w:val="nil"/>
              <w:right w:val="nil"/>
            </w:tcBorders>
            <w:hideMark/>
          </w:tcPr>
          <w:p w14:paraId="1E95EB56" w14:textId="77777777" w:rsidR="00A70E4F" w:rsidRDefault="00A70E4F" w:rsidP="00A70E4F">
            <w:pPr>
              <w:rPr>
                <w:rFonts w:ascii="Arial" w:hAnsi="Arial" w:cs="Arial"/>
                <w:sz w:val="20"/>
                <w:szCs w:val="20"/>
              </w:rPr>
            </w:pPr>
            <w:r>
              <w:rPr>
                <w:rFonts w:ascii="Arial" w:hAnsi="Arial" w:cs="Arial"/>
                <w:sz w:val="20"/>
                <w:szCs w:val="20"/>
              </w:rPr>
              <w:t>SS</w:t>
            </w:r>
          </w:p>
        </w:tc>
        <w:tc>
          <w:tcPr>
            <w:tcW w:w="1444" w:type="dxa"/>
            <w:tcBorders>
              <w:top w:val="nil"/>
              <w:left w:val="nil"/>
              <w:bottom w:val="nil"/>
              <w:right w:val="nil"/>
            </w:tcBorders>
            <w:vAlign w:val="bottom"/>
            <w:hideMark/>
          </w:tcPr>
          <w:p w14:paraId="78720DEB"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0.000050</w:t>
            </w:r>
          </w:p>
        </w:tc>
        <w:tc>
          <w:tcPr>
            <w:tcW w:w="1414" w:type="dxa"/>
            <w:tcBorders>
              <w:top w:val="nil"/>
              <w:left w:val="nil"/>
              <w:bottom w:val="nil"/>
              <w:right w:val="nil"/>
            </w:tcBorders>
            <w:vAlign w:val="bottom"/>
            <w:hideMark/>
          </w:tcPr>
          <w:p w14:paraId="4A8CDBBE"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0.000119</w:t>
            </w:r>
          </w:p>
        </w:tc>
        <w:tc>
          <w:tcPr>
            <w:tcW w:w="1414" w:type="dxa"/>
            <w:tcBorders>
              <w:top w:val="nil"/>
              <w:left w:val="nil"/>
              <w:bottom w:val="nil"/>
              <w:right w:val="nil"/>
            </w:tcBorders>
            <w:vAlign w:val="bottom"/>
            <w:hideMark/>
          </w:tcPr>
          <w:p w14:paraId="18D6ED1B"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-0.000183</w:t>
            </w:r>
          </w:p>
        </w:tc>
        <w:tc>
          <w:tcPr>
            <w:tcW w:w="1415" w:type="dxa"/>
            <w:tcBorders>
              <w:top w:val="nil"/>
              <w:left w:val="nil"/>
              <w:bottom w:val="nil"/>
              <w:right w:val="nil"/>
            </w:tcBorders>
            <w:vAlign w:val="bottom"/>
            <w:hideMark/>
          </w:tcPr>
          <w:p w14:paraId="0852D990"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0.000282</w:t>
            </w:r>
          </w:p>
        </w:tc>
        <w:tc>
          <w:tcPr>
            <w:tcW w:w="1415" w:type="dxa"/>
            <w:tcBorders>
              <w:top w:val="nil"/>
              <w:left w:val="nil"/>
              <w:bottom w:val="nil"/>
              <w:right w:val="nil"/>
            </w:tcBorders>
            <w:vAlign w:val="bottom"/>
            <w:hideMark/>
          </w:tcPr>
          <w:p w14:paraId="6D7117FE"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0.677</w:t>
            </w:r>
          </w:p>
        </w:tc>
        <w:tc>
          <w:tcPr>
            <w:tcW w:w="1415" w:type="dxa"/>
            <w:tcBorders>
              <w:top w:val="nil"/>
              <w:left w:val="nil"/>
              <w:bottom w:val="nil"/>
              <w:right w:val="nil"/>
            </w:tcBorders>
            <w:vAlign w:val="bottom"/>
            <w:hideMark/>
          </w:tcPr>
          <w:p w14:paraId="26B24B55" w14:textId="77777777" w:rsidR="00A70E4F" w:rsidRDefault="00A70E4F" w:rsidP="00A70E4F">
            <w:pPr>
              <w:jc w:val="center"/>
              <w:rPr>
                <w:rFonts w:ascii="Arial" w:hAnsi="Arial" w:cs="Arial"/>
                <w:sz w:val="20"/>
                <w:szCs w:val="20"/>
              </w:rPr>
            </w:pPr>
            <w:r>
              <w:rPr>
                <w:rFonts w:ascii="Arial" w:eastAsia="Times New Roman" w:hAnsi="Arial" w:cs="Arial"/>
                <w:color w:val="000000"/>
                <w:sz w:val="20"/>
                <w:szCs w:val="20"/>
              </w:rPr>
              <w:t>0.975</w:t>
            </w:r>
          </w:p>
        </w:tc>
        <w:tc>
          <w:tcPr>
            <w:tcW w:w="1493" w:type="dxa"/>
            <w:tcBorders>
              <w:top w:val="nil"/>
              <w:left w:val="nil"/>
              <w:bottom w:val="nil"/>
              <w:right w:val="nil"/>
            </w:tcBorders>
            <w:vAlign w:val="bottom"/>
            <w:hideMark/>
          </w:tcPr>
          <w:p w14:paraId="2100D0A0"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w:t>
            </w:r>
          </w:p>
        </w:tc>
        <w:tc>
          <w:tcPr>
            <w:tcW w:w="1415" w:type="dxa"/>
            <w:tcBorders>
              <w:top w:val="nil"/>
              <w:left w:val="nil"/>
              <w:bottom w:val="nil"/>
              <w:right w:val="nil"/>
            </w:tcBorders>
            <w:vAlign w:val="bottom"/>
            <w:hideMark/>
          </w:tcPr>
          <w:p w14:paraId="37504E50"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477</w:t>
            </w:r>
          </w:p>
        </w:tc>
      </w:tr>
      <w:tr w:rsidR="00A70E4F" w14:paraId="7B0B9EAA" w14:textId="77777777" w:rsidTr="00A70E4F">
        <w:tc>
          <w:tcPr>
            <w:tcW w:w="1384" w:type="dxa"/>
            <w:tcBorders>
              <w:top w:val="nil"/>
              <w:left w:val="nil"/>
              <w:bottom w:val="nil"/>
              <w:right w:val="nil"/>
            </w:tcBorders>
            <w:hideMark/>
          </w:tcPr>
          <w:p w14:paraId="088BDA69" w14:textId="77777777" w:rsidR="00A70E4F" w:rsidRDefault="00A70E4F" w:rsidP="00A70E4F">
            <w:pPr>
              <w:rPr>
                <w:rFonts w:ascii="Arial" w:hAnsi="Arial" w:cs="Arial"/>
                <w:sz w:val="20"/>
                <w:szCs w:val="20"/>
              </w:rPr>
            </w:pPr>
            <w:r>
              <w:rPr>
                <w:rFonts w:ascii="Arial" w:hAnsi="Arial" w:cs="Arial"/>
                <w:sz w:val="20"/>
                <w:szCs w:val="20"/>
              </w:rPr>
              <w:t>UNC</w:t>
            </w:r>
          </w:p>
        </w:tc>
        <w:tc>
          <w:tcPr>
            <w:tcW w:w="1444" w:type="dxa"/>
            <w:tcBorders>
              <w:top w:val="nil"/>
              <w:left w:val="nil"/>
              <w:bottom w:val="nil"/>
              <w:right w:val="nil"/>
            </w:tcBorders>
            <w:vAlign w:val="bottom"/>
            <w:hideMark/>
          </w:tcPr>
          <w:p w14:paraId="78469CD2"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-0.000023</w:t>
            </w:r>
          </w:p>
        </w:tc>
        <w:tc>
          <w:tcPr>
            <w:tcW w:w="1414" w:type="dxa"/>
            <w:tcBorders>
              <w:top w:val="nil"/>
              <w:left w:val="nil"/>
              <w:bottom w:val="nil"/>
              <w:right w:val="nil"/>
            </w:tcBorders>
            <w:vAlign w:val="bottom"/>
            <w:hideMark/>
          </w:tcPr>
          <w:p w14:paraId="47FB2AB6"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0.000232</w:t>
            </w:r>
          </w:p>
        </w:tc>
        <w:tc>
          <w:tcPr>
            <w:tcW w:w="1414" w:type="dxa"/>
            <w:tcBorders>
              <w:top w:val="nil"/>
              <w:left w:val="nil"/>
              <w:bottom w:val="nil"/>
              <w:right w:val="nil"/>
            </w:tcBorders>
            <w:vAlign w:val="bottom"/>
            <w:hideMark/>
          </w:tcPr>
          <w:p w14:paraId="09A25CDD"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-0.000477</w:t>
            </w:r>
          </w:p>
        </w:tc>
        <w:tc>
          <w:tcPr>
            <w:tcW w:w="1415" w:type="dxa"/>
            <w:tcBorders>
              <w:top w:val="nil"/>
              <w:left w:val="nil"/>
              <w:bottom w:val="nil"/>
              <w:right w:val="nil"/>
            </w:tcBorders>
            <w:vAlign w:val="bottom"/>
            <w:hideMark/>
          </w:tcPr>
          <w:p w14:paraId="34D14E79"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0.000431</w:t>
            </w:r>
          </w:p>
        </w:tc>
        <w:tc>
          <w:tcPr>
            <w:tcW w:w="1415" w:type="dxa"/>
            <w:tcBorders>
              <w:top w:val="nil"/>
              <w:left w:val="nil"/>
              <w:bottom w:val="nil"/>
              <w:right w:val="nil"/>
            </w:tcBorders>
            <w:vAlign w:val="bottom"/>
            <w:hideMark/>
          </w:tcPr>
          <w:p w14:paraId="5CBC36AC"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0.921</w:t>
            </w:r>
          </w:p>
        </w:tc>
        <w:tc>
          <w:tcPr>
            <w:tcW w:w="1415" w:type="dxa"/>
            <w:tcBorders>
              <w:top w:val="nil"/>
              <w:left w:val="nil"/>
              <w:bottom w:val="nil"/>
              <w:right w:val="nil"/>
            </w:tcBorders>
            <w:vAlign w:val="bottom"/>
            <w:hideMark/>
          </w:tcPr>
          <w:p w14:paraId="3B8A3F99" w14:textId="77777777" w:rsidR="00A70E4F" w:rsidRDefault="00A70E4F" w:rsidP="00A70E4F">
            <w:pPr>
              <w:jc w:val="center"/>
              <w:rPr>
                <w:rFonts w:ascii="Arial" w:hAnsi="Arial" w:cs="Arial"/>
                <w:sz w:val="20"/>
                <w:szCs w:val="20"/>
              </w:rPr>
            </w:pPr>
            <w:r>
              <w:rPr>
                <w:rFonts w:ascii="Arial" w:eastAsia="Times New Roman" w:hAnsi="Arial" w:cs="Arial"/>
                <w:color w:val="000000"/>
                <w:sz w:val="20"/>
                <w:szCs w:val="20"/>
              </w:rPr>
              <w:t>0.975</w:t>
            </w:r>
          </w:p>
        </w:tc>
        <w:tc>
          <w:tcPr>
            <w:tcW w:w="1493" w:type="dxa"/>
            <w:tcBorders>
              <w:top w:val="nil"/>
              <w:left w:val="nil"/>
              <w:bottom w:val="nil"/>
              <w:right w:val="nil"/>
            </w:tcBorders>
            <w:vAlign w:val="bottom"/>
            <w:hideMark/>
          </w:tcPr>
          <w:p w14:paraId="41B6A5A0"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5.682</w:t>
            </w:r>
          </w:p>
        </w:tc>
        <w:tc>
          <w:tcPr>
            <w:tcW w:w="1415" w:type="dxa"/>
            <w:tcBorders>
              <w:top w:val="nil"/>
              <w:left w:val="nil"/>
              <w:bottom w:val="nil"/>
              <w:right w:val="nil"/>
            </w:tcBorders>
            <w:vAlign w:val="bottom"/>
            <w:hideMark/>
          </w:tcPr>
          <w:p w14:paraId="16FCCB30"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477</w:t>
            </w:r>
          </w:p>
        </w:tc>
      </w:tr>
      <w:tr w:rsidR="00A70E4F" w14:paraId="380CC495" w14:textId="77777777" w:rsidTr="00A70E4F">
        <w:trPr>
          <w:trHeight w:val="206"/>
        </w:trPr>
        <w:tc>
          <w:tcPr>
            <w:tcW w:w="1384" w:type="dxa"/>
            <w:tcBorders>
              <w:top w:val="nil"/>
              <w:left w:val="nil"/>
              <w:bottom w:val="single" w:sz="4" w:space="0" w:color="auto"/>
              <w:right w:val="nil"/>
            </w:tcBorders>
            <w:hideMark/>
          </w:tcPr>
          <w:p w14:paraId="07D2E2BC" w14:textId="77777777" w:rsidR="00A70E4F" w:rsidRDefault="00A70E4F" w:rsidP="00A70E4F">
            <w:pPr>
              <w:rPr>
                <w:rFonts w:ascii="Arial" w:hAnsi="Arial" w:cs="Arial"/>
                <w:sz w:val="20"/>
                <w:szCs w:val="20"/>
              </w:rPr>
            </w:pPr>
            <w:proofErr w:type="spellStart"/>
            <w:r>
              <w:rPr>
                <w:rFonts w:ascii="Arial" w:hAnsi="Arial" w:cs="Arial"/>
                <w:sz w:val="20"/>
                <w:szCs w:val="20"/>
              </w:rPr>
              <w:t>AverageFA</w:t>
            </w:r>
            <w:proofErr w:type="spellEnd"/>
          </w:p>
        </w:tc>
        <w:tc>
          <w:tcPr>
            <w:tcW w:w="1444" w:type="dxa"/>
            <w:tcBorders>
              <w:top w:val="nil"/>
              <w:left w:val="nil"/>
              <w:bottom w:val="single" w:sz="4" w:space="0" w:color="auto"/>
              <w:right w:val="nil"/>
            </w:tcBorders>
            <w:vAlign w:val="bottom"/>
            <w:hideMark/>
          </w:tcPr>
          <w:p w14:paraId="40510D41"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0.000003</w:t>
            </w:r>
          </w:p>
        </w:tc>
        <w:tc>
          <w:tcPr>
            <w:tcW w:w="1414" w:type="dxa"/>
            <w:tcBorders>
              <w:top w:val="nil"/>
              <w:left w:val="nil"/>
              <w:bottom w:val="single" w:sz="4" w:space="0" w:color="auto"/>
              <w:right w:val="nil"/>
            </w:tcBorders>
            <w:vAlign w:val="bottom"/>
            <w:hideMark/>
          </w:tcPr>
          <w:p w14:paraId="007650FB"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0.000078</w:t>
            </w:r>
          </w:p>
        </w:tc>
        <w:tc>
          <w:tcPr>
            <w:tcW w:w="1414" w:type="dxa"/>
            <w:tcBorders>
              <w:top w:val="nil"/>
              <w:left w:val="nil"/>
              <w:bottom w:val="single" w:sz="4" w:space="0" w:color="auto"/>
              <w:right w:val="nil"/>
            </w:tcBorders>
            <w:vAlign w:val="bottom"/>
            <w:hideMark/>
          </w:tcPr>
          <w:p w14:paraId="560D62E8"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-0.000151</w:t>
            </w:r>
          </w:p>
        </w:tc>
        <w:tc>
          <w:tcPr>
            <w:tcW w:w="1415" w:type="dxa"/>
            <w:tcBorders>
              <w:top w:val="nil"/>
              <w:left w:val="nil"/>
              <w:bottom w:val="single" w:sz="4" w:space="0" w:color="auto"/>
              <w:right w:val="nil"/>
            </w:tcBorders>
            <w:vAlign w:val="bottom"/>
            <w:hideMark/>
          </w:tcPr>
          <w:p w14:paraId="5A984130"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0.000156</w:t>
            </w:r>
          </w:p>
        </w:tc>
        <w:tc>
          <w:tcPr>
            <w:tcW w:w="1415" w:type="dxa"/>
            <w:tcBorders>
              <w:top w:val="nil"/>
              <w:left w:val="nil"/>
              <w:bottom w:val="single" w:sz="4" w:space="0" w:color="auto"/>
              <w:right w:val="nil"/>
            </w:tcBorders>
            <w:vAlign w:val="bottom"/>
            <w:hideMark/>
          </w:tcPr>
          <w:p w14:paraId="1E09AAC0"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0.975</w:t>
            </w:r>
          </w:p>
        </w:tc>
        <w:tc>
          <w:tcPr>
            <w:tcW w:w="1415" w:type="dxa"/>
            <w:tcBorders>
              <w:top w:val="nil"/>
              <w:left w:val="nil"/>
              <w:bottom w:val="single" w:sz="4" w:space="0" w:color="auto"/>
              <w:right w:val="nil"/>
            </w:tcBorders>
            <w:vAlign w:val="bottom"/>
            <w:hideMark/>
          </w:tcPr>
          <w:p w14:paraId="73E85932" w14:textId="77777777" w:rsidR="00A70E4F" w:rsidRDefault="00A70E4F" w:rsidP="00A70E4F">
            <w:pPr>
              <w:jc w:val="center"/>
              <w:rPr>
                <w:rFonts w:ascii="Arial" w:hAnsi="Arial" w:cs="Arial"/>
                <w:sz w:val="20"/>
                <w:szCs w:val="20"/>
              </w:rPr>
            </w:pPr>
            <w:r>
              <w:rPr>
                <w:rFonts w:ascii="Arial" w:eastAsia="Times New Roman" w:hAnsi="Arial" w:cs="Arial"/>
                <w:color w:val="000000"/>
                <w:sz w:val="20"/>
                <w:szCs w:val="20"/>
              </w:rPr>
              <w:t>0.975</w:t>
            </w:r>
          </w:p>
        </w:tc>
        <w:tc>
          <w:tcPr>
            <w:tcW w:w="1493" w:type="dxa"/>
            <w:tcBorders>
              <w:top w:val="nil"/>
              <w:left w:val="nil"/>
              <w:bottom w:val="single" w:sz="4" w:space="0" w:color="auto"/>
              <w:right w:val="nil"/>
            </w:tcBorders>
            <w:vAlign w:val="bottom"/>
            <w:hideMark/>
          </w:tcPr>
          <w:p w14:paraId="33B2BE03"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5.459</w:t>
            </w:r>
          </w:p>
        </w:tc>
        <w:tc>
          <w:tcPr>
            <w:tcW w:w="1415" w:type="dxa"/>
            <w:tcBorders>
              <w:top w:val="nil"/>
              <w:left w:val="nil"/>
              <w:bottom w:val="single" w:sz="4" w:space="0" w:color="auto"/>
              <w:right w:val="nil"/>
            </w:tcBorders>
            <w:vAlign w:val="bottom"/>
            <w:hideMark/>
          </w:tcPr>
          <w:p w14:paraId="6B3053D3" w14:textId="77777777" w:rsidR="00A70E4F" w:rsidRDefault="00A70E4F" w:rsidP="00A70E4F">
            <w:pPr>
              <w:jc w:val="center"/>
              <w:rPr>
                <w:rFonts w:ascii="Arial" w:eastAsia="Times New Roman" w:hAnsi="Arial" w:cs="Arial"/>
                <w:color w:val="000000"/>
                <w:sz w:val="20"/>
                <w:szCs w:val="20"/>
              </w:rPr>
            </w:pPr>
            <w:r>
              <w:rPr>
                <w:rFonts w:ascii="Arial" w:eastAsia="Times New Roman" w:hAnsi="Arial" w:cs="Arial"/>
                <w:color w:val="000000"/>
                <w:sz w:val="20"/>
                <w:szCs w:val="20"/>
              </w:rPr>
              <w:t>477</w:t>
            </w:r>
          </w:p>
        </w:tc>
      </w:tr>
    </w:tbl>
    <w:p w14:paraId="0D1D2DB8" w14:textId="77777777" w:rsidR="003230EF" w:rsidRDefault="003230EF" w:rsidP="00BE2BE5">
      <w:pPr>
        <w:rPr>
          <w:rFonts w:cstheme="minorHAnsi"/>
          <w:b/>
          <w:bCs/>
        </w:rPr>
      </w:pPr>
    </w:p>
    <w:p w14:paraId="5A6873AB" w14:textId="77777777" w:rsidR="003230EF" w:rsidRDefault="003230EF">
      <w:pPr>
        <w:rPr>
          <w:rFonts w:cstheme="minorHAnsi"/>
          <w:b/>
          <w:bCs/>
        </w:rPr>
      </w:pPr>
      <w:r>
        <w:rPr>
          <w:rFonts w:cstheme="minorHAnsi"/>
          <w:b/>
          <w:bCs/>
        </w:rPr>
        <w:br w:type="page"/>
      </w:r>
    </w:p>
    <w:p w14:paraId="2EEBCF44" w14:textId="47394DF8" w:rsidR="003230EF" w:rsidRPr="003230EF" w:rsidRDefault="003230EF" w:rsidP="00BE2BE5">
      <w:r w:rsidRPr="00EA54CB">
        <w:rPr>
          <w:b/>
          <w:bCs/>
        </w:rPr>
        <w:lastRenderedPageBreak/>
        <w:t>Table S</w:t>
      </w:r>
      <w:r w:rsidR="00E209BB">
        <w:rPr>
          <w:b/>
          <w:bCs/>
        </w:rPr>
        <w:t>6</w:t>
      </w:r>
      <w:r w:rsidRPr="00EA54CB">
        <w:rPr>
          <w:b/>
          <w:bCs/>
        </w:rPr>
        <w:t>.</w:t>
      </w:r>
      <w:r w:rsidRPr="00895ED5">
        <w:t xml:space="preserve"> </w:t>
      </w:r>
      <w:r>
        <w:t xml:space="preserve">Standardised betas from linear regression analyses examining the association between </w:t>
      </w:r>
      <w:r>
        <w:t>MD</w:t>
      </w:r>
      <w:r>
        <w:t xml:space="preserve"> values and severity of symptoms measured by the Beck Depression Inventory in adults only. This table was obtained from Table S9</w:t>
      </w:r>
      <w:r>
        <w:t>4</w:t>
      </w:r>
      <w:r>
        <w:t xml:space="preserve"> in van Velzen et al [12]. </w:t>
      </w:r>
    </w:p>
    <w:p w14:paraId="7E3D7EB6" w14:textId="77777777" w:rsidR="003230EF" w:rsidRDefault="003230EF" w:rsidP="003230EF">
      <w:pPr>
        <w:rPr>
          <w:rFonts w:ascii="Arial" w:hAnsi="Arial" w:cs="Arial"/>
          <w:sz w:val="20"/>
          <w:szCs w:val="20"/>
          <w:lang w:val="en-AU"/>
        </w:rPr>
      </w:pPr>
    </w:p>
    <w:tbl>
      <w:tblPr>
        <w:tblW w:w="1281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385"/>
        <w:gridCol w:w="1444"/>
        <w:gridCol w:w="1414"/>
        <w:gridCol w:w="1414"/>
        <w:gridCol w:w="1415"/>
        <w:gridCol w:w="1415"/>
        <w:gridCol w:w="1415"/>
        <w:gridCol w:w="1493"/>
        <w:gridCol w:w="1415"/>
      </w:tblGrid>
      <w:tr w:rsidR="003230EF" w14:paraId="01237F3B" w14:textId="77777777" w:rsidTr="003230EF">
        <w:trPr>
          <w:trHeight w:val="127"/>
        </w:trPr>
        <w:tc>
          <w:tcPr>
            <w:tcW w:w="1384" w:type="dxa"/>
            <w:tcBorders>
              <w:top w:val="single" w:sz="4" w:space="0" w:color="auto"/>
              <w:left w:val="nil"/>
              <w:bottom w:val="single" w:sz="4" w:space="0" w:color="auto"/>
              <w:right w:val="nil"/>
            </w:tcBorders>
            <w:hideMark/>
          </w:tcPr>
          <w:p w14:paraId="1832F6AB" w14:textId="77777777" w:rsidR="003230EF" w:rsidRDefault="003230EF">
            <w:pPr>
              <w:rPr>
                <w:rFonts w:ascii="Arial" w:hAnsi="Arial" w:cs="Arial"/>
                <w:sz w:val="20"/>
                <w:szCs w:val="20"/>
              </w:rPr>
            </w:pPr>
            <w:r>
              <w:rPr>
                <w:rFonts w:ascii="Arial" w:hAnsi="Arial" w:cs="Arial"/>
                <w:sz w:val="20"/>
                <w:szCs w:val="20"/>
              </w:rPr>
              <w:t>Region</w:t>
            </w:r>
          </w:p>
        </w:tc>
        <w:tc>
          <w:tcPr>
            <w:tcW w:w="1444" w:type="dxa"/>
            <w:tcBorders>
              <w:top w:val="single" w:sz="4" w:space="0" w:color="auto"/>
              <w:left w:val="nil"/>
              <w:bottom w:val="single" w:sz="4" w:space="0" w:color="auto"/>
              <w:right w:val="nil"/>
            </w:tcBorders>
            <w:hideMark/>
          </w:tcPr>
          <w:p w14:paraId="762DBCFC" w14:textId="77777777" w:rsidR="003230EF" w:rsidRDefault="003230EF">
            <w:pPr>
              <w:jc w:val="center"/>
              <w:rPr>
                <w:rFonts w:ascii="Arial" w:hAnsi="Arial" w:cs="Arial"/>
                <w:sz w:val="20"/>
                <w:szCs w:val="20"/>
              </w:rPr>
            </w:pPr>
            <w:r>
              <w:rPr>
                <w:rFonts w:ascii="Arial" w:hAnsi="Arial" w:cs="Arial"/>
                <w:sz w:val="20"/>
                <w:szCs w:val="20"/>
              </w:rPr>
              <w:t>Beta</w:t>
            </w:r>
          </w:p>
        </w:tc>
        <w:tc>
          <w:tcPr>
            <w:tcW w:w="1414" w:type="dxa"/>
            <w:tcBorders>
              <w:top w:val="single" w:sz="4" w:space="0" w:color="auto"/>
              <w:left w:val="nil"/>
              <w:bottom w:val="single" w:sz="4" w:space="0" w:color="auto"/>
              <w:right w:val="nil"/>
            </w:tcBorders>
            <w:hideMark/>
          </w:tcPr>
          <w:p w14:paraId="53B7F898" w14:textId="77777777" w:rsidR="003230EF" w:rsidRDefault="003230EF">
            <w:pPr>
              <w:jc w:val="center"/>
              <w:rPr>
                <w:rFonts w:ascii="Arial" w:hAnsi="Arial" w:cs="Arial"/>
                <w:sz w:val="20"/>
                <w:szCs w:val="20"/>
              </w:rPr>
            </w:pPr>
            <w:r>
              <w:rPr>
                <w:rFonts w:ascii="Arial" w:hAnsi="Arial" w:cs="Arial"/>
                <w:sz w:val="20"/>
                <w:szCs w:val="20"/>
              </w:rPr>
              <w:t>SE</w:t>
            </w:r>
          </w:p>
        </w:tc>
        <w:tc>
          <w:tcPr>
            <w:tcW w:w="1414" w:type="dxa"/>
            <w:tcBorders>
              <w:top w:val="single" w:sz="4" w:space="0" w:color="auto"/>
              <w:left w:val="nil"/>
              <w:bottom w:val="single" w:sz="4" w:space="0" w:color="auto"/>
              <w:right w:val="nil"/>
            </w:tcBorders>
            <w:hideMark/>
          </w:tcPr>
          <w:p w14:paraId="53C8D288" w14:textId="77777777" w:rsidR="003230EF" w:rsidRDefault="003230EF">
            <w:pPr>
              <w:jc w:val="center"/>
              <w:rPr>
                <w:rFonts w:ascii="Arial" w:hAnsi="Arial" w:cs="Arial"/>
                <w:sz w:val="20"/>
                <w:szCs w:val="20"/>
              </w:rPr>
            </w:pPr>
            <w:r>
              <w:rPr>
                <w:rFonts w:ascii="Arial" w:hAnsi="Arial" w:cs="Arial"/>
                <w:sz w:val="20"/>
                <w:szCs w:val="20"/>
              </w:rPr>
              <w:t>CI LB</w:t>
            </w:r>
          </w:p>
        </w:tc>
        <w:tc>
          <w:tcPr>
            <w:tcW w:w="1415" w:type="dxa"/>
            <w:tcBorders>
              <w:top w:val="single" w:sz="4" w:space="0" w:color="auto"/>
              <w:left w:val="nil"/>
              <w:bottom w:val="single" w:sz="4" w:space="0" w:color="auto"/>
              <w:right w:val="nil"/>
            </w:tcBorders>
            <w:hideMark/>
          </w:tcPr>
          <w:p w14:paraId="5A419A26" w14:textId="77777777" w:rsidR="003230EF" w:rsidRDefault="003230EF">
            <w:pPr>
              <w:jc w:val="center"/>
              <w:rPr>
                <w:rFonts w:ascii="Arial" w:hAnsi="Arial" w:cs="Arial"/>
                <w:sz w:val="20"/>
                <w:szCs w:val="20"/>
              </w:rPr>
            </w:pPr>
            <w:r>
              <w:rPr>
                <w:rFonts w:ascii="Arial" w:hAnsi="Arial" w:cs="Arial"/>
                <w:sz w:val="20"/>
                <w:szCs w:val="20"/>
              </w:rPr>
              <w:t>CI UB</w:t>
            </w:r>
          </w:p>
        </w:tc>
        <w:tc>
          <w:tcPr>
            <w:tcW w:w="1415" w:type="dxa"/>
            <w:tcBorders>
              <w:top w:val="single" w:sz="4" w:space="0" w:color="auto"/>
              <w:left w:val="nil"/>
              <w:bottom w:val="single" w:sz="4" w:space="0" w:color="auto"/>
              <w:right w:val="nil"/>
            </w:tcBorders>
            <w:hideMark/>
          </w:tcPr>
          <w:p w14:paraId="21C38F7B" w14:textId="77777777" w:rsidR="003230EF" w:rsidRDefault="003230EF">
            <w:pPr>
              <w:jc w:val="center"/>
              <w:rPr>
                <w:rFonts w:ascii="Arial" w:hAnsi="Arial" w:cs="Arial"/>
                <w:sz w:val="20"/>
                <w:szCs w:val="20"/>
              </w:rPr>
            </w:pPr>
            <w:r>
              <w:rPr>
                <w:rFonts w:ascii="Arial" w:hAnsi="Arial" w:cs="Arial"/>
                <w:sz w:val="20"/>
                <w:szCs w:val="20"/>
              </w:rPr>
              <w:t>P-value</w:t>
            </w:r>
          </w:p>
        </w:tc>
        <w:tc>
          <w:tcPr>
            <w:tcW w:w="1415" w:type="dxa"/>
            <w:tcBorders>
              <w:top w:val="single" w:sz="4" w:space="0" w:color="auto"/>
              <w:left w:val="nil"/>
              <w:bottom w:val="single" w:sz="4" w:space="0" w:color="auto"/>
              <w:right w:val="nil"/>
            </w:tcBorders>
            <w:hideMark/>
          </w:tcPr>
          <w:p w14:paraId="666415D5" w14:textId="77777777" w:rsidR="003230EF" w:rsidRDefault="003230EF">
            <w:pPr>
              <w:jc w:val="center"/>
              <w:rPr>
                <w:rFonts w:ascii="Arial" w:hAnsi="Arial" w:cs="Arial"/>
                <w:sz w:val="20"/>
                <w:szCs w:val="20"/>
              </w:rPr>
            </w:pPr>
            <w:r>
              <w:rPr>
                <w:rFonts w:ascii="Arial" w:hAnsi="Arial" w:cs="Arial"/>
                <w:sz w:val="20"/>
                <w:szCs w:val="20"/>
              </w:rPr>
              <w:t>FDR P-value</w:t>
            </w:r>
          </w:p>
        </w:tc>
        <w:tc>
          <w:tcPr>
            <w:tcW w:w="1493" w:type="dxa"/>
            <w:tcBorders>
              <w:top w:val="single" w:sz="4" w:space="0" w:color="auto"/>
              <w:left w:val="nil"/>
              <w:bottom w:val="single" w:sz="4" w:space="0" w:color="auto"/>
              <w:right w:val="nil"/>
            </w:tcBorders>
            <w:hideMark/>
          </w:tcPr>
          <w:p w14:paraId="28A67667" w14:textId="77777777" w:rsidR="003230EF" w:rsidRDefault="003230EF">
            <w:pPr>
              <w:jc w:val="center"/>
              <w:rPr>
                <w:rFonts w:ascii="Arial" w:hAnsi="Arial" w:cs="Arial"/>
                <w:sz w:val="20"/>
                <w:szCs w:val="20"/>
              </w:rPr>
            </w:pPr>
            <w:r>
              <w:rPr>
                <w:rFonts w:ascii="Arial" w:hAnsi="Arial" w:cs="Arial"/>
                <w:sz w:val="20"/>
                <w:szCs w:val="20"/>
              </w:rPr>
              <w:t>I</w:t>
            </w:r>
            <w:r>
              <w:rPr>
                <w:rFonts w:ascii="Arial" w:hAnsi="Arial" w:cs="Arial"/>
                <w:sz w:val="20"/>
                <w:szCs w:val="20"/>
                <w:vertAlign w:val="superscript"/>
              </w:rPr>
              <w:t>2</w:t>
            </w:r>
          </w:p>
        </w:tc>
        <w:tc>
          <w:tcPr>
            <w:tcW w:w="1415" w:type="dxa"/>
            <w:tcBorders>
              <w:top w:val="single" w:sz="4" w:space="0" w:color="auto"/>
              <w:left w:val="nil"/>
              <w:bottom w:val="single" w:sz="4" w:space="0" w:color="auto"/>
              <w:right w:val="nil"/>
            </w:tcBorders>
            <w:hideMark/>
          </w:tcPr>
          <w:p w14:paraId="15192816" w14:textId="77777777" w:rsidR="003230EF" w:rsidRDefault="003230EF">
            <w:pPr>
              <w:jc w:val="center"/>
              <w:rPr>
                <w:rFonts w:ascii="Arial" w:hAnsi="Arial" w:cs="Arial"/>
                <w:sz w:val="20"/>
                <w:szCs w:val="20"/>
              </w:rPr>
            </w:pPr>
            <w:r>
              <w:rPr>
                <w:rFonts w:ascii="Arial" w:hAnsi="Arial" w:cs="Arial"/>
                <w:sz w:val="20"/>
                <w:szCs w:val="20"/>
              </w:rPr>
              <w:t>N</w:t>
            </w:r>
          </w:p>
        </w:tc>
      </w:tr>
      <w:tr w:rsidR="003230EF" w14:paraId="1376B80C" w14:textId="77777777" w:rsidTr="003230EF">
        <w:tc>
          <w:tcPr>
            <w:tcW w:w="1384" w:type="dxa"/>
            <w:tcBorders>
              <w:top w:val="single" w:sz="4" w:space="0" w:color="auto"/>
              <w:left w:val="nil"/>
              <w:bottom w:val="nil"/>
              <w:right w:val="nil"/>
            </w:tcBorders>
            <w:hideMark/>
          </w:tcPr>
          <w:p w14:paraId="49D4A67E" w14:textId="77777777" w:rsidR="003230EF" w:rsidRDefault="003230EF">
            <w:pPr>
              <w:rPr>
                <w:rFonts w:ascii="Arial" w:hAnsi="Arial" w:cs="Arial"/>
                <w:sz w:val="20"/>
                <w:szCs w:val="20"/>
              </w:rPr>
            </w:pPr>
            <w:r>
              <w:rPr>
                <w:rFonts w:ascii="Arial" w:hAnsi="Arial" w:cs="Arial"/>
                <w:sz w:val="20"/>
                <w:szCs w:val="20"/>
              </w:rPr>
              <w:t>ACR</w:t>
            </w:r>
          </w:p>
        </w:tc>
        <w:tc>
          <w:tcPr>
            <w:tcW w:w="1444" w:type="dxa"/>
            <w:tcBorders>
              <w:top w:val="single" w:sz="4" w:space="0" w:color="auto"/>
              <w:left w:val="nil"/>
              <w:bottom w:val="nil"/>
              <w:right w:val="nil"/>
            </w:tcBorders>
            <w:vAlign w:val="bottom"/>
            <w:hideMark/>
          </w:tcPr>
          <w:p w14:paraId="7E04021E"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-0.00000001</w:t>
            </w:r>
          </w:p>
        </w:tc>
        <w:tc>
          <w:tcPr>
            <w:tcW w:w="1414" w:type="dxa"/>
            <w:tcBorders>
              <w:top w:val="single" w:sz="4" w:space="0" w:color="auto"/>
              <w:left w:val="nil"/>
              <w:bottom w:val="nil"/>
              <w:right w:val="nil"/>
            </w:tcBorders>
            <w:vAlign w:val="bottom"/>
            <w:hideMark/>
          </w:tcPr>
          <w:p w14:paraId="7AD2361A"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0.00000031</w:t>
            </w:r>
          </w:p>
        </w:tc>
        <w:tc>
          <w:tcPr>
            <w:tcW w:w="1414" w:type="dxa"/>
            <w:tcBorders>
              <w:top w:val="single" w:sz="4" w:space="0" w:color="auto"/>
              <w:left w:val="nil"/>
              <w:bottom w:val="nil"/>
              <w:right w:val="nil"/>
            </w:tcBorders>
            <w:vAlign w:val="bottom"/>
            <w:hideMark/>
          </w:tcPr>
          <w:p w14:paraId="6D72715D"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-0.00000061</w:t>
            </w:r>
          </w:p>
        </w:tc>
        <w:tc>
          <w:tcPr>
            <w:tcW w:w="1415" w:type="dxa"/>
            <w:tcBorders>
              <w:top w:val="single" w:sz="4" w:space="0" w:color="auto"/>
              <w:left w:val="nil"/>
              <w:bottom w:val="nil"/>
              <w:right w:val="nil"/>
            </w:tcBorders>
            <w:vAlign w:val="bottom"/>
            <w:hideMark/>
          </w:tcPr>
          <w:p w14:paraId="5A73E89B"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0.00000059</w:t>
            </w:r>
          </w:p>
        </w:tc>
        <w:tc>
          <w:tcPr>
            <w:tcW w:w="1415" w:type="dxa"/>
            <w:tcBorders>
              <w:top w:val="single" w:sz="4" w:space="0" w:color="auto"/>
              <w:left w:val="nil"/>
              <w:bottom w:val="nil"/>
              <w:right w:val="nil"/>
            </w:tcBorders>
            <w:vAlign w:val="bottom"/>
            <w:hideMark/>
          </w:tcPr>
          <w:p w14:paraId="2BAF6AD6"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0.975</w:t>
            </w:r>
          </w:p>
        </w:tc>
        <w:tc>
          <w:tcPr>
            <w:tcW w:w="1415" w:type="dxa"/>
            <w:tcBorders>
              <w:top w:val="single" w:sz="4" w:space="0" w:color="auto"/>
              <w:left w:val="nil"/>
              <w:bottom w:val="nil"/>
              <w:right w:val="nil"/>
            </w:tcBorders>
            <w:vAlign w:val="bottom"/>
            <w:hideMark/>
          </w:tcPr>
          <w:p w14:paraId="03A25622" w14:textId="77777777" w:rsidR="003230EF" w:rsidRDefault="003230EF">
            <w:pPr>
              <w:jc w:val="center"/>
              <w:rPr>
                <w:rFonts w:ascii="Arial" w:hAnsi="Arial" w:cs="Arial"/>
                <w:sz w:val="20"/>
                <w:szCs w:val="20"/>
              </w:rPr>
            </w:pPr>
            <w:r>
              <w:rPr>
                <w:rFonts w:ascii="Arial" w:eastAsia="Times New Roman" w:hAnsi="Arial" w:cs="Arial"/>
                <w:color w:val="000000"/>
                <w:sz w:val="20"/>
                <w:szCs w:val="20"/>
              </w:rPr>
              <w:t>0.975</w:t>
            </w:r>
          </w:p>
        </w:tc>
        <w:tc>
          <w:tcPr>
            <w:tcW w:w="1493" w:type="dxa"/>
            <w:tcBorders>
              <w:top w:val="single" w:sz="4" w:space="0" w:color="auto"/>
              <w:left w:val="nil"/>
              <w:bottom w:val="nil"/>
              <w:right w:val="nil"/>
            </w:tcBorders>
            <w:vAlign w:val="bottom"/>
            <w:hideMark/>
          </w:tcPr>
          <w:p w14:paraId="05CF0749"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61.795</w:t>
            </w:r>
          </w:p>
        </w:tc>
        <w:tc>
          <w:tcPr>
            <w:tcW w:w="1415" w:type="dxa"/>
            <w:tcBorders>
              <w:top w:val="single" w:sz="4" w:space="0" w:color="auto"/>
              <w:left w:val="nil"/>
              <w:bottom w:val="nil"/>
              <w:right w:val="nil"/>
            </w:tcBorders>
            <w:vAlign w:val="bottom"/>
            <w:hideMark/>
          </w:tcPr>
          <w:p w14:paraId="72572015"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477</w:t>
            </w:r>
          </w:p>
        </w:tc>
      </w:tr>
      <w:tr w:rsidR="003230EF" w14:paraId="468F718C" w14:textId="77777777" w:rsidTr="003230EF">
        <w:tc>
          <w:tcPr>
            <w:tcW w:w="1384" w:type="dxa"/>
            <w:tcBorders>
              <w:top w:val="nil"/>
              <w:left w:val="nil"/>
              <w:bottom w:val="nil"/>
              <w:right w:val="nil"/>
            </w:tcBorders>
            <w:hideMark/>
          </w:tcPr>
          <w:p w14:paraId="4C7F65EC" w14:textId="77777777" w:rsidR="003230EF" w:rsidRDefault="003230EF">
            <w:pPr>
              <w:rPr>
                <w:rFonts w:ascii="Arial" w:hAnsi="Arial" w:cs="Arial"/>
                <w:sz w:val="20"/>
                <w:szCs w:val="20"/>
              </w:rPr>
            </w:pPr>
            <w:r>
              <w:rPr>
                <w:rFonts w:ascii="Arial" w:hAnsi="Arial" w:cs="Arial"/>
                <w:sz w:val="20"/>
                <w:szCs w:val="20"/>
              </w:rPr>
              <w:t>ALIC</w:t>
            </w:r>
          </w:p>
        </w:tc>
        <w:tc>
          <w:tcPr>
            <w:tcW w:w="1444" w:type="dxa"/>
            <w:tcBorders>
              <w:top w:val="nil"/>
              <w:left w:val="nil"/>
              <w:bottom w:val="nil"/>
              <w:right w:val="nil"/>
            </w:tcBorders>
            <w:vAlign w:val="bottom"/>
            <w:hideMark/>
          </w:tcPr>
          <w:p w14:paraId="4E75E61A"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-0.00000006</w:t>
            </w:r>
          </w:p>
        </w:tc>
        <w:tc>
          <w:tcPr>
            <w:tcW w:w="1414" w:type="dxa"/>
            <w:tcBorders>
              <w:top w:val="nil"/>
              <w:left w:val="nil"/>
              <w:bottom w:val="nil"/>
              <w:right w:val="nil"/>
            </w:tcBorders>
            <w:vAlign w:val="bottom"/>
            <w:hideMark/>
          </w:tcPr>
          <w:p w14:paraId="1C094558"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0.00000012</w:t>
            </w:r>
          </w:p>
        </w:tc>
        <w:tc>
          <w:tcPr>
            <w:tcW w:w="1414" w:type="dxa"/>
            <w:tcBorders>
              <w:top w:val="nil"/>
              <w:left w:val="nil"/>
              <w:bottom w:val="nil"/>
              <w:right w:val="nil"/>
            </w:tcBorders>
            <w:vAlign w:val="bottom"/>
            <w:hideMark/>
          </w:tcPr>
          <w:p w14:paraId="2AB608E7"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-0.00000029</w:t>
            </w:r>
          </w:p>
        </w:tc>
        <w:tc>
          <w:tcPr>
            <w:tcW w:w="1415" w:type="dxa"/>
            <w:tcBorders>
              <w:top w:val="nil"/>
              <w:left w:val="nil"/>
              <w:bottom w:val="nil"/>
              <w:right w:val="nil"/>
            </w:tcBorders>
            <w:vAlign w:val="bottom"/>
            <w:hideMark/>
          </w:tcPr>
          <w:p w14:paraId="248047C8"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0.00000017</w:t>
            </w:r>
          </w:p>
        </w:tc>
        <w:tc>
          <w:tcPr>
            <w:tcW w:w="1415" w:type="dxa"/>
            <w:tcBorders>
              <w:top w:val="nil"/>
              <w:left w:val="nil"/>
              <w:bottom w:val="nil"/>
              <w:right w:val="nil"/>
            </w:tcBorders>
            <w:vAlign w:val="bottom"/>
            <w:hideMark/>
          </w:tcPr>
          <w:p w14:paraId="684E9088"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0.620</w:t>
            </w:r>
          </w:p>
        </w:tc>
        <w:tc>
          <w:tcPr>
            <w:tcW w:w="1415" w:type="dxa"/>
            <w:tcBorders>
              <w:top w:val="nil"/>
              <w:left w:val="nil"/>
              <w:bottom w:val="nil"/>
              <w:right w:val="nil"/>
            </w:tcBorders>
            <w:vAlign w:val="bottom"/>
            <w:hideMark/>
          </w:tcPr>
          <w:p w14:paraId="290B992F" w14:textId="77777777" w:rsidR="003230EF" w:rsidRDefault="003230EF">
            <w:pPr>
              <w:jc w:val="center"/>
              <w:rPr>
                <w:rFonts w:ascii="Arial" w:hAnsi="Arial" w:cs="Arial"/>
                <w:sz w:val="20"/>
                <w:szCs w:val="20"/>
              </w:rPr>
            </w:pPr>
            <w:r>
              <w:rPr>
                <w:rFonts w:ascii="Arial" w:eastAsia="Times New Roman" w:hAnsi="Arial" w:cs="Arial"/>
                <w:color w:val="000000"/>
                <w:sz w:val="20"/>
                <w:szCs w:val="20"/>
              </w:rPr>
              <w:t>0.902</w:t>
            </w:r>
          </w:p>
        </w:tc>
        <w:tc>
          <w:tcPr>
            <w:tcW w:w="1493" w:type="dxa"/>
            <w:tcBorders>
              <w:top w:val="nil"/>
              <w:left w:val="nil"/>
              <w:bottom w:val="nil"/>
              <w:right w:val="nil"/>
            </w:tcBorders>
            <w:vAlign w:val="bottom"/>
            <w:hideMark/>
          </w:tcPr>
          <w:p w14:paraId="3D006981"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2.768</w:t>
            </w:r>
          </w:p>
        </w:tc>
        <w:tc>
          <w:tcPr>
            <w:tcW w:w="1415" w:type="dxa"/>
            <w:tcBorders>
              <w:top w:val="nil"/>
              <w:left w:val="nil"/>
              <w:bottom w:val="nil"/>
              <w:right w:val="nil"/>
            </w:tcBorders>
            <w:vAlign w:val="bottom"/>
            <w:hideMark/>
          </w:tcPr>
          <w:p w14:paraId="53DC5400"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477</w:t>
            </w:r>
          </w:p>
        </w:tc>
      </w:tr>
      <w:tr w:rsidR="003230EF" w14:paraId="11EC4DB7" w14:textId="77777777" w:rsidTr="003230EF">
        <w:tc>
          <w:tcPr>
            <w:tcW w:w="1384" w:type="dxa"/>
            <w:tcBorders>
              <w:top w:val="nil"/>
              <w:left w:val="nil"/>
              <w:bottom w:val="nil"/>
              <w:right w:val="nil"/>
            </w:tcBorders>
            <w:hideMark/>
          </w:tcPr>
          <w:p w14:paraId="0803D0C5" w14:textId="77777777" w:rsidR="003230EF" w:rsidRDefault="003230EF">
            <w:pPr>
              <w:rPr>
                <w:rFonts w:ascii="Arial" w:hAnsi="Arial" w:cs="Arial"/>
                <w:sz w:val="20"/>
                <w:szCs w:val="20"/>
              </w:rPr>
            </w:pPr>
            <w:r>
              <w:rPr>
                <w:rFonts w:ascii="Arial" w:hAnsi="Arial" w:cs="Arial"/>
                <w:sz w:val="20"/>
                <w:szCs w:val="20"/>
              </w:rPr>
              <w:t>BCC</w:t>
            </w:r>
          </w:p>
        </w:tc>
        <w:tc>
          <w:tcPr>
            <w:tcW w:w="1444" w:type="dxa"/>
            <w:tcBorders>
              <w:top w:val="nil"/>
              <w:left w:val="nil"/>
              <w:bottom w:val="nil"/>
              <w:right w:val="nil"/>
            </w:tcBorders>
            <w:vAlign w:val="bottom"/>
            <w:hideMark/>
          </w:tcPr>
          <w:p w14:paraId="156CBEEE"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0.00000011</w:t>
            </w:r>
          </w:p>
        </w:tc>
        <w:tc>
          <w:tcPr>
            <w:tcW w:w="1414" w:type="dxa"/>
            <w:tcBorders>
              <w:top w:val="nil"/>
              <w:left w:val="nil"/>
              <w:bottom w:val="nil"/>
              <w:right w:val="nil"/>
            </w:tcBorders>
            <w:vAlign w:val="bottom"/>
            <w:hideMark/>
          </w:tcPr>
          <w:p w14:paraId="07E56E21"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0.00000018</w:t>
            </w:r>
          </w:p>
        </w:tc>
        <w:tc>
          <w:tcPr>
            <w:tcW w:w="1414" w:type="dxa"/>
            <w:tcBorders>
              <w:top w:val="nil"/>
              <w:left w:val="nil"/>
              <w:bottom w:val="nil"/>
              <w:right w:val="nil"/>
            </w:tcBorders>
            <w:vAlign w:val="bottom"/>
            <w:hideMark/>
          </w:tcPr>
          <w:p w14:paraId="07BEAE46"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-0.00000024</w:t>
            </w:r>
          </w:p>
        </w:tc>
        <w:tc>
          <w:tcPr>
            <w:tcW w:w="1415" w:type="dxa"/>
            <w:tcBorders>
              <w:top w:val="nil"/>
              <w:left w:val="nil"/>
              <w:bottom w:val="nil"/>
              <w:right w:val="nil"/>
            </w:tcBorders>
            <w:vAlign w:val="bottom"/>
            <w:hideMark/>
          </w:tcPr>
          <w:p w14:paraId="39307571"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0.00000047</w:t>
            </w:r>
          </w:p>
        </w:tc>
        <w:tc>
          <w:tcPr>
            <w:tcW w:w="1415" w:type="dxa"/>
            <w:tcBorders>
              <w:top w:val="nil"/>
              <w:left w:val="nil"/>
              <w:bottom w:val="nil"/>
              <w:right w:val="nil"/>
            </w:tcBorders>
            <w:vAlign w:val="bottom"/>
            <w:hideMark/>
          </w:tcPr>
          <w:p w14:paraId="13164ADE"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0.541</w:t>
            </w:r>
          </w:p>
        </w:tc>
        <w:tc>
          <w:tcPr>
            <w:tcW w:w="1415" w:type="dxa"/>
            <w:tcBorders>
              <w:top w:val="nil"/>
              <w:left w:val="nil"/>
              <w:bottom w:val="nil"/>
              <w:right w:val="nil"/>
            </w:tcBorders>
            <w:vAlign w:val="bottom"/>
            <w:hideMark/>
          </w:tcPr>
          <w:p w14:paraId="5942DFD1" w14:textId="77777777" w:rsidR="003230EF" w:rsidRDefault="003230EF">
            <w:pPr>
              <w:jc w:val="center"/>
              <w:rPr>
                <w:rFonts w:ascii="Arial" w:hAnsi="Arial" w:cs="Arial"/>
                <w:sz w:val="20"/>
                <w:szCs w:val="20"/>
              </w:rPr>
            </w:pPr>
            <w:r>
              <w:rPr>
                <w:rFonts w:ascii="Arial" w:eastAsia="Times New Roman" w:hAnsi="Arial" w:cs="Arial"/>
                <w:color w:val="000000"/>
                <w:sz w:val="20"/>
                <w:szCs w:val="20"/>
              </w:rPr>
              <w:t>0.902</w:t>
            </w:r>
          </w:p>
        </w:tc>
        <w:tc>
          <w:tcPr>
            <w:tcW w:w="1493" w:type="dxa"/>
            <w:tcBorders>
              <w:top w:val="nil"/>
              <w:left w:val="nil"/>
              <w:bottom w:val="nil"/>
              <w:right w:val="nil"/>
            </w:tcBorders>
            <w:vAlign w:val="bottom"/>
            <w:hideMark/>
          </w:tcPr>
          <w:p w14:paraId="75914577"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w:t>
            </w:r>
          </w:p>
        </w:tc>
        <w:tc>
          <w:tcPr>
            <w:tcW w:w="1415" w:type="dxa"/>
            <w:tcBorders>
              <w:top w:val="nil"/>
              <w:left w:val="nil"/>
              <w:bottom w:val="nil"/>
              <w:right w:val="nil"/>
            </w:tcBorders>
            <w:vAlign w:val="bottom"/>
            <w:hideMark/>
          </w:tcPr>
          <w:p w14:paraId="6122DFB0"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477</w:t>
            </w:r>
          </w:p>
        </w:tc>
      </w:tr>
      <w:tr w:rsidR="003230EF" w14:paraId="66B5B0D8" w14:textId="77777777" w:rsidTr="003230EF">
        <w:tc>
          <w:tcPr>
            <w:tcW w:w="1384" w:type="dxa"/>
            <w:tcBorders>
              <w:top w:val="nil"/>
              <w:left w:val="nil"/>
              <w:bottom w:val="nil"/>
              <w:right w:val="nil"/>
            </w:tcBorders>
            <w:hideMark/>
          </w:tcPr>
          <w:p w14:paraId="316E12BD" w14:textId="77777777" w:rsidR="003230EF" w:rsidRDefault="003230EF">
            <w:pPr>
              <w:rPr>
                <w:rFonts w:ascii="Arial" w:hAnsi="Arial" w:cs="Arial"/>
                <w:sz w:val="20"/>
                <w:szCs w:val="20"/>
              </w:rPr>
            </w:pPr>
            <w:r>
              <w:rPr>
                <w:rFonts w:ascii="Arial" w:hAnsi="Arial" w:cs="Arial"/>
                <w:sz w:val="20"/>
                <w:szCs w:val="20"/>
              </w:rPr>
              <w:t>CC</w:t>
            </w:r>
          </w:p>
        </w:tc>
        <w:tc>
          <w:tcPr>
            <w:tcW w:w="1444" w:type="dxa"/>
            <w:tcBorders>
              <w:top w:val="nil"/>
              <w:left w:val="nil"/>
              <w:bottom w:val="nil"/>
              <w:right w:val="nil"/>
            </w:tcBorders>
            <w:vAlign w:val="bottom"/>
            <w:hideMark/>
          </w:tcPr>
          <w:p w14:paraId="66D1AB68"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0.00000005</w:t>
            </w:r>
          </w:p>
        </w:tc>
        <w:tc>
          <w:tcPr>
            <w:tcW w:w="1414" w:type="dxa"/>
            <w:tcBorders>
              <w:top w:val="nil"/>
              <w:left w:val="nil"/>
              <w:bottom w:val="nil"/>
              <w:right w:val="nil"/>
            </w:tcBorders>
            <w:vAlign w:val="bottom"/>
            <w:hideMark/>
          </w:tcPr>
          <w:p w14:paraId="14A9B151"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0.00000015</w:t>
            </w:r>
          </w:p>
        </w:tc>
        <w:tc>
          <w:tcPr>
            <w:tcW w:w="1414" w:type="dxa"/>
            <w:tcBorders>
              <w:top w:val="nil"/>
              <w:left w:val="nil"/>
              <w:bottom w:val="nil"/>
              <w:right w:val="nil"/>
            </w:tcBorders>
            <w:vAlign w:val="bottom"/>
            <w:hideMark/>
          </w:tcPr>
          <w:p w14:paraId="4D041F8E"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-0.00000025</w:t>
            </w:r>
          </w:p>
        </w:tc>
        <w:tc>
          <w:tcPr>
            <w:tcW w:w="1415" w:type="dxa"/>
            <w:tcBorders>
              <w:top w:val="nil"/>
              <w:left w:val="nil"/>
              <w:bottom w:val="nil"/>
              <w:right w:val="nil"/>
            </w:tcBorders>
            <w:vAlign w:val="bottom"/>
            <w:hideMark/>
          </w:tcPr>
          <w:p w14:paraId="323B6E18"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0.00000035</w:t>
            </w:r>
          </w:p>
        </w:tc>
        <w:tc>
          <w:tcPr>
            <w:tcW w:w="1415" w:type="dxa"/>
            <w:tcBorders>
              <w:top w:val="nil"/>
              <w:left w:val="nil"/>
              <w:bottom w:val="nil"/>
              <w:right w:val="nil"/>
            </w:tcBorders>
            <w:vAlign w:val="bottom"/>
            <w:hideMark/>
          </w:tcPr>
          <w:p w14:paraId="2CFB4A97"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0.745</w:t>
            </w:r>
          </w:p>
        </w:tc>
        <w:tc>
          <w:tcPr>
            <w:tcW w:w="1415" w:type="dxa"/>
            <w:tcBorders>
              <w:top w:val="nil"/>
              <w:left w:val="nil"/>
              <w:bottom w:val="nil"/>
              <w:right w:val="nil"/>
            </w:tcBorders>
            <w:vAlign w:val="bottom"/>
            <w:hideMark/>
          </w:tcPr>
          <w:p w14:paraId="3F693B5A" w14:textId="77777777" w:rsidR="003230EF" w:rsidRDefault="003230EF">
            <w:pPr>
              <w:jc w:val="center"/>
              <w:rPr>
                <w:rFonts w:ascii="Arial" w:hAnsi="Arial" w:cs="Arial"/>
                <w:sz w:val="20"/>
                <w:szCs w:val="20"/>
              </w:rPr>
            </w:pPr>
            <w:r>
              <w:rPr>
                <w:rFonts w:ascii="Arial" w:eastAsia="Times New Roman" w:hAnsi="Arial" w:cs="Arial"/>
                <w:color w:val="000000"/>
                <w:sz w:val="20"/>
                <w:szCs w:val="20"/>
              </w:rPr>
              <w:t>0.902</w:t>
            </w:r>
          </w:p>
        </w:tc>
        <w:tc>
          <w:tcPr>
            <w:tcW w:w="1493" w:type="dxa"/>
            <w:tcBorders>
              <w:top w:val="nil"/>
              <w:left w:val="nil"/>
              <w:bottom w:val="nil"/>
              <w:right w:val="nil"/>
            </w:tcBorders>
            <w:vAlign w:val="bottom"/>
            <w:hideMark/>
          </w:tcPr>
          <w:p w14:paraId="4316C3E3"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1.767</w:t>
            </w:r>
          </w:p>
        </w:tc>
        <w:tc>
          <w:tcPr>
            <w:tcW w:w="1415" w:type="dxa"/>
            <w:tcBorders>
              <w:top w:val="nil"/>
              <w:left w:val="nil"/>
              <w:bottom w:val="nil"/>
              <w:right w:val="nil"/>
            </w:tcBorders>
            <w:vAlign w:val="bottom"/>
            <w:hideMark/>
          </w:tcPr>
          <w:p w14:paraId="5B65AD49"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477</w:t>
            </w:r>
          </w:p>
        </w:tc>
      </w:tr>
      <w:tr w:rsidR="003230EF" w14:paraId="4AA1FFBD" w14:textId="77777777" w:rsidTr="003230EF">
        <w:tc>
          <w:tcPr>
            <w:tcW w:w="1384" w:type="dxa"/>
            <w:tcBorders>
              <w:top w:val="nil"/>
              <w:left w:val="nil"/>
              <w:bottom w:val="nil"/>
              <w:right w:val="nil"/>
            </w:tcBorders>
            <w:hideMark/>
          </w:tcPr>
          <w:p w14:paraId="634E3AD0" w14:textId="77777777" w:rsidR="003230EF" w:rsidRDefault="003230EF">
            <w:pPr>
              <w:rPr>
                <w:rFonts w:ascii="Arial" w:hAnsi="Arial" w:cs="Arial"/>
                <w:sz w:val="20"/>
                <w:szCs w:val="20"/>
              </w:rPr>
            </w:pPr>
            <w:r>
              <w:rPr>
                <w:rFonts w:ascii="Arial" w:hAnsi="Arial" w:cs="Arial"/>
                <w:sz w:val="20"/>
                <w:szCs w:val="20"/>
              </w:rPr>
              <w:t>CGC</w:t>
            </w:r>
          </w:p>
        </w:tc>
        <w:tc>
          <w:tcPr>
            <w:tcW w:w="1444" w:type="dxa"/>
            <w:tcBorders>
              <w:top w:val="nil"/>
              <w:left w:val="nil"/>
              <w:bottom w:val="nil"/>
              <w:right w:val="nil"/>
            </w:tcBorders>
            <w:vAlign w:val="bottom"/>
            <w:hideMark/>
          </w:tcPr>
          <w:p w14:paraId="4B33306D"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0.00000016</w:t>
            </w:r>
          </w:p>
        </w:tc>
        <w:tc>
          <w:tcPr>
            <w:tcW w:w="1414" w:type="dxa"/>
            <w:tcBorders>
              <w:top w:val="nil"/>
              <w:left w:val="nil"/>
              <w:bottom w:val="nil"/>
              <w:right w:val="nil"/>
            </w:tcBorders>
            <w:vAlign w:val="bottom"/>
            <w:hideMark/>
          </w:tcPr>
          <w:p w14:paraId="05D5B0E6"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0.00000015</w:t>
            </w:r>
          </w:p>
        </w:tc>
        <w:tc>
          <w:tcPr>
            <w:tcW w:w="1414" w:type="dxa"/>
            <w:tcBorders>
              <w:top w:val="nil"/>
              <w:left w:val="nil"/>
              <w:bottom w:val="nil"/>
              <w:right w:val="nil"/>
            </w:tcBorders>
            <w:vAlign w:val="bottom"/>
            <w:hideMark/>
          </w:tcPr>
          <w:p w14:paraId="71F01F39"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-0.00000014</w:t>
            </w:r>
          </w:p>
        </w:tc>
        <w:tc>
          <w:tcPr>
            <w:tcW w:w="1415" w:type="dxa"/>
            <w:tcBorders>
              <w:top w:val="nil"/>
              <w:left w:val="nil"/>
              <w:bottom w:val="nil"/>
              <w:right w:val="nil"/>
            </w:tcBorders>
            <w:vAlign w:val="bottom"/>
            <w:hideMark/>
          </w:tcPr>
          <w:p w14:paraId="23EACC57"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0.00000046</w:t>
            </w:r>
          </w:p>
        </w:tc>
        <w:tc>
          <w:tcPr>
            <w:tcW w:w="1415" w:type="dxa"/>
            <w:tcBorders>
              <w:top w:val="nil"/>
              <w:left w:val="nil"/>
              <w:bottom w:val="nil"/>
              <w:right w:val="nil"/>
            </w:tcBorders>
            <w:vAlign w:val="bottom"/>
            <w:hideMark/>
          </w:tcPr>
          <w:p w14:paraId="01ADD830"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0.297</w:t>
            </w:r>
          </w:p>
        </w:tc>
        <w:tc>
          <w:tcPr>
            <w:tcW w:w="1415" w:type="dxa"/>
            <w:tcBorders>
              <w:top w:val="nil"/>
              <w:left w:val="nil"/>
              <w:bottom w:val="nil"/>
              <w:right w:val="nil"/>
            </w:tcBorders>
            <w:vAlign w:val="bottom"/>
            <w:hideMark/>
          </w:tcPr>
          <w:p w14:paraId="054B4DDB" w14:textId="77777777" w:rsidR="003230EF" w:rsidRDefault="003230EF">
            <w:pPr>
              <w:jc w:val="center"/>
              <w:rPr>
                <w:rFonts w:ascii="Arial" w:hAnsi="Arial" w:cs="Arial"/>
                <w:sz w:val="20"/>
                <w:szCs w:val="20"/>
              </w:rPr>
            </w:pPr>
            <w:r>
              <w:rPr>
                <w:rFonts w:ascii="Arial" w:eastAsia="Times New Roman" w:hAnsi="Arial" w:cs="Arial"/>
                <w:color w:val="000000"/>
                <w:sz w:val="20"/>
                <w:szCs w:val="20"/>
              </w:rPr>
              <w:t>0.902</w:t>
            </w:r>
          </w:p>
        </w:tc>
        <w:tc>
          <w:tcPr>
            <w:tcW w:w="1493" w:type="dxa"/>
            <w:tcBorders>
              <w:top w:val="nil"/>
              <w:left w:val="nil"/>
              <w:bottom w:val="nil"/>
              <w:right w:val="nil"/>
            </w:tcBorders>
            <w:vAlign w:val="bottom"/>
            <w:hideMark/>
          </w:tcPr>
          <w:p w14:paraId="34F688AD"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9.121</w:t>
            </w:r>
          </w:p>
        </w:tc>
        <w:tc>
          <w:tcPr>
            <w:tcW w:w="1415" w:type="dxa"/>
            <w:tcBorders>
              <w:top w:val="nil"/>
              <w:left w:val="nil"/>
              <w:bottom w:val="nil"/>
              <w:right w:val="nil"/>
            </w:tcBorders>
            <w:vAlign w:val="bottom"/>
            <w:hideMark/>
          </w:tcPr>
          <w:p w14:paraId="70E63591"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477</w:t>
            </w:r>
          </w:p>
        </w:tc>
      </w:tr>
      <w:tr w:rsidR="003230EF" w14:paraId="78605EA7" w14:textId="77777777" w:rsidTr="003230EF">
        <w:tc>
          <w:tcPr>
            <w:tcW w:w="1384" w:type="dxa"/>
            <w:tcBorders>
              <w:top w:val="nil"/>
              <w:left w:val="nil"/>
              <w:bottom w:val="nil"/>
              <w:right w:val="nil"/>
            </w:tcBorders>
            <w:hideMark/>
          </w:tcPr>
          <w:p w14:paraId="43DCC1DD" w14:textId="77777777" w:rsidR="003230EF" w:rsidRDefault="003230EF">
            <w:pPr>
              <w:rPr>
                <w:rFonts w:ascii="Arial" w:hAnsi="Arial" w:cs="Arial"/>
                <w:sz w:val="20"/>
                <w:szCs w:val="20"/>
              </w:rPr>
            </w:pPr>
            <w:r>
              <w:rPr>
                <w:rFonts w:ascii="Arial" w:hAnsi="Arial" w:cs="Arial"/>
                <w:sz w:val="20"/>
                <w:szCs w:val="20"/>
              </w:rPr>
              <w:t>CGH</w:t>
            </w:r>
          </w:p>
        </w:tc>
        <w:tc>
          <w:tcPr>
            <w:tcW w:w="1444" w:type="dxa"/>
            <w:tcBorders>
              <w:top w:val="nil"/>
              <w:left w:val="nil"/>
              <w:bottom w:val="nil"/>
              <w:right w:val="nil"/>
            </w:tcBorders>
            <w:vAlign w:val="bottom"/>
            <w:hideMark/>
          </w:tcPr>
          <w:p w14:paraId="07060AB7"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0.00000025</w:t>
            </w:r>
          </w:p>
        </w:tc>
        <w:tc>
          <w:tcPr>
            <w:tcW w:w="1414" w:type="dxa"/>
            <w:tcBorders>
              <w:top w:val="nil"/>
              <w:left w:val="nil"/>
              <w:bottom w:val="nil"/>
              <w:right w:val="nil"/>
            </w:tcBorders>
            <w:vAlign w:val="bottom"/>
            <w:hideMark/>
          </w:tcPr>
          <w:p w14:paraId="0DD5B047"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0.00000020</w:t>
            </w:r>
          </w:p>
        </w:tc>
        <w:tc>
          <w:tcPr>
            <w:tcW w:w="1414" w:type="dxa"/>
            <w:tcBorders>
              <w:top w:val="nil"/>
              <w:left w:val="nil"/>
              <w:bottom w:val="nil"/>
              <w:right w:val="nil"/>
            </w:tcBorders>
            <w:vAlign w:val="bottom"/>
            <w:hideMark/>
          </w:tcPr>
          <w:p w14:paraId="59D84432"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-0.00000014</w:t>
            </w:r>
          </w:p>
        </w:tc>
        <w:tc>
          <w:tcPr>
            <w:tcW w:w="1415" w:type="dxa"/>
            <w:tcBorders>
              <w:top w:val="nil"/>
              <w:left w:val="nil"/>
              <w:bottom w:val="nil"/>
              <w:right w:val="nil"/>
            </w:tcBorders>
            <w:vAlign w:val="bottom"/>
            <w:hideMark/>
          </w:tcPr>
          <w:p w14:paraId="58BD190A"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0.00000064</w:t>
            </w:r>
          </w:p>
        </w:tc>
        <w:tc>
          <w:tcPr>
            <w:tcW w:w="1415" w:type="dxa"/>
            <w:tcBorders>
              <w:top w:val="nil"/>
              <w:left w:val="nil"/>
              <w:bottom w:val="nil"/>
              <w:right w:val="nil"/>
            </w:tcBorders>
            <w:vAlign w:val="bottom"/>
            <w:hideMark/>
          </w:tcPr>
          <w:p w14:paraId="69767D88"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0.207</w:t>
            </w:r>
          </w:p>
        </w:tc>
        <w:tc>
          <w:tcPr>
            <w:tcW w:w="1415" w:type="dxa"/>
            <w:tcBorders>
              <w:top w:val="nil"/>
              <w:left w:val="nil"/>
              <w:bottom w:val="nil"/>
              <w:right w:val="nil"/>
            </w:tcBorders>
            <w:vAlign w:val="bottom"/>
            <w:hideMark/>
          </w:tcPr>
          <w:p w14:paraId="01BAAFA3" w14:textId="77777777" w:rsidR="003230EF" w:rsidRDefault="003230EF">
            <w:pPr>
              <w:jc w:val="center"/>
              <w:rPr>
                <w:rFonts w:ascii="Arial" w:hAnsi="Arial" w:cs="Arial"/>
                <w:sz w:val="20"/>
                <w:szCs w:val="20"/>
              </w:rPr>
            </w:pPr>
            <w:r>
              <w:rPr>
                <w:rFonts w:ascii="Arial" w:eastAsia="Times New Roman" w:hAnsi="Arial" w:cs="Arial"/>
                <w:color w:val="000000"/>
                <w:sz w:val="20"/>
                <w:szCs w:val="20"/>
              </w:rPr>
              <w:t>0.902</w:t>
            </w:r>
          </w:p>
        </w:tc>
        <w:tc>
          <w:tcPr>
            <w:tcW w:w="1493" w:type="dxa"/>
            <w:tcBorders>
              <w:top w:val="nil"/>
              <w:left w:val="nil"/>
              <w:bottom w:val="nil"/>
              <w:right w:val="nil"/>
            </w:tcBorders>
            <w:vAlign w:val="bottom"/>
            <w:hideMark/>
          </w:tcPr>
          <w:p w14:paraId="71F0C2E6"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15.588</w:t>
            </w:r>
          </w:p>
        </w:tc>
        <w:tc>
          <w:tcPr>
            <w:tcW w:w="1415" w:type="dxa"/>
            <w:tcBorders>
              <w:top w:val="nil"/>
              <w:left w:val="nil"/>
              <w:bottom w:val="nil"/>
              <w:right w:val="nil"/>
            </w:tcBorders>
            <w:vAlign w:val="bottom"/>
            <w:hideMark/>
          </w:tcPr>
          <w:p w14:paraId="3C71E4B9"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477</w:t>
            </w:r>
          </w:p>
        </w:tc>
      </w:tr>
      <w:tr w:rsidR="003230EF" w14:paraId="0B60CDAB" w14:textId="77777777" w:rsidTr="003230EF">
        <w:tc>
          <w:tcPr>
            <w:tcW w:w="1384" w:type="dxa"/>
            <w:tcBorders>
              <w:top w:val="nil"/>
              <w:left w:val="nil"/>
              <w:bottom w:val="nil"/>
              <w:right w:val="nil"/>
            </w:tcBorders>
            <w:hideMark/>
          </w:tcPr>
          <w:p w14:paraId="241C1785" w14:textId="77777777" w:rsidR="003230EF" w:rsidRDefault="003230EF">
            <w:pPr>
              <w:rPr>
                <w:rFonts w:ascii="Arial" w:hAnsi="Arial" w:cs="Arial"/>
                <w:sz w:val="20"/>
                <w:szCs w:val="20"/>
              </w:rPr>
            </w:pPr>
            <w:r>
              <w:rPr>
                <w:rFonts w:ascii="Arial" w:hAnsi="Arial" w:cs="Arial"/>
                <w:sz w:val="20"/>
                <w:szCs w:val="20"/>
              </w:rPr>
              <w:t>CR</w:t>
            </w:r>
          </w:p>
        </w:tc>
        <w:tc>
          <w:tcPr>
            <w:tcW w:w="1444" w:type="dxa"/>
            <w:tcBorders>
              <w:top w:val="nil"/>
              <w:left w:val="nil"/>
              <w:bottom w:val="nil"/>
              <w:right w:val="nil"/>
            </w:tcBorders>
            <w:vAlign w:val="bottom"/>
            <w:hideMark/>
          </w:tcPr>
          <w:p w14:paraId="64BEFDB0"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0.00000005</w:t>
            </w:r>
          </w:p>
        </w:tc>
        <w:tc>
          <w:tcPr>
            <w:tcW w:w="1414" w:type="dxa"/>
            <w:tcBorders>
              <w:top w:val="nil"/>
              <w:left w:val="nil"/>
              <w:bottom w:val="nil"/>
              <w:right w:val="nil"/>
            </w:tcBorders>
            <w:vAlign w:val="bottom"/>
            <w:hideMark/>
          </w:tcPr>
          <w:p w14:paraId="0E1747DF"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0.00000020</w:t>
            </w:r>
          </w:p>
        </w:tc>
        <w:tc>
          <w:tcPr>
            <w:tcW w:w="1414" w:type="dxa"/>
            <w:tcBorders>
              <w:top w:val="nil"/>
              <w:left w:val="nil"/>
              <w:bottom w:val="nil"/>
              <w:right w:val="nil"/>
            </w:tcBorders>
            <w:vAlign w:val="bottom"/>
            <w:hideMark/>
          </w:tcPr>
          <w:p w14:paraId="2E2CDDF3"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-0.00000034</w:t>
            </w:r>
          </w:p>
        </w:tc>
        <w:tc>
          <w:tcPr>
            <w:tcW w:w="1415" w:type="dxa"/>
            <w:tcBorders>
              <w:top w:val="nil"/>
              <w:left w:val="nil"/>
              <w:bottom w:val="nil"/>
              <w:right w:val="nil"/>
            </w:tcBorders>
            <w:vAlign w:val="bottom"/>
            <w:hideMark/>
          </w:tcPr>
          <w:p w14:paraId="0A4B8600"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0.00000044</w:t>
            </w:r>
          </w:p>
        </w:tc>
        <w:tc>
          <w:tcPr>
            <w:tcW w:w="1415" w:type="dxa"/>
            <w:tcBorders>
              <w:top w:val="nil"/>
              <w:left w:val="nil"/>
              <w:bottom w:val="nil"/>
              <w:right w:val="nil"/>
            </w:tcBorders>
            <w:vAlign w:val="bottom"/>
            <w:hideMark/>
          </w:tcPr>
          <w:p w14:paraId="0E6075DC"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0.794</w:t>
            </w:r>
          </w:p>
        </w:tc>
        <w:tc>
          <w:tcPr>
            <w:tcW w:w="1415" w:type="dxa"/>
            <w:tcBorders>
              <w:top w:val="nil"/>
              <w:left w:val="nil"/>
              <w:bottom w:val="nil"/>
              <w:right w:val="nil"/>
            </w:tcBorders>
            <w:vAlign w:val="bottom"/>
            <w:hideMark/>
          </w:tcPr>
          <w:p w14:paraId="259633D1" w14:textId="77777777" w:rsidR="003230EF" w:rsidRDefault="003230EF">
            <w:pPr>
              <w:jc w:val="center"/>
              <w:rPr>
                <w:rFonts w:ascii="Arial" w:hAnsi="Arial" w:cs="Arial"/>
                <w:sz w:val="20"/>
                <w:szCs w:val="20"/>
              </w:rPr>
            </w:pPr>
            <w:r>
              <w:rPr>
                <w:rFonts w:ascii="Arial" w:eastAsia="Times New Roman" w:hAnsi="Arial" w:cs="Arial"/>
                <w:color w:val="000000"/>
                <w:sz w:val="20"/>
                <w:szCs w:val="20"/>
              </w:rPr>
              <w:t>0.902</w:t>
            </w:r>
          </w:p>
        </w:tc>
        <w:tc>
          <w:tcPr>
            <w:tcW w:w="1493" w:type="dxa"/>
            <w:tcBorders>
              <w:top w:val="nil"/>
              <w:left w:val="nil"/>
              <w:bottom w:val="nil"/>
              <w:right w:val="nil"/>
            </w:tcBorders>
            <w:vAlign w:val="bottom"/>
            <w:hideMark/>
          </w:tcPr>
          <w:p w14:paraId="0E4EA9ED"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41.998</w:t>
            </w:r>
          </w:p>
        </w:tc>
        <w:tc>
          <w:tcPr>
            <w:tcW w:w="1415" w:type="dxa"/>
            <w:tcBorders>
              <w:top w:val="nil"/>
              <w:left w:val="nil"/>
              <w:bottom w:val="nil"/>
              <w:right w:val="nil"/>
            </w:tcBorders>
            <w:vAlign w:val="bottom"/>
            <w:hideMark/>
          </w:tcPr>
          <w:p w14:paraId="7AD9AA22"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477</w:t>
            </w:r>
          </w:p>
        </w:tc>
      </w:tr>
      <w:tr w:rsidR="003230EF" w14:paraId="48EEB4EE" w14:textId="77777777" w:rsidTr="003230EF">
        <w:tc>
          <w:tcPr>
            <w:tcW w:w="1384" w:type="dxa"/>
            <w:tcBorders>
              <w:top w:val="nil"/>
              <w:left w:val="nil"/>
              <w:bottom w:val="nil"/>
              <w:right w:val="nil"/>
            </w:tcBorders>
            <w:hideMark/>
          </w:tcPr>
          <w:p w14:paraId="1BBEE194" w14:textId="77777777" w:rsidR="003230EF" w:rsidRDefault="003230EF">
            <w:pPr>
              <w:rPr>
                <w:rFonts w:ascii="Arial" w:hAnsi="Arial" w:cs="Arial"/>
                <w:sz w:val="20"/>
                <w:szCs w:val="20"/>
              </w:rPr>
            </w:pPr>
            <w:r>
              <w:rPr>
                <w:rFonts w:ascii="Arial" w:hAnsi="Arial" w:cs="Arial"/>
                <w:sz w:val="20"/>
                <w:szCs w:val="20"/>
              </w:rPr>
              <w:t>CST</w:t>
            </w:r>
          </w:p>
        </w:tc>
        <w:tc>
          <w:tcPr>
            <w:tcW w:w="1444" w:type="dxa"/>
            <w:tcBorders>
              <w:top w:val="nil"/>
              <w:left w:val="nil"/>
              <w:bottom w:val="nil"/>
              <w:right w:val="nil"/>
            </w:tcBorders>
            <w:vAlign w:val="bottom"/>
            <w:hideMark/>
          </w:tcPr>
          <w:p w14:paraId="04E0B70C"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0.00000013</w:t>
            </w:r>
          </w:p>
        </w:tc>
        <w:tc>
          <w:tcPr>
            <w:tcW w:w="1414" w:type="dxa"/>
            <w:tcBorders>
              <w:top w:val="nil"/>
              <w:left w:val="nil"/>
              <w:bottom w:val="nil"/>
              <w:right w:val="nil"/>
            </w:tcBorders>
            <w:vAlign w:val="bottom"/>
            <w:hideMark/>
          </w:tcPr>
          <w:p w14:paraId="3BDAF764"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0.00000024</w:t>
            </w:r>
          </w:p>
        </w:tc>
        <w:tc>
          <w:tcPr>
            <w:tcW w:w="1414" w:type="dxa"/>
            <w:tcBorders>
              <w:top w:val="nil"/>
              <w:left w:val="nil"/>
              <w:bottom w:val="nil"/>
              <w:right w:val="nil"/>
            </w:tcBorders>
            <w:vAlign w:val="bottom"/>
            <w:hideMark/>
          </w:tcPr>
          <w:p w14:paraId="5A517B5D"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-0.00000034</w:t>
            </w:r>
          </w:p>
        </w:tc>
        <w:tc>
          <w:tcPr>
            <w:tcW w:w="1415" w:type="dxa"/>
            <w:tcBorders>
              <w:top w:val="nil"/>
              <w:left w:val="nil"/>
              <w:bottom w:val="nil"/>
              <w:right w:val="nil"/>
            </w:tcBorders>
            <w:vAlign w:val="bottom"/>
            <w:hideMark/>
          </w:tcPr>
          <w:p w14:paraId="02F675EE"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0.00000061</w:t>
            </w:r>
          </w:p>
        </w:tc>
        <w:tc>
          <w:tcPr>
            <w:tcW w:w="1415" w:type="dxa"/>
            <w:tcBorders>
              <w:top w:val="nil"/>
              <w:left w:val="nil"/>
              <w:bottom w:val="nil"/>
              <w:right w:val="nil"/>
            </w:tcBorders>
            <w:vAlign w:val="bottom"/>
            <w:hideMark/>
          </w:tcPr>
          <w:p w14:paraId="4416E874"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0.586</w:t>
            </w:r>
          </w:p>
        </w:tc>
        <w:tc>
          <w:tcPr>
            <w:tcW w:w="1415" w:type="dxa"/>
            <w:tcBorders>
              <w:top w:val="nil"/>
              <w:left w:val="nil"/>
              <w:bottom w:val="nil"/>
              <w:right w:val="nil"/>
            </w:tcBorders>
            <w:vAlign w:val="bottom"/>
            <w:hideMark/>
          </w:tcPr>
          <w:p w14:paraId="3DE07E70" w14:textId="77777777" w:rsidR="003230EF" w:rsidRDefault="003230EF">
            <w:pPr>
              <w:jc w:val="center"/>
              <w:rPr>
                <w:rFonts w:ascii="Arial" w:hAnsi="Arial" w:cs="Arial"/>
                <w:sz w:val="20"/>
                <w:szCs w:val="20"/>
              </w:rPr>
            </w:pPr>
            <w:r>
              <w:rPr>
                <w:rFonts w:ascii="Arial" w:eastAsia="Times New Roman" w:hAnsi="Arial" w:cs="Arial"/>
                <w:color w:val="000000"/>
                <w:sz w:val="20"/>
                <w:szCs w:val="20"/>
              </w:rPr>
              <w:t>0.902</w:t>
            </w:r>
          </w:p>
        </w:tc>
        <w:tc>
          <w:tcPr>
            <w:tcW w:w="1493" w:type="dxa"/>
            <w:tcBorders>
              <w:top w:val="nil"/>
              <w:left w:val="nil"/>
              <w:bottom w:val="nil"/>
              <w:right w:val="nil"/>
            </w:tcBorders>
            <w:vAlign w:val="bottom"/>
            <w:hideMark/>
          </w:tcPr>
          <w:p w14:paraId="685F666D"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41.516</w:t>
            </w:r>
          </w:p>
        </w:tc>
        <w:tc>
          <w:tcPr>
            <w:tcW w:w="1415" w:type="dxa"/>
            <w:tcBorders>
              <w:top w:val="nil"/>
              <w:left w:val="nil"/>
              <w:bottom w:val="nil"/>
              <w:right w:val="nil"/>
            </w:tcBorders>
            <w:vAlign w:val="bottom"/>
            <w:hideMark/>
          </w:tcPr>
          <w:p w14:paraId="2EE95856"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477</w:t>
            </w:r>
          </w:p>
        </w:tc>
      </w:tr>
      <w:tr w:rsidR="003230EF" w14:paraId="4255FA8B" w14:textId="77777777" w:rsidTr="003230EF">
        <w:tc>
          <w:tcPr>
            <w:tcW w:w="1384" w:type="dxa"/>
            <w:tcBorders>
              <w:top w:val="nil"/>
              <w:left w:val="nil"/>
              <w:bottom w:val="nil"/>
              <w:right w:val="nil"/>
            </w:tcBorders>
            <w:hideMark/>
          </w:tcPr>
          <w:p w14:paraId="089FF890" w14:textId="77777777" w:rsidR="003230EF" w:rsidRDefault="003230EF">
            <w:pPr>
              <w:rPr>
                <w:rFonts w:ascii="Arial" w:hAnsi="Arial" w:cs="Arial"/>
                <w:sz w:val="20"/>
                <w:szCs w:val="20"/>
              </w:rPr>
            </w:pPr>
            <w:r>
              <w:rPr>
                <w:rFonts w:ascii="Arial" w:hAnsi="Arial" w:cs="Arial"/>
                <w:sz w:val="20"/>
                <w:szCs w:val="20"/>
              </w:rPr>
              <w:t>EC</w:t>
            </w:r>
          </w:p>
        </w:tc>
        <w:tc>
          <w:tcPr>
            <w:tcW w:w="1444" w:type="dxa"/>
            <w:tcBorders>
              <w:top w:val="nil"/>
              <w:left w:val="nil"/>
              <w:bottom w:val="nil"/>
              <w:right w:val="nil"/>
            </w:tcBorders>
            <w:vAlign w:val="bottom"/>
            <w:hideMark/>
          </w:tcPr>
          <w:p w14:paraId="7C0F6794"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0.00000003</w:t>
            </w:r>
          </w:p>
        </w:tc>
        <w:tc>
          <w:tcPr>
            <w:tcW w:w="1414" w:type="dxa"/>
            <w:tcBorders>
              <w:top w:val="nil"/>
              <w:left w:val="nil"/>
              <w:bottom w:val="nil"/>
              <w:right w:val="nil"/>
            </w:tcBorders>
            <w:vAlign w:val="bottom"/>
            <w:hideMark/>
          </w:tcPr>
          <w:p w14:paraId="76058C9A"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0.00000011</w:t>
            </w:r>
          </w:p>
        </w:tc>
        <w:tc>
          <w:tcPr>
            <w:tcW w:w="1414" w:type="dxa"/>
            <w:tcBorders>
              <w:top w:val="nil"/>
              <w:left w:val="nil"/>
              <w:bottom w:val="nil"/>
              <w:right w:val="nil"/>
            </w:tcBorders>
            <w:vAlign w:val="bottom"/>
            <w:hideMark/>
          </w:tcPr>
          <w:p w14:paraId="4DEFE941"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-0.00000019</w:t>
            </w:r>
          </w:p>
        </w:tc>
        <w:tc>
          <w:tcPr>
            <w:tcW w:w="1415" w:type="dxa"/>
            <w:tcBorders>
              <w:top w:val="nil"/>
              <w:left w:val="nil"/>
              <w:bottom w:val="nil"/>
              <w:right w:val="nil"/>
            </w:tcBorders>
            <w:vAlign w:val="bottom"/>
            <w:hideMark/>
          </w:tcPr>
          <w:p w14:paraId="07D43F74"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0.00000025</w:t>
            </w:r>
          </w:p>
        </w:tc>
        <w:tc>
          <w:tcPr>
            <w:tcW w:w="1415" w:type="dxa"/>
            <w:tcBorders>
              <w:top w:val="nil"/>
              <w:left w:val="nil"/>
              <w:bottom w:val="nil"/>
              <w:right w:val="nil"/>
            </w:tcBorders>
            <w:vAlign w:val="bottom"/>
            <w:hideMark/>
          </w:tcPr>
          <w:p w14:paraId="7492FAA3"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0.794</w:t>
            </w:r>
          </w:p>
        </w:tc>
        <w:tc>
          <w:tcPr>
            <w:tcW w:w="1415" w:type="dxa"/>
            <w:tcBorders>
              <w:top w:val="nil"/>
              <w:left w:val="nil"/>
              <w:bottom w:val="nil"/>
              <w:right w:val="nil"/>
            </w:tcBorders>
            <w:vAlign w:val="bottom"/>
            <w:hideMark/>
          </w:tcPr>
          <w:p w14:paraId="45A63394" w14:textId="77777777" w:rsidR="003230EF" w:rsidRDefault="003230EF">
            <w:pPr>
              <w:jc w:val="center"/>
              <w:rPr>
                <w:rFonts w:ascii="Arial" w:hAnsi="Arial" w:cs="Arial"/>
                <w:sz w:val="20"/>
                <w:szCs w:val="20"/>
              </w:rPr>
            </w:pPr>
            <w:r>
              <w:rPr>
                <w:rFonts w:ascii="Arial" w:eastAsia="Times New Roman" w:hAnsi="Arial" w:cs="Arial"/>
                <w:color w:val="000000"/>
                <w:sz w:val="20"/>
                <w:szCs w:val="20"/>
              </w:rPr>
              <w:t>0.902</w:t>
            </w:r>
          </w:p>
        </w:tc>
        <w:tc>
          <w:tcPr>
            <w:tcW w:w="1493" w:type="dxa"/>
            <w:tcBorders>
              <w:top w:val="nil"/>
              <w:left w:val="nil"/>
              <w:bottom w:val="nil"/>
              <w:right w:val="nil"/>
            </w:tcBorders>
            <w:vAlign w:val="bottom"/>
            <w:hideMark/>
          </w:tcPr>
          <w:p w14:paraId="1415920E"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w:t>
            </w:r>
          </w:p>
        </w:tc>
        <w:tc>
          <w:tcPr>
            <w:tcW w:w="1415" w:type="dxa"/>
            <w:tcBorders>
              <w:top w:val="nil"/>
              <w:left w:val="nil"/>
              <w:bottom w:val="nil"/>
              <w:right w:val="nil"/>
            </w:tcBorders>
            <w:vAlign w:val="bottom"/>
            <w:hideMark/>
          </w:tcPr>
          <w:p w14:paraId="1A90DC09"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477</w:t>
            </w:r>
          </w:p>
        </w:tc>
      </w:tr>
      <w:tr w:rsidR="003230EF" w14:paraId="4D920D23" w14:textId="77777777" w:rsidTr="003230EF">
        <w:tc>
          <w:tcPr>
            <w:tcW w:w="1384" w:type="dxa"/>
            <w:tcBorders>
              <w:top w:val="nil"/>
              <w:left w:val="nil"/>
              <w:bottom w:val="nil"/>
              <w:right w:val="nil"/>
            </w:tcBorders>
            <w:hideMark/>
          </w:tcPr>
          <w:p w14:paraId="777985F4" w14:textId="77777777" w:rsidR="003230EF" w:rsidRDefault="003230EF">
            <w:pPr>
              <w:rPr>
                <w:rFonts w:ascii="Arial" w:hAnsi="Arial" w:cs="Arial"/>
                <w:sz w:val="20"/>
                <w:szCs w:val="20"/>
              </w:rPr>
            </w:pPr>
            <w:r>
              <w:rPr>
                <w:rFonts w:ascii="Arial" w:hAnsi="Arial" w:cs="Arial"/>
                <w:sz w:val="20"/>
                <w:szCs w:val="20"/>
              </w:rPr>
              <w:t>FX</w:t>
            </w:r>
          </w:p>
        </w:tc>
        <w:tc>
          <w:tcPr>
            <w:tcW w:w="1444" w:type="dxa"/>
            <w:tcBorders>
              <w:top w:val="nil"/>
              <w:left w:val="nil"/>
              <w:bottom w:val="nil"/>
              <w:right w:val="nil"/>
            </w:tcBorders>
            <w:vAlign w:val="bottom"/>
            <w:hideMark/>
          </w:tcPr>
          <w:p w14:paraId="0C14CB38"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-0.00000023</w:t>
            </w:r>
          </w:p>
        </w:tc>
        <w:tc>
          <w:tcPr>
            <w:tcW w:w="1414" w:type="dxa"/>
            <w:tcBorders>
              <w:top w:val="nil"/>
              <w:left w:val="nil"/>
              <w:bottom w:val="nil"/>
              <w:right w:val="nil"/>
            </w:tcBorders>
            <w:vAlign w:val="bottom"/>
            <w:hideMark/>
          </w:tcPr>
          <w:p w14:paraId="14C4D446"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0.00000112</w:t>
            </w:r>
          </w:p>
        </w:tc>
        <w:tc>
          <w:tcPr>
            <w:tcW w:w="1414" w:type="dxa"/>
            <w:tcBorders>
              <w:top w:val="nil"/>
              <w:left w:val="nil"/>
              <w:bottom w:val="nil"/>
              <w:right w:val="nil"/>
            </w:tcBorders>
            <w:vAlign w:val="bottom"/>
            <w:hideMark/>
          </w:tcPr>
          <w:p w14:paraId="5E104C5B"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-0.00000243</w:t>
            </w:r>
          </w:p>
        </w:tc>
        <w:tc>
          <w:tcPr>
            <w:tcW w:w="1415" w:type="dxa"/>
            <w:tcBorders>
              <w:top w:val="nil"/>
              <w:left w:val="nil"/>
              <w:bottom w:val="nil"/>
              <w:right w:val="nil"/>
            </w:tcBorders>
            <w:vAlign w:val="bottom"/>
            <w:hideMark/>
          </w:tcPr>
          <w:p w14:paraId="324E317A"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0.00000197</w:t>
            </w:r>
          </w:p>
        </w:tc>
        <w:tc>
          <w:tcPr>
            <w:tcW w:w="1415" w:type="dxa"/>
            <w:tcBorders>
              <w:top w:val="nil"/>
              <w:left w:val="nil"/>
              <w:bottom w:val="nil"/>
              <w:right w:val="nil"/>
            </w:tcBorders>
            <w:vAlign w:val="bottom"/>
            <w:hideMark/>
          </w:tcPr>
          <w:p w14:paraId="7CCCD6CE"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0.838</w:t>
            </w:r>
          </w:p>
        </w:tc>
        <w:tc>
          <w:tcPr>
            <w:tcW w:w="1415" w:type="dxa"/>
            <w:tcBorders>
              <w:top w:val="nil"/>
              <w:left w:val="nil"/>
              <w:bottom w:val="nil"/>
              <w:right w:val="nil"/>
            </w:tcBorders>
            <w:vAlign w:val="bottom"/>
            <w:hideMark/>
          </w:tcPr>
          <w:p w14:paraId="59599399" w14:textId="77777777" w:rsidR="003230EF" w:rsidRDefault="003230EF">
            <w:pPr>
              <w:jc w:val="center"/>
              <w:rPr>
                <w:rFonts w:ascii="Arial" w:hAnsi="Arial" w:cs="Arial"/>
                <w:sz w:val="20"/>
                <w:szCs w:val="20"/>
              </w:rPr>
            </w:pPr>
            <w:r>
              <w:rPr>
                <w:rFonts w:ascii="Arial" w:eastAsia="Times New Roman" w:hAnsi="Arial" w:cs="Arial"/>
                <w:color w:val="000000"/>
                <w:sz w:val="20"/>
                <w:szCs w:val="20"/>
              </w:rPr>
              <w:t>0.908</w:t>
            </w:r>
          </w:p>
        </w:tc>
        <w:tc>
          <w:tcPr>
            <w:tcW w:w="1493" w:type="dxa"/>
            <w:tcBorders>
              <w:top w:val="nil"/>
              <w:left w:val="nil"/>
              <w:bottom w:val="nil"/>
              <w:right w:val="nil"/>
            </w:tcBorders>
            <w:vAlign w:val="bottom"/>
            <w:hideMark/>
          </w:tcPr>
          <w:p w14:paraId="5C802AAC"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11.894</w:t>
            </w:r>
          </w:p>
        </w:tc>
        <w:tc>
          <w:tcPr>
            <w:tcW w:w="1415" w:type="dxa"/>
            <w:tcBorders>
              <w:top w:val="nil"/>
              <w:left w:val="nil"/>
              <w:bottom w:val="nil"/>
              <w:right w:val="nil"/>
            </w:tcBorders>
            <w:vAlign w:val="bottom"/>
            <w:hideMark/>
          </w:tcPr>
          <w:p w14:paraId="3BF1FD60"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477</w:t>
            </w:r>
          </w:p>
        </w:tc>
      </w:tr>
      <w:tr w:rsidR="003230EF" w14:paraId="34EFF22C" w14:textId="77777777" w:rsidTr="003230EF">
        <w:tc>
          <w:tcPr>
            <w:tcW w:w="1384" w:type="dxa"/>
            <w:tcBorders>
              <w:top w:val="nil"/>
              <w:left w:val="nil"/>
              <w:bottom w:val="nil"/>
              <w:right w:val="nil"/>
            </w:tcBorders>
            <w:hideMark/>
          </w:tcPr>
          <w:p w14:paraId="770ED991" w14:textId="77777777" w:rsidR="003230EF" w:rsidRDefault="003230EF">
            <w:pPr>
              <w:rPr>
                <w:rFonts w:ascii="Arial" w:hAnsi="Arial" w:cs="Arial"/>
                <w:sz w:val="20"/>
                <w:szCs w:val="20"/>
              </w:rPr>
            </w:pPr>
            <w:r>
              <w:rPr>
                <w:rFonts w:ascii="Arial" w:hAnsi="Arial" w:cs="Arial"/>
                <w:sz w:val="20"/>
                <w:szCs w:val="20"/>
              </w:rPr>
              <w:t>FXST</w:t>
            </w:r>
          </w:p>
        </w:tc>
        <w:tc>
          <w:tcPr>
            <w:tcW w:w="1444" w:type="dxa"/>
            <w:tcBorders>
              <w:top w:val="nil"/>
              <w:left w:val="nil"/>
              <w:bottom w:val="nil"/>
              <w:right w:val="nil"/>
            </w:tcBorders>
            <w:vAlign w:val="bottom"/>
            <w:hideMark/>
          </w:tcPr>
          <w:p w14:paraId="0FBD986C"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0.00000017</w:t>
            </w:r>
          </w:p>
        </w:tc>
        <w:tc>
          <w:tcPr>
            <w:tcW w:w="1414" w:type="dxa"/>
            <w:tcBorders>
              <w:top w:val="nil"/>
              <w:left w:val="nil"/>
              <w:bottom w:val="nil"/>
              <w:right w:val="nil"/>
            </w:tcBorders>
            <w:vAlign w:val="bottom"/>
            <w:hideMark/>
          </w:tcPr>
          <w:p w14:paraId="778D2DBD"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0.00000013</w:t>
            </w:r>
          </w:p>
        </w:tc>
        <w:tc>
          <w:tcPr>
            <w:tcW w:w="1414" w:type="dxa"/>
            <w:tcBorders>
              <w:top w:val="nil"/>
              <w:left w:val="nil"/>
              <w:bottom w:val="nil"/>
              <w:right w:val="nil"/>
            </w:tcBorders>
            <w:vAlign w:val="bottom"/>
            <w:hideMark/>
          </w:tcPr>
          <w:p w14:paraId="7E20A8F0"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-0.00000009</w:t>
            </w:r>
          </w:p>
        </w:tc>
        <w:tc>
          <w:tcPr>
            <w:tcW w:w="1415" w:type="dxa"/>
            <w:tcBorders>
              <w:top w:val="nil"/>
              <w:left w:val="nil"/>
              <w:bottom w:val="nil"/>
              <w:right w:val="nil"/>
            </w:tcBorders>
            <w:vAlign w:val="bottom"/>
            <w:hideMark/>
          </w:tcPr>
          <w:p w14:paraId="45FDF400"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0.00000043</w:t>
            </w:r>
          </w:p>
        </w:tc>
        <w:tc>
          <w:tcPr>
            <w:tcW w:w="1415" w:type="dxa"/>
            <w:tcBorders>
              <w:top w:val="nil"/>
              <w:left w:val="nil"/>
              <w:bottom w:val="nil"/>
              <w:right w:val="nil"/>
            </w:tcBorders>
            <w:vAlign w:val="bottom"/>
            <w:hideMark/>
          </w:tcPr>
          <w:p w14:paraId="3A8684BC"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0.191</w:t>
            </w:r>
          </w:p>
        </w:tc>
        <w:tc>
          <w:tcPr>
            <w:tcW w:w="1415" w:type="dxa"/>
            <w:tcBorders>
              <w:top w:val="nil"/>
              <w:left w:val="nil"/>
              <w:bottom w:val="nil"/>
              <w:right w:val="nil"/>
            </w:tcBorders>
            <w:vAlign w:val="bottom"/>
            <w:hideMark/>
          </w:tcPr>
          <w:p w14:paraId="559EE6E1" w14:textId="77777777" w:rsidR="003230EF" w:rsidRDefault="003230EF">
            <w:pPr>
              <w:jc w:val="center"/>
              <w:rPr>
                <w:rFonts w:ascii="Arial" w:hAnsi="Arial" w:cs="Arial"/>
                <w:sz w:val="20"/>
                <w:szCs w:val="20"/>
              </w:rPr>
            </w:pPr>
            <w:r>
              <w:rPr>
                <w:rFonts w:ascii="Arial" w:eastAsia="Times New Roman" w:hAnsi="Arial" w:cs="Arial"/>
                <w:color w:val="000000"/>
                <w:sz w:val="20"/>
                <w:szCs w:val="20"/>
              </w:rPr>
              <w:t>0.902</w:t>
            </w:r>
          </w:p>
        </w:tc>
        <w:tc>
          <w:tcPr>
            <w:tcW w:w="1493" w:type="dxa"/>
            <w:tcBorders>
              <w:top w:val="nil"/>
              <w:left w:val="nil"/>
              <w:bottom w:val="nil"/>
              <w:right w:val="nil"/>
            </w:tcBorders>
            <w:vAlign w:val="bottom"/>
            <w:hideMark/>
          </w:tcPr>
          <w:p w14:paraId="4C0C239F"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14.567</w:t>
            </w:r>
          </w:p>
        </w:tc>
        <w:tc>
          <w:tcPr>
            <w:tcW w:w="1415" w:type="dxa"/>
            <w:tcBorders>
              <w:top w:val="nil"/>
              <w:left w:val="nil"/>
              <w:bottom w:val="nil"/>
              <w:right w:val="nil"/>
            </w:tcBorders>
            <w:vAlign w:val="bottom"/>
            <w:hideMark/>
          </w:tcPr>
          <w:p w14:paraId="08BF7B75"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477</w:t>
            </w:r>
          </w:p>
        </w:tc>
      </w:tr>
      <w:tr w:rsidR="003230EF" w14:paraId="3F6FFA4C" w14:textId="77777777" w:rsidTr="003230EF">
        <w:tc>
          <w:tcPr>
            <w:tcW w:w="1384" w:type="dxa"/>
            <w:tcBorders>
              <w:top w:val="nil"/>
              <w:left w:val="nil"/>
              <w:bottom w:val="nil"/>
              <w:right w:val="nil"/>
            </w:tcBorders>
            <w:hideMark/>
          </w:tcPr>
          <w:p w14:paraId="742A6470" w14:textId="77777777" w:rsidR="003230EF" w:rsidRDefault="003230EF">
            <w:pPr>
              <w:rPr>
                <w:rFonts w:ascii="Arial" w:hAnsi="Arial" w:cs="Arial"/>
                <w:sz w:val="20"/>
                <w:szCs w:val="20"/>
              </w:rPr>
            </w:pPr>
            <w:r>
              <w:rPr>
                <w:rFonts w:ascii="Arial" w:hAnsi="Arial" w:cs="Arial"/>
                <w:sz w:val="20"/>
                <w:szCs w:val="20"/>
              </w:rPr>
              <w:t>GCC</w:t>
            </w:r>
          </w:p>
        </w:tc>
        <w:tc>
          <w:tcPr>
            <w:tcW w:w="1444" w:type="dxa"/>
            <w:tcBorders>
              <w:top w:val="nil"/>
              <w:left w:val="nil"/>
              <w:bottom w:val="nil"/>
              <w:right w:val="nil"/>
            </w:tcBorders>
            <w:vAlign w:val="bottom"/>
            <w:hideMark/>
          </w:tcPr>
          <w:p w14:paraId="195C1074"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0.00000003</w:t>
            </w:r>
          </w:p>
        </w:tc>
        <w:tc>
          <w:tcPr>
            <w:tcW w:w="1414" w:type="dxa"/>
            <w:tcBorders>
              <w:top w:val="nil"/>
              <w:left w:val="nil"/>
              <w:bottom w:val="nil"/>
              <w:right w:val="nil"/>
            </w:tcBorders>
            <w:vAlign w:val="bottom"/>
            <w:hideMark/>
          </w:tcPr>
          <w:p w14:paraId="7BEFFE0A"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0.00000017</w:t>
            </w:r>
          </w:p>
        </w:tc>
        <w:tc>
          <w:tcPr>
            <w:tcW w:w="1414" w:type="dxa"/>
            <w:tcBorders>
              <w:top w:val="nil"/>
              <w:left w:val="nil"/>
              <w:bottom w:val="nil"/>
              <w:right w:val="nil"/>
            </w:tcBorders>
            <w:vAlign w:val="bottom"/>
            <w:hideMark/>
          </w:tcPr>
          <w:p w14:paraId="40F1C5E9"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-0.00000031</w:t>
            </w:r>
          </w:p>
        </w:tc>
        <w:tc>
          <w:tcPr>
            <w:tcW w:w="1415" w:type="dxa"/>
            <w:tcBorders>
              <w:top w:val="nil"/>
              <w:left w:val="nil"/>
              <w:bottom w:val="nil"/>
              <w:right w:val="nil"/>
            </w:tcBorders>
            <w:vAlign w:val="bottom"/>
            <w:hideMark/>
          </w:tcPr>
          <w:p w14:paraId="1642544A"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0.00000037</w:t>
            </w:r>
          </w:p>
        </w:tc>
        <w:tc>
          <w:tcPr>
            <w:tcW w:w="1415" w:type="dxa"/>
            <w:tcBorders>
              <w:top w:val="nil"/>
              <w:left w:val="nil"/>
              <w:bottom w:val="nil"/>
              <w:right w:val="nil"/>
            </w:tcBorders>
            <w:vAlign w:val="bottom"/>
            <w:hideMark/>
          </w:tcPr>
          <w:p w14:paraId="09A849CB"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0.872</w:t>
            </w:r>
          </w:p>
        </w:tc>
        <w:tc>
          <w:tcPr>
            <w:tcW w:w="1415" w:type="dxa"/>
            <w:tcBorders>
              <w:top w:val="nil"/>
              <w:left w:val="nil"/>
              <w:bottom w:val="nil"/>
              <w:right w:val="nil"/>
            </w:tcBorders>
            <w:vAlign w:val="bottom"/>
            <w:hideMark/>
          </w:tcPr>
          <w:p w14:paraId="182398FC" w14:textId="77777777" w:rsidR="003230EF" w:rsidRDefault="003230EF">
            <w:pPr>
              <w:jc w:val="center"/>
              <w:rPr>
                <w:rFonts w:ascii="Arial" w:hAnsi="Arial" w:cs="Arial"/>
                <w:sz w:val="20"/>
                <w:szCs w:val="20"/>
              </w:rPr>
            </w:pPr>
            <w:r>
              <w:rPr>
                <w:rFonts w:ascii="Arial" w:eastAsia="Times New Roman" w:hAnsi="Arial" w:cs="Arial"/>
                <w:color w:val="000000"/>
                <w:sz w:val="20"/>
                <w:szCs w:val="20"/>
              </w:rPr>
              <w:t>0.908</w:t>
            </w:r>
          </w:p>
        </w:tc>
        <w:tc>
          <w:tcPr>
            <w:tcW w:w="1493" w:type="dxa"/>
            <w:tcBorders>
              <w:top w:val="nil"/>
              <w:left w:val="nil"/>
              <w:bottom w:val="nil"/>
              <w:right w:val="nil"/>
            </w:tcBorders>
            <w:vAlign w:val="bottom"/>
            <w:hideMark/>
          </w:tcPr>
          <w:p w14:paraId="28B0C3C8"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w:t>
            </w:r>
          </w:p>
        </w:tc>
        <w:tc>
          <w:tcPr>
            <w:tcW w:w="1415" w:type="dxa"/>
            <w:tcBorders>
              <w:top w:val="nil"/>
              <w:left w:val="nil"/>
              <w:bottom w:val="nil"/>
              <w:right w:val="nil"/>
            </w:tcBorders>
            <w:vAlign w:val="bottom"/>
            <w:hideMark/>
          </w:tcPr>
          <w:p w14:paraId="20538708"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477</w:t>
            </w:r>
          </w:p>
        </w:tc>
      </w:tr>
      <w:tr w:rsidR="003230EF" w14:paraId="3CBBB1C3" w14:textId="77777777" w:rsidTr="003230EF">
        <w:tc>
          <w:tcPr>
            <w:tcW w:w="1384" w:type="dxa"/>
            <w:tcBorders>
              <w:top w:val="nil"/>
              <w:left w:val="nil"/>
              <w:bottom w:val="nil"/>
              <w:right w:val="nil"/>
            </w:tcBorders>
            <w:hideMark/>
          </w:tcPr>
          <w:p w14:paraId="45E21EE2" w14:textId="77777777" w:rsidR="003230EF" w:rsidRDefault="003230EF">
            <w:pPr>
              <w:rPr>
                <w:rFonts w:ascii="Arial" w:hAnsi="Arial" w:cs="Arial"/>
                <w:sz w:val="20"/>
                <w:szCs w:val="20"/>
              </w:rPr>
            </w:pPr>
            <w:r>
              <w:rPr>
                <w:rFonts w:ascii="Arial" w:hAnsi="Arial" w:cs="Arial"/>
                <w:sz w:val="20"/>
                <w:szCs w:val="20"/>
              </w:rPr>
              <w:t>IC</w:t>
            </w:r>
          </w:p>
        </w:tc>
        <w:tc>
          <w:tcPr>
            <w:tcW w:w="1444" w:type="dxa"/>
            <w:tcBorders>
              <w:top w:val="nil"/>
              <w:left w:val="nil"/>
              <w:bottom w:val="nil"/>
              <w:right w:val="nil"/>
            </w:tcBorders>
            <w:vAlign w:val="bottom"/>
            <w:hideMark/>
          </w:tcPr>
          <w:p w14:paraId="0EC7A5D0"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-0.00000008</w:t>
            </w:r>
          </w:p>
        </w:tc>
        <w:tc>
          <w:tcPr>
            <w:tcW w:w="1414" w:type="dxa"/>
            <w:tcBorders>
              <w:top w:val="nil"/>
              <w:left w:val="nil"/>
              <w:bottom w:val="nil"/>
              <w:right w:val="nil"/>
            </w:tcBorders>
            <w:vAlign w:val="bottom"/>
            <w:hideMark/>
          </w:tcPr>
          <w:p w14:paraId="1C30CAA5"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0.00000010</w:t>
            </w:r>
          </w:p>
        </w:tc>
        <w:tc>
          <w:tcPr>
            <w:tcW w:w="1414" w:type="dxa"/>
            <w:tcBorders>
              <w:top w:val="nil"/>
              <w:left w:val="nil"/>
              <w:bottom w:val="nil"/>
              <w:right w:val="nil"/>
            </w:tcBorders>
            <w:vAlign w:val="bottom"/>
            <w:hideMark/>
          </w:tcPr>
          <w:p w14:paraId="16DAEA9E"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-0.00000027</w:t>
            </w:r>
          </w:p>
        </w:tc>
        <w:tc>
          <w:tcPr>
            <w:tcW w:w="1415" w:type="dxa"/>
            <w:tcBorders>
              <w:top w:val="nil"/>
              <w:left w:val="nil"/>
              <w:bottom w:val="nil"/>
              <w:right w:val="nil"/>
            </w:tcBorders>
            <w:vAlign w:val="bottom"/>
            <w:hideMark/>
          </w:tcPr>
          <w:p w14:paraId="67677E98"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0.00000012</w:t>
            </w:r>
          </w:p>
        </w:tc>
        <w:tc>
          <w:tcPr>
            <w:tcW w:w="1415" w:type="dxa"/>
            <w:tcBorders>
              <w:top w:val="nil"/>
              <w:left w:val="nil"/>
              <w:bottom w:val="nil"/>
              <w:right w:val="nil"/>
            </w:tcBorders>
            <w:vAlign w:val="bottom"/>
            <w:hideMark/>
          </w:tcPr>
          <w:p w14:paraId="08708D33"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0.441</w:t>
            </w:r>
          </w:p>
        </w:tc>
        <w:tc>
          <w:tcPr>
            <w:tcW w:w="1415" w:type="dxa"/>
            <w:tcBorders>
              <w:top w:val="nil"/>
              <w:left w:val="nil"/>
              <w:bottom w:val="nil"/>
              <w:right w:val="nil"/>
            </w:tcBorders>
            <w:vAlign w:val="bottom"/>
            <w:hideMark/>
          </w:tcPr>
          <w:p w14:paraId="60E59A4B" w14:textId="77777777" w:rsidR="003230EF" w:rsidRDefault="003230EF">
            <w:pPr>
              <w:jc w:val="center"/>
              <w:rPr>
                <w:rFonts w:ascii="Arial" w:hAnsi="Arial" w:cs="Arial"/>
                <w:sz w:val="20"/>
                <w:szCs w:val="20"/>
              </w:rPr>
            </w:pPr>
            <w:r>
              <w:rPr>
                <w:rFonts w:ascii="Arial" w:eastAsia="Times New Roman" w:hAnsi="Arial" w:cs="Arial"/>
                <w:color w:val="000000"/>
                <w:sz w:val="20"/>
                <w:szCs w:val="20"/>
              </w:rPr>
              <w:t>0.902</w:t>
            </w:r>
          </w:p>
        </w:tc>
        <w:tc>
          <w:tcPr>
            <w:tcW w:w="1493" w:type="dxa"/>
            <w:tcBorders>
              <w:top w:val="nil"/>
              <w:left w:val="nil"/>
              <w:bottom w:val="nil"/>
              <w:right w:val="nil"/>
            </w:tcBorders>
            <w:vAlign w:val="bottom"/>
            <w:hideMark/>
          </w:tcPr>
          <w:p w14:paraId="635D14FF"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w:t>
            </w:r>
          </w:p>
        </w:tc>
        <w:tc>
          <w:tcPr>
            <w:tcW w:w="1415" w:type="dxa"/>
            <w:tcBorders>
              <w:top w:val="nil"/>
              <w:left w:val="nil"/>
              <w:bottom w:val="nil"/>
              <w:right w:val="nil"/>
            </w:tcBorders>
            <w:vAlign w:val="bottom"/>
            <w:hideMark/>
          </w:tcPr>
          <w:p w14:paraId="04FB6E1B"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477</w:t>
            </w:r>
          </w:p>
        </w:tc>
      </w:tr>
      <w:tr w:rsidR="003230EF" w14:paraId="129F997E" w14:textId="77777777" w:rsidTr="003230EF">
        <w:tc>
          <w:tcPr>
            <w:tcW w:w="1384" w:type="dxa"/>
            <w:tcBorders>
              <w:top w:val="nil"/>
              <w:left w:val="nil"/>
              <w:bottom w:val="nil"/>
              <w:right w:val="nil"/>
            </w:tcBorders>
            <w:hideMark/>
          </w:tcPr>
          <w:p w14:paraId="079F6946" w14:textId="77777777" w:rsidR="003230EF" w:rsidRDefault="003230EF">
            <w:pPr>
              <w:rPr>
                <w:rFonts w:ascii="Arial" w:hAnsi="Arial" w:cs="Arial"/>
                <w:sz w:val="20"/>
                <w:szCs w:val="20"/>
              </w:rPr>
            </w:pPr>
            <w:r>
              <w:rPr>
                <w:rFonts w:ascii="Arial" w:hAnsi="Arial" w:cs="Arial"/>
                <w:sz w:val="20"/>
                <w:szCs w:val="20"/>
              </w:rPr>
              <w:t>IFO</w:t>
            </w:r>
          </w:p>
        </w:tc>
        <w:tc>
          <w:tcPr>
            <w:tcW w:w="1444" w:type="dxa"/>
            <w:tcBorders>
              <w:top w:val="nil"/>
              <w:left w:val="nil"/>
              <w:bottom w:val="nil"/>
              <w:right w:val="nil"/>
            </w:tcBorders>
            <w:vAlign w:val="bottom"/>
            <w:hideMark/>
          </w:tcPr>
          <w:p w14:paraId="09965755"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0.00000043</w:t>
            </w:r>
          </w:p>
        </w:tc>
        <w:tc>
          <w:tcPr>
            <w:tcW w:w="1414" w:type="dxa"/>
            <w:tcBorders>
              <w:top w:val="nil"/>
              <w:left w:val="nil"/>
              <w:bottom w:val="nil"/>
              <w:right w:val="nil"/>
            </w:tcBorders>
            <w:vAlign w:val="bottom"/>
            <w:hideMark/>
          </w:tcPr>
          <w:p w14:paraId="67A1147E"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0.00000034</w:t>
            </w:r>
          </w:p>
        </w:tc>
        <w:tc>
          <w:tcPr>
            <w:tcW w:w="1414" w:type="dxa"/>
            <w:tcBorders>
              <w:top w:val="nil"/>
              <w:left w:val="nil"/>
              <w:bottom w:val="nil"/>
              <w:right w:val="nil"/>
            </w:tcBorders>
            <w:vAlign w:val="bottom"/>
            <w:hideMark/>
          </w:tcPr>
          <w:p w14:paraId="299C23F4"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-0.00000025</w:t>
            </w:r>
          </w:p>
        </w:tc>
        <w:tc>
          <w:tcPr>
            <w:tcW w:w="1415" w:type="dxa"/>
            <w:tcBorders>
              <w:top w:val="nil"/>
              <w:left w:val="nil"/>
              <w:bottom w:val="nil"/>
              <w:right w:val="nil"/>
            </w:tcBorders>
            <w:vAlign w:val="bottom"/>
            <w:hideMark/>
          </w:tcPr>
          <w:p w14:paraId="661C1CFB"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0.00000111</w:t>
            </w:r>
          </w:p>
        </w:tc>
        <w:tc>
          <w:tcPr>
            <w:tcW w:w="1415" w:type="dxa"/>
            <w:tcBorders>
              <w:top w:val="nil"/>
              <w:left w:val="nil"/>
              <w:bottom w:val="nil"/>
              <w:right w:val="nil"/>
            </w:tcBorders>
            <w:vAlign w:val="bottom"/>
            <w:hideMark/>
          </w:tcPr>
          <w:p w14:paraId="5F90C51D"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0.213</w:t>
            </w:r>
          </w:p>
        </w:tc>
        <w:tc>
          <w:tcPr>
            <w:tcW w:w="1415" w:type="dxa"/>
            <w:tcBorders>
              <w:top w:val="nil"/>
              <w:left w:val="nil"/>
              <w:bottom w:val="nil"/>
              <w:right w:val="nil"/>
            </w:tcBorders>
            <w:vAlign w:val="bottom"/>
            <w:hideMark/>
          </w:tcPr>
          <w:p w14:paraId="4FE6D402" w14:textId="77777777" w:rsidR="003230EF" w:rsidRDefault="003230EF">
            <w:pPr>
              <w:jc w:val="center"/>
              <w:rPr>
                <w:rFonts w:ascii="Arial" w:hAnsi="Arial" w:cs="Arial"/>
                <w:sz w:val="20"/>
                <w:szCs w:val="20"/>
              </w:rPr>
            </w:pPr>
            <w:r>
              <w:rPr>
                <w:rFonts w:ascii="Arial" w:eastAsia="Times New Roman" w:hAnsi="Arial" w:cs="Arial"/>
                <w:color w:val="000000"/>
                <w:sz w:val="20"/>
                <w:szCs w:val="20"/>
              </w:rPr>
              <w:t>0.902</w:t>
            </w:r>
          </w:p>
        </w:tc>
        <w:tc>
          <w:tcPr>
            <w:tcW w:w="1493" w:type="dxa"/>
            <w:tcBorders>
              <w:top w:val="nil"/>
              <w:left w:val="nil"/>
              <w:bottom w:val="nil"/>
              <w:right w:val="nil"/>
            </w:tcBorders>
            <w:vAlign w:val="bottom"/>
            <w:hideMark/>
          </w:tcPr>
          <w:p w14:paraId="65602ED6"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78.643</w:t>
            </w:r>
          </w:p>
        </w:tc>
        <w:tc>
          <w:tcPr>
            <w:tcW w:w="1415" w:type="dxa"/>
            <w:tcBorders>
              <w:top w:val="nil"/>
              <w:left w:val="nil"/>
              <w:bottom w:val="nil"/>
              <w:right w:val="nil"/>
            </w:tcBorders>
            <w:vAlign w:val="bottom"/>
            <w:hideMark/>
          </w:tcPr>
          <w:p w14:paraId="35F1A6FA"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477</w:t>
            </w:r>
          </w:p>
        </w:tc>
      </w:tr>
      <w:tr w:rsidR="003230EF" w14:paraId="7636CBBA" w14:textId="77777777" w:rsidTr="003230EF">
        <w:tc>
          <w:tcPr>
            <w:tcW w:w="1384" w:type="dxa"/>
            <w:tcBorders>
              <w:top w:val="nil"/>
              <w:left w:val="nil"/>
              <w:bottom w:val="nil"/>
              <w:right w:val="nil"/>
            </w:tcBorders>
            <w:hideMark/>
          </w:tcPr>
          <w:p w14:paraId="0FD033FE" w14:textId="77777777" w:rsidR="003230EF" w:rsidRDefault="003230EF">
            <w:pPr>
              <w:rPr>
                <w:rFonts w:ascii="Arial" w:hAnsi="Arial" w:cs="Arial"/>
                <w:sz w:val="20"/>
                <w:szCs w:val="20"/>
              </w:rPr>
            </w:pPr>
            <w:r>
              <w:rPr>
                <w:rFonts w:ascii="Arial" w:hAnsi="Arial" w:cs="Arial"/>
                <w:sz w:val="20"/>
                <w:szCs w:val="20"/>
              </w:rPr>
              <w:t>PCR</w:t>
            </w:r>
          </w:p>
        </w:tc>
        <w:tc>
          <w:tcPr>
            <w:tcW w:w="1444" w:type="dxa"/>
            <w:tcBorders>
              <w:top w:val="nil"/>
              <w:left w:val="nil"/>
              <w:bottom w:val="nil"/>
              <w:right w:val="nil"/>
            </w:tcBorders>
            <w:vAlign w:val="bottom"/>
            <w:hideMark/>
          </w:tcPr>
          <w:p w14:paraId="41675A1C"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0.00000013</w:t>
            </w:r>
          </w:p>
        </w:tc>
        <w:tc>
          <w:tcPr>
            <w:tcW w:w="1414" w:type="dxa"/>
            <w:tcBorders>
              <w:top w:val="nil"/>
              <w:left w:val="nil"/>
              <w:bottom w:val="nil"/>
              <w:right w:val="nil"/>
            </w:tcBorders>
            <w:vAlign w:val="bottom"/>
            <w:hideMark/>
          </w:tcPr>
          <w:p w14:paraId="34F8BEE9"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0.00000013</w:t>
            </w:r>
          </w:p>
        </w:tc>
        <w:tc>
          <w:tcPr>
            <w:tcW w:w="1414" w:type="dxa"/>
            <w:tcBorders>
              <w:top w:val="nil"/>
              <w:left w:val="nil"/>
              <w:bottom w:val="nil"/>
              <w:right w:val="nil"/>
            </w:tcBorders>
            <w:vAlign w:val="bottom"/>
            <w:hideMark/>
          </w:tcPr>
          <w:p w14:paraId="45C0C936"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-0.00000012</w:t>
            </w:r>
          </w:p>
        </w:tc>
        <w:tc>
          <w:tcPr>
            <w:tcW w:w="1415" w:type="dxa"/>
            <w:tcBorders>
              <w:top w:val="nil"/>
              <w:left w:val="nil"/>
              <w:bottom w:val="nil"/>
              <w:right w:val="nil"/>
            </w:tcBorders>
            <w:vAlign w:val="bottom"/>
            <w:hideMark/>
          </w:tcPr>
          <w:p w14:paraId="0FF3EAEC"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0.00000038</w:t>
            </w:r>
          </w:p>
        </w:tc>
        <w:tc>
          <w:tcPr>
            <w:tcW w:w="1415" w:type="dxa"/>
            <w:tcBorders>
              <w:top w:val="nil"/>
              <w:left w:val="nil"/>
              <w:bottom w:val="nil"/>
              <w:right w:val="nil"/>
            </w:tcBorders>
            <w:vAlign w:val="bottom"/>
            <w:hideMark/>
          </w:tcPr>
          <w:p w14:paraId="1B880C18"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0.301</w:t>
            </w:r>
          </w:p>
        </w:tc>
        <w:tc>
          <w:tcPr>
            <w:tcW w:w="1415" w:type="dxa"/>
            <w:tcBorders>
              <w:top w:val="nil"/>
              <w:left w:val="nil"/>
              <w:bottom w:val="nil"/>
              <w:right w:val="nil"/>
            </w:tcBorders>
            <w:vAlign w:val="bottom"/>
            <w:hideMark/>
          </w:tcPr>
          <w:p w14:paraId="4D44BC93" w14:textId="77777777" w:rsidR="003230EF" w:rsidRDefault="003230EF">
            <w:pPr>
              <w:jc w:val="center"/>
              <w:rPr>
                <w:rFonts w:ascii="Arial" w:hAnsi="Arial" w:cs="Arial"/>
                <w:sz w:val="20"/>
                <w:szCs w:val="20"/>
              </w:rPr>
            </w:pPr>
            <w:r>
              <w:rPr>
                <w:rFonts w:ascii="Arial" w:eastAsia="Times New Roman" w:hAnsi="Arial" w:cs="Arial"/>
                <w:color w:val="000000"/>
                <w:sz w:val="20"/>
                <w:szCs w:val="20"/>
              </w:rPr>
              <w:t>0.902</w:t>
            </w:r>
          </w:p>
        </w:tc>
        <w:tc>
          <w:tcPr>
            <w:tcW w:w="1493" w:type="dxa"/>
            <w:tcBorders>
              <w:top w:val="nil"/>
              <w:left w:val="nil"/>
              <w:bottom w:val="nil"/>
              <w:right w:val="nil"/>
            </w:tcBorders>
            <w:vAlign w:val="bottom"/>
            <w:hideMark/>
          </w:tcPr>
          <w:p w14:paraId="610334A8"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w:t>
            </w:r>
          </w:p>
        </w:tc>
        <w:tc>
          <w:tcPr>
            <w:tcW w:w="1415" w:type="dxa"/>
            <w:tcBorders>
              <w:top w:val="nil"/>
              <w:left w:val="nil"/>
              <w:bottom w:val="nil"/>
              <w:right w:val="nil"/>
            </w:tcBorders>
            <w:vAlign w:val="bottom"/>
            <w:hideMark/>
          </w:tcPr>
          <w:p w14:paraId="53080864"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477</w:t>
            </w:r>
          </w:p>
        </w:tc>
      </w:tr>
      <w:tr w:rsidR="003230EF" w14:paraId="3E6E763B" w14:textId="77777777" w:rsidTr="003230EF">
        <w:tc>
          <w:tcPr>
            <w:tcW w:w="1384" w:type="dxa"/>
            <w:tcBorders>
              <w:top w:val="nil"/>
              <w:left w:val="nil"/>
              <w:bottom w:val="nil"/>
              <w:right w:val="nil"/>
            </w:tcBorders>
            <w:hideMark/>
          </w:tcPr>
          <w:p w14:paraId="2F3291E3" w14:textId="77777777" w:rsidR="003230EF" w:rsidRDefault="003230EF">
            <w:pPr>
              <w:rPr>
                <w:rFonts w:ascii="Arial" w:hAnsi="Arial" w:cs="Arial"/>
                <w:sz w:val="20"/>
                <w:szCs w:val="20"/>
              </w:rPr>
            </w:pPr>
            <w:r>
              <w:rPr>
                <w:rFonts w:ascii="Arial" w:hAnsi="Arial" w:cs="Arial"/>
                <w:sz w:val="20"/>
                <w:szCs w:val="20"/>
              </w:rPr>
              <w:t>PLIC</w:t>
            </w:r>
          </w:p>
        </w:tc>
        <w:tc>
          <w:tcPr>
            <w:tcW w:w="1444" w:type="dxa"/>
            <w:tcBorders>
              <w:top w:val="nil"/>
              <w:left w:val="nil"/>
              <w:bottom w:val="nil"/>
              <w:right w:val="nil"/>
            </w:tcBorders>
            <w:vAlign w:val="bottom"/>
            <w:hideMark/>
          </w:tcPr>
          <w:p w14:paraId="421379EC"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-0.00000004</w:t>
            </w:r>
          </w:p>
        </w:tc>
        <w:tc>
          <w:tcPr>
            <w:tcW w:w="1414" w:type="dxa"/>
            <w:tcBorders>
              <w:top w:val="nil"/>
              <w:left w:val="nil"/>
              <w:bottom w:val="nil"/>
              <w:right w:val="nil"/>
            </w:tcBorders>
            <w:vAlign w:val="bottom"/>
            <w:hideMark/>
          </w:tcPr>
          <w:p w14:paraId="00391F04"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0.00000013</w:t>
            </w:r>
          </w:p>
        </w:tc>
        <w:tc>
          <w:tcPr>
            <w:tcW w:w="1414" w:type="dxa"/>
            <w:tcBorders>
              <w:top w:val="nil"/>
              <w:left w:val="nil"/>
              <w:bottom w:val="nil"/>
              <w:right w:val="nil"/>
            </w:tcBorders>
            <w:vAlign w:val="bottom"/>
            <w:hideMark/>
          </w:tcPr>
          <w:p w14:paraId="2A678C7C"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-0.00000028</w:t>
            </w:r>
          </w:p>
        </w:tc>
        <w:tc>
          <w:tcPr>
            <w:tcW w:w="1415" w:type="dxa"/>
            <w:tcBorders>
              <w:top w:val="nil"/>
              <w:left w:val="nil"/>
              <w:bottom w:val="nil"/>
              <w:right w:val="nil"/>
            </w:tcBorders>
            <w:vAlign w:val="bottom"/>
            <w:hideMark/>
          </w:tcPr>
          <w:p w14:paraId="61853515"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0.00000021</w:t>
            </w:r>
          </w:p>
        </w:tc>
        <w:tc>
          <w:tcPr>
            <w:tcW w:w="1415" w:type="dxa"/>
            <w:tcBorders>
              <w:top w:val="nil"/>
              <w:left w:val="nil"/>
              <w:bottom w:val="nil"/>
              <w:right w:val="nil"/>
            </w:tcBorders>
            <w:vAlign w:val="bottom"/>
            <w:hideMark/>
          </w:tcPr>
          <w:p w14:paraId="4E524C28"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0.761</w:t>
            </w:r>
          </w:p>
        </w:tc>
        <w:tc>
          <w:tcPr>
            <w:tcW w:w="1415" w:type="dxa"/>
            <w:tcBorders>
              <w:top w:val="nil"/>
              <w:left w:val="nil"/>
              <w:bottom w:val="nil"/>
              <w:right w:val="nil"/>
            </w:tcBorders>
            <w:vAlign w:val="bottom"/>
            <w:hideMark/>
          </w:tcPr>
          <w:p w14:paraId="46407917" w14:textId="77777777" w:rsidR="003230EF" w:rsidRDefault="003230EF">
            <w:pPr>
              <w:jc w:val="center"/>
              <w:rPr>
                <w:rFonts w:ascii="Arial" w:hAnsi="Arial" w:cs="Arial"/>
                <w:sz w:val="20"/>
                <w:szCs w:val="20"/>
              </w:rPr>
            </w:pPr>
            <w:r>
              <w:rPr>
                <w:rFonts w:ascii="Arial" w:eastAsia="Times New Roman" w:hAnsi="Arial" w:cs="Arial"/>
                <w:color w:val="000000"/>
                <w:sz w:val="20"/>
                <w:szCs w:val="20"/>
              </w:rPr>
              <w:t>0.902</w:t>
            </w:r>
          </w:p>
        </w:tc>
        <w:tc>
          <w:tcPr>
            <w:tcW w:w="1493" w:type="dxa"/>
            <w:tcBorders>
              <w:top w:val="nil"/>
              <w:left w:val="nil"/>
              <w:bottom w:val="nil"/>
              <w:right w:val="nil"/>
            </w:tcBorders>
            <w:vAlign w:val="bottom"/>
            <w:hideMark/>
          </w:tcPr>
          <w:p w14:paraId="32724A0A"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w:t>
            </w:r>
          </w:p>
        </w:tc>
        <w:tc>
          <w:tcPr>
            <w:tcW w:w="1415" w:type="dxa"/>
            <w:tcBorders>
              <w:top w:val="nil"/>
              <w:left w:val="nil"/>
              <w:bottom w:val="nil"/>
              <w:right w:val="nil"/>
            </w:tcBorders>
            <w:vAlign w:val="bottom"/>
            <w:hideMark/>
          </w:tcPr>
          <w:p w14:paraId="658F1D93"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477</w:t>
            </w:r>
          </w:p>
        </w:tc>
      </w:tr>
      <w:tr w:rsidR="003230EF" w14:paraId="346BF3C3" w14:textId="77777777" w:rsidTr="003230EF">
        <w:tc>
          <w:tcPr>
            <w:tcW w:w="1384" w:type="dxa"/>
            <w:tcBorders>
              <w:top w:val="nil"/>
              <w:left w:val="nil"/>
              <w:bottom w:val="nil"/>
              <w:right w:val="nil"/>
            </w:tcBorders>
            <w:hideMark/>
          </w:tcPr>
          <w:p w14:paraId="2EBA8981" w14:textId="77777777" w:rsidR="003230EF" w:rsidRDefault="003230EF">
            <w:pPr>
              <w:rPr>
                <w:rFonts w:ascii="Arial" w:hAnsi="Arial" w:cs="Arial"/>
                <w:sz w:val="20"/>
                <w:szCs w:val="20"/>
              </w:rPr>
            </w:pPr>
            <w:r>
              <w:rPr>
                <w:rFonts w:ascii="Arial" w:hAnsi="Arial" w:cs="Arial"/>
                <w:sz w:val="20"/>
                <w:szCs w:val="20"/>
              </w:rPr>
              <w:t>PTR</w:t>
            </w:r>
          </w:p>
        </w:tc>
        <w:tc>
          <w:tcPr>
            <w:tcW w:w="1444" w:type="dxa"/>
            <w:tcBorders>
              <w:top w:val="nil"/>
              <w:left w:val="nil"/>
              <w:bottom w:val="nil"/>
              <w:right w:val="nil"/>
            </w:tcBorders>
            <w:vAlign w:val="bottom"/>
            <w:hideMark/>
          </w:tcPr>
          <w:p w14:paraId="4539EC0F"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0.00000016</w:t>
            </w:r>
          </w:p>
        </w:tc>
        <w:tc>
          <w:tcPr>
            <w:tcW w:w="1414" w:type="dxa"/>
            <w:tcBorders>
              <w:top w:val="nil"/>
              <w:left w:val="nil"/>
              <w:bottom w:val="nil"/>
              <w:right w:val="nil"/>
            </w:tcBorders>
            <w:vAlign w:val="bottom"/>
            <w:hideMark/>
          </w:tcPr>
          <w:p w14:paraId="5A21DF41"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0.00000016</w:t>
            </w:r>
          </w:p>
        </w:tc>
        <w:tc>
          <w:tcPr>
            <w:tcW w:w="1414" w:type="dxa"/>
            <w:tcBorders>
              <w:top w:val="nil"/>
              <w:left w:val="nil"/>
              <w:bottom w:val="nil"/>
              <w:right w:val="nil"/>
            </w:tcBorders>
            <w:vAlign w:val="bottom"/>
            <w:hideMark/>
          </w:tcPr>
          <w:p w14:paraId="607E985A"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-0.00000015</w:t>
            </w:r>
          </w:p>
        </w:tc>
        <w:tc>
          <w:tcPr>
            <w:tcW w:w="1415" w:type="dxa"/>
            <w:tcBorders>
              <w:top w:val="nil"/>
              <w:left w:val="nil"/>
              <w:bottom w:val="nil"/>
              <w:right w:val="nil"/>
            </w:tcBorders>
            <w:vAlign w:val="bottom"/>
            <w:hideMark/>
          </w:tcPr>
          <w:p w14:paraId="73A7A96E"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0.00000047</w:t>
            </w:r>
          </w:p>
        </w:tc>
        <w:tc>
          <w:tcPr>
            <w:tcW w:w="1415" w:type="dxa"/>
            <w:tcBorders>
              <w:top w:val="nil"/>
              <w:left w:val="nil"/>
              <w:bottom w:val="nil"/>
              <w:right w:val="nil"/>
            </w:tcBorders>
            <w:vAlign w:val="bottom"/>
            <w:hideMark/>
          </w:tcPr>
          <w:p w14:paraId="021BE104"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0.316</w:t>
            </w:r>
          </w:p>
        </w:tc>
        <w:tc>
          <w:tcPr>
            <w:tcW w:w="1415" w:type="dxa"/>
            <w:tcBorders>
              <w:top w:val="nil"/>
              <w:left w:val="nil"/>
              <w:bottom w:val="nil"/>
              <w:right w:val="nil"/>
            </w:tcBorders>
            <w:vAlign w:val="bottom"/>
            <w:hideMark/>
          </w:tcPr>
          <w:p w14:paraId="02941A44" w14:textId="77777777" w:rsidR="003230EF" w:rsidRDefault="003230EF">
            <w:pPr>
              <w:jc w:val="center"/>
              <w:rPr>
                <w:rFonts w:ascii="Arial" w:hAnsi="Arial" w:cs="Arial"/>
                <w:sz w:val="20"/>
                <w:szCs w:val="20"/>
              </w:rPr>
            </w:pPr>
            <w:r>
              <w:rPr>
                <w:rFonts w:ascii="Arial" w:eastAsia="Times New Roman" w:hAnsi="Arial" w:cs="Arial"/>
                <w:color w:val="000000"/>
                <w:sz w:val="20"/>
                <w:szCs w:val="20"/>
              </w:rPr>
              <w:t>0.902</w:t>
            </w:r>
          </w:p>
        </w:tc>
        <w:tc>
          <w:tcPr>
            <w:tcW w:w="1493" w:type="dxa"/>
            <w:tcBorders>
              <w:top w:val="nil"/>
              <w:left w:val="nil"/>
              <w:bottom w:val="nil"/>
              <w:right w:val="nil"/>
            </w:tcBorders>
            <w:vAlign w:val="bottom"/>
            <w:hideMark/>
          </w:tcPr>
          <w:p w14:paraId="06C064F2"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11.768</w:t>
            </w:r>
          </w:p>
        </w:tc>
        <w:tc>
          <w:tcPr>
            <w:tcW w:w="1415" w:type="dxa"/>
            <w:tcBorders>
              <w:top w:val="nil"/>
              <w:left w:val="nil"/>
              <w:bottom w:val="nil"/>
              <w:right w:val="nil"/>
            </w:tcBorders>
            <w:vAlign w:val="bottom"/>
            <w:hideMark/>
          </w:tcPr>
          <w:p w14:paraId="1DED51E8"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477</w:t>
            </w:r>
          </w:p>
        </w:tc>
      </w:tr>
      <w:tr w:rsidR="003230EF" w14:paraId="492BB0C5" w14:textId="77777777" w:rsidTr="003230EF">
        <w:tc>
          <w:tcPr>
            <w:tcW w:w="1384" w:type="dxa"/>
            <w:tcBorders>
              <w:top w:val="nil"/>
              <w:left w:val="nil"/>
              <w:bottom w:val="nil"/>
              <w:right w:val="nil"/>
            </w:tcBorders>
            <w:hideMark/>
          </w:tcPr>
          <w:p w14:paraId="2C73563C" w14:textId="77777777" w:rsidR="003230EF" w:rsidRDefault="003230EF">
            <w:pPr>
              <w:rPr>
                <w:rFonts w:ascii="Arial" w:hAnsi="Arial" w:cs="Arial"/>
                <w:sz w:val="20"/>
                <w:szCs w:val="20"/>
              </w:rPr>
            </w:pPr>
            <w:r>
              <w:rPr>
                <w:rFonts w:ascii="Arial" w:hAnsi="Arial" w:cs="Arial"/>
                <w:sz w:val="20"/>
                <w:szCs w:val="20"/>
              </w:rPr>
              <w:t>RLIC</w:t>
            </w:r>
          </w:p>
        </w:tc>
        <w:tc>
          <w:tcPr>
            <w:tcW w:w="1444" w:type="dxa"/>
            <w:tcBorders>
              <w:top w:val="nil"/>
              <w:left w:val="nil"/>
              <w:bottom w:val="nil"/>
              <w:right w:val="nil"/>
            </w:tcBorders>
            <w:vAlign w:val="bottom"/>
            <w:hideMark/>
          </w:tcPr>
          <w:p w14:paraId="5FBFFFD5"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-0.00000012</w:t>
            </w:r>
          </w:p>
        </w:tc>
        <w:tc>
          <w:tcPr>
            <w:tcW w:w="1414" w:type="dxa"/>
            <w:tcBorders>
              <w:top w:val="nil"/>
              <w:left w:val="nil"/>
              <w:bottom w:val="nil"/>
              <w:right w:val="nil"/>
            </w:tcBorders>
            <w:vAlign w:val="bottom"/>
            <w:hideMark/>
          </w:tcPr>
          <w:p w14:paraId="63C66585"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0.00000011</w:t>
            </w:r>
          </w:p>
        </w:tc>
        <w:tc>
          <w:tcPr>
            <w:tcW w:w="1414" w:type="dxa"/>
            <w:tcBorders>
              <w:top w:val="nil"/>
              <w:left w:val="nil"/>
              <w:bottom w:val="nil"/>
              <w:right w:val="nil"/>
            </w:tcBorders>
            <w:vAlign w:val="bottom"/>
            <w:hideMark/>
          </w:tcPr>
          <w:p w14:paraId="4D3182AC"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-0.00000033</w:t>
            </w:r>
          </w:p>
        </w:tc>
        <w:tc>
          <w:tcPr>
            <w:tcW w:w="1415" w:type="dxa"/>
            <w:tcBorders>
              <w:top w:val="nil"/>
              <w:left w:val="nil"/>
              <w:bottom w:val="nil"/>
              <w:right w:val="nil"/>
            </w:tcBorders>
            <w:vAlign w:val="bottom"/>
            <w:hideMark/>
          </w:tcPr>
          <w:p w14:paraId="7F6ED4C6"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0.00000010</w:t>
            </w:r>
          </w:p>
        </w:tc>
        <w:tc>
          <w:tcPr>
            <w:tcW w:w="1415" w:type="dxa"/>
            <w:tcBorders>
              <w:top w:val="nil"/>
              <w:left w:val="nil"/>
              <w:bottom w:val="nil"/>
              <w:right w:val="nil"/>
            </w:tcBorders>
            <w:vAlign w:val="bottom"/>
            <w:hideMark/>
          </w:tcPr>
          <w:p w14:paraId="59E5BD65"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0.298</w:t>
            </w:r>
          </w:p>
        </w:tc>
        <w:tc>
          <w:tcPr>
            <w:tcW w:w="1415" w:type="dxa"/>
            <w:tcBorders>
              <w:top w:val="nil"/>
              <w:left w:val="nil"/>
              <w:bottom w:val="nil"/>
              <w:right w:val="nil"/>
            </w:tcBorders>
            <w:vAlign w:val="bottom"/>
            <w:hideMark/>
          </w:tcPr>
          <w:p w14:paraId="5D9FA322" w14:textId="77777777" w:rsidR="003230EF" w:rsidRDefault="003230EF">
            <w:pPr>
              <w:jc w:val="center"/>
              <w:rPr>
                <w:rFonts w:ascii="Arial" w:hAnsi="Arial" w:cs="Arial"/>
                <w:sz w:val="20"/>
                <w:szCs w:val="20"/>
              </w:rPr>
            </w:pPr>
            <w:r>
              <w:rPr>
                <w:rFonts w:ascii="Arial" w:eastAsia="Times New Roman" w:hAnsi="Arial" w:cs="Arial"/>
                <w:color w:val="000000"/>
                <w:sz w:val="20"/>
                <w:szCs w:val="20"/>
              </w:rPr>
              <w:t>0.902</w:t>
            </w:r>
          </w:p>
        </w:tc>
        <w:tc>
          <w:tcPr>
            <w:tcW w:w="1493" w:type="dxa"/>
            <w:tcBorders>
              <w:top w:val="nil"/>
              <w:left w:val="nil"/>
              <w:bottom w:val="nil"/>
              <w:right w:val="nil"/>
            </w:tcBorders>
            <w:vAlign w:val="bottom"/>
            <w:hideMark/>
          </w:tcPr>
          <w:p w14:paraId="50422837"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w:t>
            </w:r>
          </w:p>
        </w:tc>
        <w:tc>
          <w:tcPr>
            <w:tcW w:w="1415" w:type="dxa"/>
            <w:tcBorders>
              <w:top w:val="nil"/>
              <w:left w:val="nil"/>
              <w:bottom w:val="nil"/>
              <w:right w:val="nil"/>
            </w:tcBorders>
            <w:vAlign w:val="bottom"/>
            <w:hideMark/>
          </w:tcPr>
          <w:p w14:paraId="150DB028"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477</w:t>
            </w:r>
          </w:p>
        </w:tc>
      </w:tr>
      <w:tr w:rsidR="003230EF" w14:paraId="1DF14971" w14:textId="77777777" w:rsidTr="003230EF">
        <w:tc>
          <w:tcPr>
            <w:tcW w:w="1384" w:type="dxa"/>
            <w:tcBorders>
              <w:top w:val="nil"/>
              <w:left w:val="nil"/>
              <w:bottom w:val="nil"/>
              <w:right w:val="nil"/>
            </w:tcBorders>
            <w:hideMark/>
          </w:tcPr>
          <w:p w14:paraId="2C293EEC" w14:textId="77777777" w:rsidR="003230EF" w:rsidRDefault="003230EF">
            <w:pPr>
              <w:rPr>
                <w:rFonts w:ascii="Arial" w:hAnsi="Arial" w:cs="Arial"/>
                <w:sz w:val="20"/>
                <w:szCs w:val="20"/>
              </w:rPr>
            </w:pPr>
            <w:r>
              <w:rPr>
                <w:rFonts w:ascii="Arial" w:hAnsi="Arial" w:cs="Arial"/>
                <w:sz w:val="20"/>
                <w:szCs w:val="20"/>
              </w:rPr>
              <w:t>SCC</w:t>
            </w:r>
          </w:p>
        </w:tc>
        <w:tc>
          <w:tcPr>
            <w:tcW w:w="1444" w:type="dxa"/>
            <w:tcBorders>
              <w:top w:val="nil"/>
              <w:left w:val="nil"/>
              <w:bottom w:val="nil"/>
              <w:right w:val="nil"/>
            </w:tcBorders>
            <w:vAlign w:val="bottom"/>
            <w:hideMark/>
          </w:tcPr>
          <w:p w14:paraId="455FB6E8"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-0.00000005</w:t>
            </w:r>
          </w:p>
        </w:tc>
        <w:tc>
          <w:tcPr>
            <w:tcW w:w="1414" w:type="dxa"/>
            <w:tcBorders>
              <w:top w:val="nil"/>
              <w:left w:val="nil"/>
              <w:bottom w:val="nil"/>
              <w:right w:val="nil"/>
            </w:tcBorders>
            <w:vAlign w:val="bottom"/>
            <w:hideMark/>
          </w:tcPr>
          <w:p w14:paraId="03F8AD97"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0.00000016</w:t>
            </w:r>
          </w:p>
        </w:tc>
        <w:tc>
          <w:tcPr>
            <w:tcW w:w="1414" w:type="dxa"/>
            <w:tcBorders>
              <w:top w:val="nil"/>
              <w:left w:val="nil"/>
              <w:bottom w:val="nil"/>
              <w:right w:val="nil"/>
            </w:tcBorders>
            <w:vAlign w:val="bottom"/>
            <w:hideMark/>
          </w:tcPr>
          <w:p w14:paraId="76281C05"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-0.00000037</w:t>
            </w:r>
          </w:p>
        </w:tc>
        <w:tc>
          <w:tcPr>
            <w:tcW w:w="1415" w:type="dxa"/>
            <w:tcBorders>
              <w:top w:val="nil"/>
              <w:left w:val="nil"/>
              <w:bottom w:val="nil"/>
              <w:right w:val="nil"/>
            </w:tcBorders>
            <w:vAlign w:val="bottom"/>
            <w:hideMark/>
          </w:tcPr>
          <w:p w14:paraId="7BC7E56C"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0.00000027</w:t>
            </w:r>
          </w:p>
        </w:tc>
        <w:tc>
          <w:tcPr>
            <w:tcW w:w="1415" w:type="dxa"/>
            <w:tcBorders>
              <w:top w:val="nil"/>
              <w:left w:val="nil"/>
              <w:bottom w:val="nil"/>
              <w:right w:val="nil"/>
            </w:tcBorders>
            <w:vAlign w:val="bottom"/>
            <w:hideMark/>
          </w:tcPr>
          <w:p w14:paraId="3EB958F2"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0.775</w:t>
            </w:r>
          </w:p>
        </w:tc>
        <w:tc>
          <w:tcPr>
            <w:tcW w:w="1415" w:type="dxa"/>
            <w:tcBorders>
              <w:top w:val="nil"/>
              <w:left w:val="nil"/>
              <w:bottom w:val="nil"/>
              <w:right w:val="nil"/>
            </w:tcBorders>
            <w:vAlign w:val="bottom"/>
            <w:hideMark/>
          </w:tcPr>
          <w:p w14:paraId="6796075D" w14:textId="77777777" w:rsidR="003230EF" w:rsidRDefault="003230EF">
            <w:pPr>
              <w:jc w:val="center"/>
              <w:rPr>
                <w:rFonts w:ascii="Arial" w:hAnsi="Arial" w:cs="Arial"/>
                <w:sz w:val="20"/>
                <w:szCs w:val="20"/>
              </w:rPr>
            </w:pPr>
            <w:r>
              <w:rPr>
                <w:rFonts w:ascii="Arial" w:eastAsia="Times New Roman" w:hAnsi="Arial" w:cs="Arial"/>
                <w:color w:val="000000"/>
                <w:sz w:val="20"/>
                <w:szCs w:val="20"/>
              </w:rPr>
              <w:t>0.902</w:t>
            </w:r>
          </w:p>
        </w:tc>
        <w:tc>
          <w:tcPr>
            <w:tcW w:w="1493" w:type="dxa"/>
            <w:tcBorders>
              <w:top w:val="nil"/>
              <w:left w:val="nil"/>
              <w:bottom w:val="nil"/>
              <w:right w:val="nil"/>
            </w:tcBorders>
            <w:vAlign w:val="bottom"/>
            <w:hideMark/>
          </w:tcPr>
          <w:p w14:paraId="01A5779F"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15.737</w:t>
            </w:r>
          </w:p>
        </w:tc>
        <w:tc>
          <w:tcPr>
            <w:tcW w:w="1415" w:type="dxa"/>
            <w:tcBorders>
              <w:top w:val="nil"/>
              <w:left w:val="nil"/>
              <w:bottom w:val="nil"/>
              <w:right w:val="nil"/>
            </w:tcBorders>
            <w:vAlign w:val="bottom"/>
            <w:hideMark/>
          </w:tcPr>
          <w:p w14:paraId="43EAB367"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477</w:t>
            </w:r>
          </w:p>
        </w:tc>
      </w:tr>
      <w:tr w:rsidR="003230EF" w14:paraId="46A8304D" w14:textId="77777777" w:rsidTr="003230EF">
        <w:tc>
          <w:tcPr>
            <w:tcW w:w="1384" w:type="dxa"/>
            <w:tcBorders>
              <w:top w:val="nil"/>
              <w:left w:val="nil"/>
              <w:bottom w:val="nil"/>
              <w:right w:val="nil"/>
            </w:tcBorders>
            <w:hideMark/>
          </w:tcPr>
          <w:p w14:paraId="4C9B3CE1" w14:textId="77777777" w:rsidR="003230EF" w:rsidRDefault="003230EF">
            <w:pPr>
              <w:rPr>
                <w:rFonts w:ascii="Arial" w:hAnsi="Arial" w:cs="Arial"/>
                <w:sz w:val="20"/>
                <w:szCs w:val="20"/>
              </w:rPr>
            </w:pPr>
            <w:r>
              <w:rPr>
                <w:rFonts w:ascii="Arial" w:hAnsi="Arial" w:cs="Arial"/>
                <w:sz w:val="20"/>
                <w:szCs w:val="20"/>
              </w:rPr>
              <w:t>SCR</w:t>
            </w:r>
          </w:p>
        </w:tc>
        <w:tc>
          <w:tcPr>
            <w:tcW w:w="1444" w:type="dxa"/>
            <w:tcBorders>
              <w:top w:val="nil"/>
              <w:left w:val="nil"/>
              <w:bottom w:val="nil"/>
              <w:right w:val="nil"/>
            </w:tcBorders>
            <w:vAlign w:val="bottom"/>
            <w:hideMark/>
          </w:tcPr>
          <w:p w14:paraId="7A7B72DB"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0.00000011</w:t>
            </w:r>
          </w:p>
        </w:tc>
        <w:tc>
          <w:tcPr>
            <w:tcW w:w="1414" w:type="dxa"/>
            <w:tcBorders>
              <w:top w:val="nil"/>
              <w:left w:val="nil"/>
              <w:bottom w:val="nil"/>
              <w:right w:val="nil"/>
            </w:tcBorders>
            <w:vAlign w:val="bottom"/>
            <w:hideMark/>
          </w:tcPr>
          <w:p w14:paraId="6CF223B5"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0.00000010</w:t>
            </w:r>
          </w:p>
        </w:tc>
        <w:tc>
          <w:tcPr>
            <w:tcW w:w="1414" w:type="dxa"/>
            <w:tcBorders>
              <w:top w:val="nil"/>
              <w:left w:val="nil"/>
              <w:bottom w:val="nil"/>
              <w:right w:val="nil"/>
            </w:tcBorders>
            <w:vAlign w:val="bottom"/>
            <w:hideMark/>
          </w:tcPr>
          <w:p w14:paraId="2050C32D"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-0.00000009</w:t>
            </w:r>
          </w:p>
        </w:tc>
        <w:tc>
          <w:tcPr>
            <w:tcW w:w="1415" w:type="dxa"/>
            <w:tcBorders>
              <w:top w:val="nil"/>
              <w:left w:val="nil"/>
              <w:bottom w:val="nil"/>
              <w:right w:val="nil"/>
            </w:tcBorders>
            <w:vAlign w:val="bottom"/>
            <w:hideMark/>
          </w:tcPr>
          <w:p w14:paraId="555C68E4"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0.00000031</w:t>
            </w:r>
          </w:p>
        </w:tc>
        <w:tc>
          <w:tcPr>
            <w:tcW w:w="1415" w:type="dxa"/>
            <w:tcBorders>
              <w:top w:val="nil"/>
              <w:left w:val="nil"/>
              <w:bottom w:val="nil"/>
              <w:right w:val="nil"/>
            </w:tcBorders>
            <w:vAlign w:val="bottom"/>
            <w:hideMark/>
          </w:tcPr>
          <w:p w14:paraId="5530E0F9"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0.284</w:t>
            </w:r>
          </w:p>
        </w:tc>
        <w:tc>
          <w:tcPr>
            <w:tcW w:w="1415" w:type="dxa"/>
            <w:tcBorders>
              <w:top w:val="nil"/>
              <w:left w:val="nil"/>
              <w:bottom w:val="nil"/>
              <w:right w:val="nil"/>
            </w:tcBorders>
            <w:vAlign w:val="bottom"/>
            <w:hideMark/>
          </w:tcPr>
          <w:p w14:paraId="4F338ABF" w14:textId="77777777" w:rsidR="003230EF" w:rsidRDefault="003230EF">
            <w:pPr>
              <w:jc w:val="center"/>
              <w:rPr>
                <w:rFonts w:ascii="Arial" w:hAnsi="Arial" w:cs="Arial"/>
                <w:sz w:val="20"/>
                <w:szCs w:val="20"/>
              </w:rPr>
            </w:pPr>
            <w:r>
              <w:rPr>
                <w:rFonts w:ascii="Arial" w:eastAsia="Times New Roman" w:hAnsi="Arial" w:cs="Arial"/>
                <w:color w:val="000000"/>
                <w:sz w:val="20"/>
                <w:szCs w:val="20"/>
              </w:rPr>
              <w:t>0.902</w:t>
            </w:r>
          </w:p>
        </w:tc>
        <w:tc>
          <w:tcPr>
            <w:tcW w:w="1493" w:type="dxa"/>
            <w:tcBorders>
              <w:top w:val="nil"/>
              <w:left w:val="nil"/>
              <w:bottom w:val="nil"/>
              <w:right w:val="nil"/>
            </w:tcBorders>
            <w:vAlign w:val="bottom"/>
            <w:hideMark/>
          </w:tcPr>
          <w:p w14:paraId="075E9682"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w:t>
            </w:r>
          </w:p>
        </w:tc>
        <w:tc>
          <w:tcPr>
            <w:tcW w:w="1415" w:type="dxa"/>
            <w:tcBorders>
              <w:top w:val="nil"/>
              <w:left w:val="nil"/>
              <w:bottom w:val="nil"/>
              <w:right w:val="nil"/>
            </w:tcBorders>
            <w:vAlign w:val="bottom"/>
            <w:hideMark/>
          </w:tcPr>
          <w:p w14:paraId="52C0B9E4"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477</w:t>
            </w:r>
          </w:p>
        </w:tc>
      </w:tr>
      <w:tr w:rsidR="003230EF" w14:paraId="5CD5CD34" w14:textId="77777777" w:rsidTr="003230EF">
        <w:tc>
          <w:tcPr>
            <w:tcW w:w="1384" w:type="dxa"/>
            <w:tcBorders>
              <w:top w:val="nil"/>
              <w:left w:val="nil"/>
              <w:bottom w:val="nil"/>
              <w:right w:val="nil"/>
            </w:tcBorders>
            <w:hideMark/>
          </w:tcPr>
          <w:p w14:paraId="3D51D6F6" w14:textId="77777777" w:rsidR="003230EF" w:rsidRDefault="003230EF">
            <w:pPr>
              <w:rPr>
                <w:rFonts w:ascii="Arial" w:hAnsi="Arial" w:cs="Arial"/>
                <w:sz w:val="20"/>
                <w:szCs w:val="20"/>
              </w:rPr>
            </w:pPr>
            <w:r>
              <w:rPr>
                <w:rFonts w:ascii="Arial" w:hAnsi="Arial" w:cs="Arial"/>
                <w:sz w:val="20"/>
                <w:szCs w:val="20"/>
              </w:rPr>
              <w:t>SFO</w:t>
            </w:r>
          </w:p>
        </w:tc>
        <w:tc>
          <w:tcPr>
            <w:tcW w:w="1444" w:type="dxa"/>
            <w:tcBorders>
              <w:top w:val="nil"/>
              <w:left w:val="nil"/>
              <w:bottom w:val="nil"/>
              <w:right w:val="nil"/>
            </w:tcBorders>
            <w:vAlign w:val="bottom"/>
            <w:hideMark/>
          </w:tcPr>
          <w:p w14:paraId="07B05ECE"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0.00000005</w:t>
            </w:r>
          </w:p>
        </w:tc>
        <w:tc>
          <w:tcPr>
            <w:tcW w:w="1414" w:type="dxa"/>
            <w:tcBorders>
              <w:top w:val="nil"/>
              <w:left w:val="nil"/>
              <w:bottom w:val="nil"/>
              <w:right w:val="nil"/>
            </w:tcBorders>
            <w:vAlign w:val="bottom"/>
            <w:hideMark/>
          </w:tcPr>
          <w:p w14:paraId="1431CA99"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0.00000015</w:t>
            </w:r>
          </w:p>
        </w:tc>
        <w:tc>
          <w:tcPr>
            <w:tcW w:w="1414" w:type="dxa"/>
            <w:tcBorders>
              <w:top w:val="nil"/>
              <w:left w:val="nil"/>
              <w:bottom w:val="nil"/>
              <w:right w:val="nil"/>
            </w:tcBorders>
            <w:vAlign w:val="bottom"/>
            <w:hideMark/>
          </w:tcPr>
          <w:p w14:paraId="5536072E"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-0.00000023</w:t>
            </w:r>
          </w:p>
        </w:tc>
        <w:tc>
          <w:tcPr>
            <w:tcW w:w="1415" w:type="dxa"/>
            <w:tcBorders>
              <w:top w:val="nil"/>
              <w:left w:val="nil"/>
              <w:bottom w:val="nil"/>
              <w:right w:val="nil"/>
            </w:tcBorders>
            <w:vAlign w:val="bottom"/>
            <w:hideMark/>
          </w:tcPr>
          <w:p w14:paraId="14BE4103"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0.00000034</w:t>
            </w:r>
          </w:p>
        </w:tc>
        <w:tc>
          <w:tcPr>
            <w:tcW w:w="1415" w:type="dxa"/>
            <w:tcBorders>
              <w:top w:val="nil"/>
              <w:left w:val="nil"/>
              <w:bottom w:val="nil"/>
              <w:right w:val="nil"/>
            </w:tcBorders>
            <w:vAlign w:val="bottom"/>
            <w:hideMark/>
          </w:tcPr>
          <w:p w14:paraId="61D0C6A3"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0.718</w:t>
            </w:r>
          </w:p>
        </w:tc>
        <w:tc>
          <w:tcPr>
            <w:tcW w:w="1415" w:type="dxa"/>
            <w:tcBorders>
              <w:top w:val="nil"/>
              <w:left w:val="nil"/>
              <w:bottom w:val="nil"/>
              <w:right w:val="nil"/>
            </w:tcBorders>
            <w:vAlign w:val="bottom"/>
            <w:hideMark/>
          </w:tcPr>
          <w:p w14:paraId="21613E0C" w14:textId="77777777" w:rsidR="003230EF" w:rsidRDefault="003230EF">
            <w:pPr>
              <w:jc w:val="center"/>
              <w:rPr>
                <w:rFonts w:ascii="Arial" w:hAnsi="Arial" w:cs="Arial"/>
                <w:sz w:val="20"/>
                <w:szCs w:val="20"/>
              </w:rPr>
            </w:pPr>
            <w:r>
              <w:rPr>
                <w:rFonts w:ascii="Arial" w:eastAsia="Times New Roman" w:hAnsi="Arial" w:cs="Arial"/>
                <w:color w:val="000000"/>
                <w:sz w:val="20"/>
                <w:szCs w:val="20"/>
              </w:rPr>
              <w:t>0.902</w:t>
            </w:r>
          </w:p>
        </w:tc>
        <w:tc>
          <w:tcPr>
            <w:tcW w:w="1493" w:type="dxa"/>
            <w:tcBorders>
              <w:top w:val="nil"/>
              <w:left w:val="nil"/>
              <w:bottom w:val="nil"/>
              <w:right w:val="nil"/>
            </w:tcBorders>
            <w:vAlign w:val="bottom"/>
            <w:hideMark/>
          </w:tcPr>
          <w:p w14:paraId="2A961C3E"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w:t>
            </w:r>
          </w:p>
        </w:tc>
        <w:tc>
          <w:tcPr>
            <w:tcW w:w="1415" w:type="dxa"/>
            <w:tcBorders>
              <w:top w:val="nil"/>
              <w:left w:val="nil"/>
              <w:bottom w:val="nil"/>
              <w:right w:val="nil"/>
            </w:tcBorders>
            <w:vAlign w:val="bottom"/>
            <w:hideMark/>
          </w:tcPr>
          <w:p w14:paraId="5BC62DBF"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477</w:t>
            </w:r>
          </w:p>
        </w:tc>
      </w:tr>
      <w:tr w:rsidR="003230EF" w14:paraId="21B2B24C" w14:textId="77777777" w:rsidTr="003230EF">
        <w:tc>
          <w:tcPr>
            <w:tcW w:w="1384" w:type="dxa"/>
            <w:tcBorders>
              <w:top w:val="nil"/>
              <w:left w:val="nil"/>
              <w:bottom w:val="nil"/>
              <w:right w:val="nil"/>
            </w:tcBorders>
            <w:hideMark/>
          </w:tcPr>
          <w:p w14:paraId="112E3569" w14:textId="77777777" w:rsidR="003230EF" w:rsidRDefault="003230EF">
            <w:pPr>
              <w:rPr>
                <w:rFonts w:ascii="Arial" w:hAnsi="Arial" w:cs="Arial"/>
                <w:sz w:val="20"/>
                <w:szCs w:val="20"/>
              </w:rPr>
            </w:pPr>
            <w:r>
              <w:rPr>
                <w:rFonts w:ascii="Arial" w:hAnsi="Arial" w:cs="Arial"/>
                <w:sz w:val="20"/>
                <w:szCs w:val="20"/>
              </w:rPr>
              <w:t>SLF</w:t>
            </w:r>
          </w:p>
        </w:tc>
        <w:tc>
          <w:tcPr>
            <w:tcW w:w="1444" w:type="dxa"/>
            <w:tcBorders>
              <w:top w:val="nil"/>
              <w:left w:val="nil"/>
              <w:bottom w:val="nil"/>
              <w:right w:val="nil"/>
            </w:tcBorders>
            <w:vAlign w:val="bottom"/>
            <w:hideMark/>
          </w:tcPr>
          <w:p w14:paraId="34C3B7BD"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0.00000003</w:t>
            </w:r>
          </w:p>
        </w:tc>
        <w:tc>
          <w:tcPr>
            <w:tcW w:w="1414" w:type="dxa"/>
            <w:tcBorders>
              <w:top w:val="nil"/>
              <w:left w:val="nil"/>
              <w:bottom w:val="nil"/>
              <w:right w:val="nil"/>
            </w:tcBorders>
            <w:vAlign w:val="bottom"/>
            <w:hideMark/>
          </w:tcPr>
          <w:p w14:paraId="536CA926"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0.00000010</w:t>
            </w:r>
          </w:p>
        </w:tc>
        <w:tc>
          <w:tcPr>
            <w:tcW w:w="1414" w:type="dxa"/>
            <w:tcBorders>
              <w:top w:val="nil"/>
              <w:left w:val="nil"/>
              <w:bottom w:val="nil"/>
              <w:right w:val="nil"/>
            </w:tcBorders>
            <w:vAlign w:val="bottom"/>
            <w:hideMark/>
          </w:tcPr>
          <w:p w14:paraId="0AA1E855"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-0.00000016</w:t>
            </w:r>
          </w:p>
        </w:tc>
        <w:tc>
          <w:tcPr>
            <w:tcW w:w="1415" w:type="dxa"/>
            <w:tcBorders>
              <w:top w:val="nil"/>
              <w:left w:val="nil"/>
              <w:bottom w:val="nil"/>
              <w:right w:val="nil"/>
            </w:tcBorders>
            <w:vAlign w:val="bottom"/>
            <w:hideMark/>
          </w:tcPr>
          <w:p w14:paraId="005AA9F9"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0.00000023</w:t>
            </w:r>
          </w:p>
        </w:tc>
        <w:tc>
          <w:tcPr>
            <w:tcW w:w="1415" w:type="dxa"/>
            <w:tcBorders>
              <w:top w:val="nil"/>
              <w:left w:val="nil"/>
              <w:bottom w:val="nil"/>
              <w:right w:val="nil"/>
            </w:tcBorders>
            <w:vAlign w:val="bottom"/>
            <w:hideMark/>
          </w:tcPr>
          <w:p w14:paraId="31376590"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0.737</w:t>
            </w:r>
          </w:p>
        </w:tc>
        <w:tc>
          <w:tcPr>
            <w:tcW w:w="1415" w:type="dxa"/>
            <w:tcBorders>
              <w:top w:val="nil"/>
              <w:left w:val="nil"/>
              <w:bottom w:val="nil"/>
              <w:right w:val="nil"/>
            </w:tcBorders>
            <w:vAlign w:val="bottom"/>
            <w:hideMark/>
          </w:tcPr>
          <w:p w14:paraId="35401051" w14:textId="77777777" w:rsidR="003230EF" w:rsidRDefault="003230EF">
            <w:pPr>
              <w:jc w:val="center"/>
              <w:rPr>
                <w:rFonts w:ascii="Arial" w:hAnsi="Arial" w:cs="Arial"/>
                <w:sz w:val="20"/>
                <w:szCs w:val="20"/>
              </w:rPr>
            </w:pPr>
            <w:r>
              <w:rPr>
                <w:rFonts w:ascii="Arial" w:eastAsia="Times New Roman" w:hAnsi="Arial" w:cs="Arial"/>
                <w:color w:val="000000"/>
                <w:sz w:val="20"/>
                <w:szCs w:val="20"/>
              </w:rPr>
              <w:t>0.902</w:t>
            </w:r>
          </w:p>
        </w:tc>
        <w:tc>
          <w:tcPr>
            <w:tcW w:w="1493" w:type="dxa"/>
            <w:tcBorders>
              <w:top w:val="nil"/>
              <w:left w:val="nil"/>
              <w:bottom w:val="nil"/>
              <w:right w:val="nil"/>
            </w:tcBorders>
            <w:vAlign w:val="bottom"/>
            <w:hideMark/>
          </w:tcPr>
          <w:p w14:paraId="75BED4D4"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w:t>
            </w:r>
          </w:p>
        </w:tc>
        <w:tc>
          <w:tcPr>
            <w:tcW w:w="1415" w:type="dxa"/>
            <w:tcBorders>
              <w:top w:val="nil"/>
              <w:left w:val="nil"/>
              <w:bottom w:val="nil"/>
              <w:right w:val="nil"/>
            </w:tcBorders>
            <w:vAlign w:val="bottom"/>
            <w:hideMark/>
          </w:tcPr>
          <w:p w14:paraId="34F7CE50"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477</w:t>
            </w:r>
          </w:p>
        </w:tc>
      </w:tr>
      <w:tr w:rsidR="003230EF" w14:paraId="19A48307" w14:textId="77777777" w:rsidTr="003230EF">
        <w:tc>
          <w:tcPr>
            <w:tcW w:w="1384" w:type="dxa"/>
            <w:tcBorders>
              <w:top w:val="nil"/>
              <w:left w:val="nil"/>
              <w:bottom w:val="nil"/>
              <w:right w:val="nil"/>
            </w:tcBorders>
            <w:hideMark/>
          </w:tcPr>
          <w:p w14:paraId="5F6EE247" w14:textId="77777777" w:rsidR="003230EF" w:rsidRDefault="003230EF">
            <w:pPr>
              <w:rPr>
                <w:rFonts w:ascii="Arial" w:hAnsi="Arial" w:cs="Arial"/>
                <w:sz w:val="20"/>
                <w:szCs w:val="20"/>
              </w:rPr>
            </w:pPr>
            <w:r>
              <w:rPr>
                <w:rFonts w:ascii="Arial" w:hAnsi="Arial" w:cs="Arial"/>
                <w:sz w:val="20"/>
                <w:szCs w:val="20"/>
              </w:rPr>
              <w:t>SS</w:t>
            </w:r>
          </w:p>
        </w:tc>
        <w:tc>
          <w:tcPr>
            <w:tcW w:w="1444" w:type="dxa"/>
            <w:tcBorders>
              <w:top w:val="nil"/>
              <w:left w:val="nil"/>
              <w:bottom w:val="nil"/>
              <w:right w:val="nil"/>
            </w:tcBorders>
            <w:vAlign w:val="bottom"/>
            <w:hideMark/>
          </w:tcPr>
          <w:p w14:paraId="3BEBA160"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0.00000009</w:t>
            </w:r>
          </w:p>
        </w:tc>
        <w:tc>
          <w:tcPr>
            <w:tcW w:w="1414" w:type="dxa"/>
            <w:tcBorders>
              <w:top w:val="nil"/>
              <w:left w:val="nil"/>
              <w:bottom w:val="nil"/>
              <w:right w:val="nil"/>
            </w:tcBorders>
            <w:vAlign w:val="bottom"/>
            <w:hideMark/>
          </w:tcPr>
          <w:p w14:paraId="599AA2B6"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0.00000016</w:t>
            </w:r>
          </w:p>
        </w:tc>
        <w:tc>
          <w:tcPr>
            <w:tcW w:w="1414" w:type="dxa"/>
            <w:tcBorders>
              <w:top w:val="nil"/>
              <w:left w:val="nil"/>
              <w:bottom w:val="nil"/>
              <w:right w:val="nil"/>
            </w:tcBorders>
            <w:vAlign w:val="bottom"/>
            <w:hideMark/>
          </w:tcPr>
          <w:p w14:paraId="1C60FADC"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-0.00000023</w:t>
            </w:r>
          </w:p>
        </w:tc>
        <w:tc>
          <w:tcPr>
            <w:tcW w:w="1415" w:type="dxa"/>
            <w:tcBorders>
              <w:top w:val="nil"/>
              <w:left w:val="nil"/>
              <w:bottom w:val="nil"/>
              <w:right w:val="nil"/>
            </w:tcBorders>
            <w:vAlign w:val="bottom"/>
            <w:hideMark/>
          </w:tcPr>
          <w:p w14:paraId="4F847C20"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0.00000040</w:t>
            </w:r>
          </w:p>
        </w:tc>
        <w:tc>
          <w:tcPr>
            <w:tcW w:w="1415" w:type="dxa"/>
            <w:tcBorders>
              <w:top w:val="nil"/>
              <w:left w:val="nil"/>
              <w:bottom w:val="nil"/>
              <w:right w:val="nil"/>
            </w:tcBorders>
            <w:vAlign w:val="bottom"/>
            <w:hideMark/>
          </w:tcPr>
          <w:p w14:paraId="289AA5ED"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0.585</w:t>
            </w:r>
          </w:p>
        </w:tc>
        <w:tc>
          <w:tcPr>
            <w:tcW w:w="1415" w:type="dxa"/>
            <w:tcBorders>
              <w:top w:val="nil"/>
              <w:left w:val="nil"/>
              <w:bottom w:val="nil"/>
              <w:right w:val="nil"/>
            </w:tcBorders>
            <w:vAlign w:val="bottom"/>
            <w:hideMark/>
          </w:tcPr>
          <w:p w14:paraId="4FDC47D1" w14:textId="77777777" w:rsidR="003230EF" w:rsidRDefault="003230EF">
            <w:pPr>
              <w:jc w:val="center"/>
              <w:rPr>
                <w:rFonts w:ascii="Arial" w:hAnsi="Arial" w:cs="Arial"/>
                <w:sz w:val="20"/>
                <w:szCs w:val="20"/>
              </w:rPr>
            </w:pPr>
            <w:r>
              <w:rPr>
                <w:rFonts w:ascii="Arial" w:eastAsia="Times New Roman" w:hAnsi="Arial" w:cs="Arial"/>
                <w:color w:val="000000"/>
                <w:sz w:val="20"/>
                <w:szCs w:val="20"/>
              </w:rPr>
              <w:t>0.902</w:t>
            </w:r>
          </w:p>
        </w:tc>
        <w:tc>
          <w:tcPr>
            <w:tcW w:w="1493" w:type="dxa"/>
            <w:tcBorders>
              <w:top w:val="nil"/>
              <w:left w:val="nil"/>
              <w:bottom w:val="nil"/>
              <w:right w:val="nil"/>
            </w:tcBorders>
            <w:vAlign w:val="bottom"/>
            <w:hideMark/>
          </w:tcPr>
          <w:p w14:paraId="50BC0B25"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20.731</w:t>
            </w:r>
          </w:p>
        </w:tc>
        <w:tc>
          <w:tcPr>
            <w:tcW w:w="1415" w:type="dxa"/>
            <w:tcBorders>
              <w:top w:val="nil"/>
              <w:left w:val="nil"/>
              <w:bottom w:val="nil"/>
              <w:right w:val="nil"/>
            </w:tcBorders>
            <w:vAlign w:val="bottom"/>
            <w:hideMark/>
          </w:tcPr>
          <w:p w14:paraId="59046BB2"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477</w:t>
            </w:r>
          </w:p>
        </w:tc>
      </w:tr>
      <w:tr w:rsidR="003230EF" w14:paraId="5D41DA62" w14:textId="77777777" w:rsidTr="003230EF">
        <w:tc>
          <w:tcPr>
            <w:tcW w:w="1384" w:type="dxa"/>
            <w:tcBorders>
              <w:top w:val="nil"/>
              <w:left w:val="nil"/>
              <w:bottom w:val="nil"/>
              <w:right w:val="nil"/>
            </w:tcBorders>
            <w:hideMark/>
          </w:tcPr>
          <w:p w14:paraId="57436494" w14:textId="77777777" w:rsidR="003230EF" w:rsidRDefault="003230EF">
            <w:pPr>
              <w:rPr>
                <w:rFonts w:ascii="Arial" w:hAnsi="Arial" w:cs="Arial"/>
                <w:sz w:val="20"/>
                <w:szCs w:val="20"/>
              </w:rPr>
            </w:pPr>
            <w:r>
              <w:rPr>
                <w:rFonts w:ascii="Arial" w:hAnsi="Arial" w:cs="Arial"/>
                <w:sz w:val="20"/>
                <w:szCs w:val="20"/>
              </w:rPr>
              <w:t>UNC</w:t>
            </w:r>
          </w:p>
        </w:tc>
        <w:tc>
          <w:tcPr>
            <w:tcW w:w="1444" w:type="dxa"/>
            <w:tcBorders>
              <w:top w:val="nil"/>
              <w:left w:val="nil"/>
              <w:bottom w:val="nil"/>
              <w:right w:val="nil"/>
            </w:tcBorders>
            <w:vAlign w:val="bottom"/>
            <w:hideMark/>
          </w:tcPr>
          <w:p w14:paraId="4F767514"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0.00000022</w:t>
            </w:r>
          </w:p>
        </w:tc>
        <w:tc>
          <w:tcPr>
            <w:tcW w:w="1414" w:type="dxa"/>
            <w:tcBorders>
              <w:top w:val="nil"/>
              <w:left w:val="nil"/>
              <w:bottom w:val="nil"/>
              <w:right w:val="nil"/>
            </w:tcBorders>
            <w:vAlign w:val="bottom"/>
            <w:hideMark/>
          </w:tcPr>
          <w:p w14:paraId="0E766F03"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0.00000024</w:t>
            </w:r>
          </w:p>
        </w:tc>
        <w:tc>
          <w:tcPr>
            <w:tcW w:w="1414" w:type="dxa"/>
            <w:tcBorders>
              <w:top w:val="nil"/>
              <w:left w:val="nil"/>
              <w:bottom w:val="nil"/>
              <w:right w:val="nil"/>
            </w:tcBorders>
            <w:vAlign w:val="bottom"/>
            <w:hideMark/>
          </w:tcPr>
          <w:p w14:paraId="708D8B65"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-0.00000025</w:t>
            </w:r>
          </w:p>
        </w:tc>
        <w:tc>
          <w:tcPr>
            <w:tcW w:w="1415" w:type="dxa"/>
            <w:tcBorders>
              <w:top w:val="nil"/>
              <w:left w:val="nil"/>
              <w:bottom w:val="nil"/>
              <w:right w:val="nil"/>
            </w:tcBorders>
            <w:vAlign w:val="bottom"/>
            <w:hideMark/>
          </w:tcPr>
          <w:p w14:paraId="0129A292"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0.00000070</w:t>
            </w:r>
          </w:p>
        </w:tc>
        <w:tc>
          <w:tcPr>
            <w:tcW w:w="1415" w:type="dxa"/>
            <w:tcBorders>
              <w:top w:val="nil"/>
              <w:left w:val="nil"/>
              <w:bottom w:val="nil"/>
              <w:right w:val="nil"/>
            </w:tcBorders>
            <w:vAlign w:val="bottom"/>
            <w:hideMark/>
          </w:tcPr>
          <w:p w14:paraId="354E7EB3"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0.353</w:t>
            </w:r>
          </w:p>
        </w:tc>
        <w:tc>
          <w:tcPr>
            <w:tcW w:w="1415" w:type="dxa"/>
            <w:tcBorders>
              <w:top w:val="nil"/>
              <w:left w:val="nil"/>
              <w:bottom w:val="nil"/>
              <w:right w:val="nil"/>
            </w:tcBorders>
            <w:vAlign w:val="bottom"/>
            <w:hideMark/>
          </w:tcPr>
          <w:p w14:paraId="1F5F73B2" w14:textId="77777777" w:rsidR="003230EF" w:rsidRDefault="003230EF">
            <w:pPr>
              <w:jc w:val="center"/>
              <w:rPr>
                <w:rFonts w:ascii="Arial" w:hAnsi="Arial" w:cs="Arial"/>
                <w:sz w:val="20"/>
                <w:szCs w:val="20"/>
              </w:rPr>
            </w:pPr>
            <w:r>
              <w:rPr>
                <w:rFonts w:ascii="Arial" w:eastAsia="Times New Roman" w:hAnsi="Arial" w:cs="Arial"/>
                <w:color w:val="000000"/>
                <w:sz w:val="20"/>
                <w:szCs w:val="20"/>
              </w:rPr>
              <w:t>0.902</w:t>
            </w:r>
          </w:p>
        </w:tc>
        <w:tc>
          <w:tcPr>
            <w:tcW w:w="1493" w:type="dxa"/>
            <w:tcBorders>
              <w:top w:val="nil"/>
              <w:left w:val="nil"/>
              <w:bottom w:val="nil"/>
              <w:right w:val="nil"/>
            </w:tcBorders>
            <w:vAlign w:val="bottom"/>
            <w:hideMark/>
          </w:tcPr>
          <w:p w14:paraId="2BE62A67"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w:t>
            </w:r>
          </w:p>
        </w:tc>
        <w:tc>
          <w:tcPr>
            <w:tcW w:w="1415" w:type="dxa"/>
            <w:tcBorders>
              <w:top w:val="nil"/>
              <w:left w:val="nil"/>
              <w:bottom w:val="nil"/>
              <w:right w:val="nil"/>
            </w:tcBorders>
            <w:vAlign w:val="bottom"/>
            <w:hideMark/>
          </w:tcPr>
          <w:p w14:paraId="37F56C20"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477</w:t>
            </w:r>
          </w:p>
        </w:tc>
      </w:tr>
      <w:tr w:rsidR="003230EF" w14:paraId="6ECE44CD" w14:textId="77777777" w:rsidTr="003230EF">
        <w:trPr>
          <w:trHeight w:val="206"/>
        </w:trPr>
        <w:tc>
          <w:tcPr>
            <w:tcW w:w="1384" w:type="dxa"/>
            <w:tcBorders>
              <w:top w:val="nil"/>
              <w:left w:val="nil"/>
              <w:bottom w:val="single" w:sz="4" w:space="0" w:color="auto"/>
              <w:right w:val="nil"/>
            </w:tcBorders>
            <w:hideMark/>
          </w:tcPr>
          <w:p w14:paraId="4263C029" w14:textId="77777777" w:rsidR="003230EF" w:rsidRDefault="003230EF">
            <w:pPr>
              <w:rPr>
                <w:rFonts w:ascii="Arial" w:hAnsi="Arial" w:cs="Arial"/>
                <w:sz w:val="20"/>
                <w:szCs w:val="20"/>
              </w:rPr>
            </w:pPr>
            <w:r>
              <w:rPr>
                <w:rFonts w:ascii="Arial" w:hAnsi="Arial" w:cs="Arial"/>
                <w:sz w:val="20"/>
                <w:szCs w:val="20"/>
              </w:rPr>
              <w:t>AverageMD</w:t>
            </w:r>
          </w:p>
        </w:tc>
        <w:tc>
          <w:tcPr>
            <w:tcW w:w="1444" w:type="dxa"/>
            <w:tcBorders>
              <w:top w:val="nil"/>
              <w:left w:val="nil"/>
              <w:bottom w:val="single" w:sz="4" w:space="0" w:color="auto"/>
              <w:right w:val="nil"/>
            </w:tcBorders>
            <w:vAlign w:val="bottom"/>
            <w:hideMark/>
          </w:tcPr>
          <w:p w14:paraId="07CFC794"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0.00000005</w:t>
            </w:r>
          </w:p>
        </w:tc>
        <w:tc>
          <w:tcPr>
            <w:tcW w:w="1414" w:type="dxa"/>
            <w:tcBorders>
              <w:top w:val="nil"/>
              <w:left w:val="nil"/>
              <w:bottom w:val="single" w:sz="4" w:space="0" w:color="auto"/>
              <w:right w:val="nil"/>
            </w:tcBorders>
            <w:vAlign w:val="bottom"/>
            <w:hideMark/>
          </w:tcPr>
          <w:p w14:paraId="492834B5"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0.00000009</w:t>
            </w:r>
          </w:p>
        </w:tc>
        <w:tc>
          <w:tcPr>
            <w:tcW w:w="1414" w:type="dxa"/>
            <w:tcBorders>
              <w:top w:val="nil"/>
              <w:left w:val="nil"/>
              <w:bottom w:val="single" w:sz="4" w:space="0" w:color="auto"/>
              <w:right w:val="nil"/>
            </w:tcBorders>
            <w:vAlign w:val="bottom"/>
            <w:hideMark/>
          </w:tcPr>
          <w:p w14:paraId="267AE995"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-0.00000013</w:t>
            </w:r>
          </w:p>
        </w:tc>
        <w:tc>
          <w:tcPr>
            <w:tcW w:w="1415" w:type="dxa"/>
            <w:tcBorders>
              <w:top w:val="nil"/>
              <w:left w:val="nil"/>
              <w:bottom w:val="single" w:sz="4" w:space="0" w:color="auto"/>
              <w:right w:val="nil"/>
            </w:tcBorders>
            <w:vAlign w:val="bottom"/>
            <w:hideMark/>
          </w:tcPr>
          <w:p w14:paraId="545FCD33"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0.00000024</w:t>
            </w:r>
          </w:p>
        </w:tc>
        <w:tc>
          <w:tcPr>
            <w:tcW w:w="1415" w:type="dxa"/>
            <w:tcBorders>
              <w:top w:val="nil"/>
              <w:left w:val="nil"/>
              <w:bottom w:val="single" w:sz="4" w:space="0" w:color="auto"/>
              <w:right w:val="nil"/>
            </w:tcBorders>
            <w:vAlign w:val="bottom"/>
            <w:hideMark/>
          </w:tcPr>
          <w:p w14:paraId="7A4FEFB8"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0.562</w:t>
            </w:r>
          </w:p>
        </w:tc>
        <w:tc>
          <w:tcPr>
            <w:tcW w:w="1415" w:type="dxa"/>
            <w:tcBorders>
              <w:top w:val="nil"/>
              <w:left w:val="nil"/>
              <w:bottom w:val="single" w:sz="4" w:space="0" w:color="auto"/>
              <w:right w:val="nil"/>
            </w:tcBorders>
            <w:vAlign w:val="bottom"/>
            <w:hideMark/>
          </w:tcPr>
          <w:p w14:paraId="67AC7002" w14:textId="77777777" w:rsidR="003230EF" w:rsidRDefault="003230EF">
            <w:pPr>
              <w:jc w:val="center"/>
              <w:rPr>
                <w:rFonts w:ascii="Arial" w:hAnsi="Arial" w:cs="Arial"/>
                <w:sz w:val="20"/>
                <w:szCs w:val="20"/>
              </w:rPr>
            </w:pPr>
            <w:r>
              <w:rPr>
                <w:rFonts w:ascii="Arial" w:eastAsia="Times New Roman" w:hAnsi="Arial" w:cs="Arial"/>
                <w:color w:val="000000"/>
                <w:sz w:val="20"/>
                <w:szCs w:val="20"/>
              </w:rPr>
              <w:t>0.902</w:t>
            </w:r>
          </w:p>
        </w:tc>
        <w:tc>
          <w:tcPr>
            <w:tcW w:w="1493" w:type="dxa"/>
            <w:tcBorders>
              <w:top w:val="nil"/>
              <w:left w:val="nil"/>
              <w:bottom w:val="single" w:sz="4" w:space="0" w:color="auto"/>
              <w:right w:val="nil"/>
            </w:tcBorders>
            <w:vAlign w:val="bottom"/>
            <w:hideMark/>
          </w:tcPr>
          <w:p w14:paraId="5D51FAD4"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0.000</w:t>
            </w:r>
          </w:p>
        </w:tc>
        <w:tc>
          <w:tcPr>
            <w:tcW w:w="1415" w:type="dxa"/>
            <w:tcBorders>
              <w:top w:val="nil"/>
              <w:left w:val="nil"/>
              <w:bottom w:val="single" w:sz="4" w:space="0" w:color="auto"/>
              <w:right w:val="nil"/>
            </w:tcBorders>
            <w:vAlign w:val="bottom"/>
            <w:hideMark/>
          </w:tcPr>
          <w:p w14:paraId="2D108BC1" w14:textId="77777777" w:rsidR="003230EF" w:rsidRDefault="003230EF">
            <w:pPr>
              <w:jc w:val="center"/>
              <w:rPr>
                <w:rFonts w:ascii="Arial" w:eastAsia="Times New Roman" w:hAnsi="Arial" w:cs="Arial"/>
                <w:color w:val="000000"/>
                <w:sz w:val="20"/>
                <w:szCs w:val="20"/>
              </w:rPr>
            </w:pPr>
            <w:r>
              <w:rPr>
                <w:rFonts w:ascii="Arial" w:eastAsia="Times New Roman" w:hAnsi="Arial" w:cs="Arial"/>
                <w:color w:val="000000"/>
                <w:sz w:val="20"/>
                <w:szCs w:val="20"/>
              </w:rPr>
              <w:t>477</w:t>
            </w:r>
          </w:p>
        </w:tc>
      </w:tr>
    </w:tbl>
    <w:p w14:paraId="7A325691" w14:textId="77777777" w:rsidR="003230EF" w:rsidRDefault="003230EF" w:rsidP="003230EF">
      <w:pPr>
        <w:rPr>
          <w:rFonts w:ascii="Arial" w:hAnsi="Arial" w:cs="Arial"/>
          <w:sz w:val="20"/>
          <w:szCs w:val="20"/>
        </w:rPr>
      </w:pPr>
    </w:p>
    <w:p w14:paraId="5A5962F4" w14:textId="0BC56622" w:rsidR="002A1442" w:rsidRDefault="00BE2BE5" w:rsidP="00BE2BE5">
      <w:pPr>
        <w:rPr>
          <w:rFonts w:cstheme="minorHAnsi"/>
          <w:b/>
          <w:bCs/>
        </w:rPr>
        <w:sectPr w:rsidR="002A1442" w:rsidSect="00A70E4F">
          <w:pgSz w:w="16838" w:h="11906" w:orient="landscape"/>
          <w:pgMar w:top="1440" w:right="1440" w:bottom="1440" w:left="1440" w:header="708" w:footer="708" w:gutter="0"/>
          <w:cols w:space="708"/>
          <w:docGrid w:linePitch="360"/>
        </w:sectPr>
      </w:pPr>
      <w:r>
        <w:rPr>
          <w:rFonts w:cstheme="minorHAnsi"/>
          <w:b/>
          <w:bCs/>
        </w:rPr>
        <w:br w:type="page"/>
      </w:r>
    </w:p>
    <w:p w14:paraId="322D3DED" w14:textId="42C60446" w:rsidR="00BE2BE5" w:rsidRDefault="00BE2BE5" w:rsidP="00BE2BE5">
      <w:pPr>
        <w:rPr>
          <w:rFonts w:cstheme="minorHAnsi"/>
          <w:b/>
          <w:bCs/>
        </w:rPr>
      </w:pPr>
      <w:r>
        <w:rPr>
          <w:rFonts w:cstheme="minorHAnsi"/>
          <w:b/>
          <w:bCs/>
        </w:rPr>
        <w:lastRenderedPageBreak/>
        <w:t>Supplementary tables for main analysis</w:t>
      </w:r>
    </w:p>
    <w:p w14:paraId="419EC281" w14:textId="029896E0" w:rsidR="002B0D16" w:rsidRDefault="002B0D16" w:rsidP="00BE2BE5">
      <w:pPr>
        <w:rPr>
          <w:rFonts w:cstheme="minorHAnsi"/>
          <w:b/>
          <w:bCs/>
        </w:rPr>
      </w:pPr>
    </w:p>
    <w:p w14:paraId="32E0B1D8" w14:textId="16116996" w:rsidR="002B0D16" w:rsidRPr="002B0D16" w:rsidRDefault="002B0D16" w:rsidP="002B0D16">
      <w:pPr>
        <w:spacing w:line="276" w:lineRule="auto"/>
        <w:rPr>
          <w:rFonts w:cstheme="minorHAnsi"/>
        </w:rPr>
      </w:pPr>
      <w:r w:rsidRPr="00D63037">
        <w:rPr>
          <w:rFonts w:cstheme="minorHAnsi"/>
          <w:b/>
          <w:bCs/>
        </w:rPr>
        <w:t xml:space="preserve">Table </w:t>
      </w:r>
      <w:r>
        <w:rPr>
          <w:rFonts w:cstheme="minorHAnsi"/>
          <w:b/>
          <w:bCs/>
        </w:rPr>
        <w:t>S</w:t>
      </w:r>
      <w:r w:rsidR="00E209BB">
        <w:rPr>
          <w:rFonts w:cstheme="minorHAnsi"/>
          <w:b/>
          <w:bCs/>
        </w:rPr>
        <w:t>7</w:t>
      </w:r>
      <w:r w:rsidRPr="00D63037">
        <w:rPr>
          <w:rFonts w:cstheme="minorHAnsi"/>
          <w:b/>
          <w:bCs/>
        </w:rPr>
        <w:t>.</w:t>
      </w:r>
      <w:r>
        <w:rPr>
          <w:rFonts w:cstheme="minorHAnsi"/>
        </w:rPr>
        <w:t xml:space="preserve"> </w:t>
      </w:r>
      <w:r w:rsidR="007F24E1">
        <w:rPr>
          <w:rFonts w:cstheme="minorHAnsi"/>
        </w:rPr>
        <w:t>Delta AIC values (e.g., “M2-M1” refers to the difference between M2 and M1 AIC values) for each model type (M1</w:t>
      </w:r>
      <w:r w:rsidR="00EF3E70">
        <w:rPr>
          <w:rFonts w:cstheme="minorHAnsi"/>
        </w:rPr>
        <w:t xml:space="preserve"> to </w:t>
      </w:r>
      <w:r w:rsidR="007F24E1">
        <w:rPr>
          <w:rFonts w:cstheme="minorHAnsi"/>
        </w:rPr>
        <w:t xml:space="preserve">M5) when </w:t>
      </w:r>
      <w:r w:rsidR="00DC6BF3">
        <w:rPr>
          <w:rFonts w:cstheme="minorHAnsi"/>
        </w:rPr>
        <w:t>MDD-RVIs and MDD-</w:t>
      </w:r>
      <w:r w:rsidR="007F24E1">
        <w:rPr>
          <w:rFonts w:cstheme="minorHAnsi"/>
        </w:rPr>
        <w:t xml:space="preserve">PRS are used as predictors individually or in conjunction with each other. For model comparison, </w:t>
      </w:r>
      <w:r w:rsidR="002E5CA9">
        <w:rPr>
          <w:rFonts w:cstheme="minorHAnsi"/>
        </w:rPr>
        <w:t>negative delta</w:t>
      </w:r>
      <w:r w:rsidR="007F24E1">
        <w:rPr>
          <w:rFonts w:cstheme="minorHAnsi"/>
        </w:rPr>
        <w:t xml:space="preserve"> AIC values are indicative of better model fit. The results for both GS-Imaging and ABCD are reported.</w:t>
      </w:r>
    </w:p>
    <w:p w14:paraId="0CAD68E5" w14:textId="34D97068" w:rsidR="00BE2BE5" w:rsidRDefault="00BE2BE5" w:rsidP="00BE2BE5">
      <w:pPr>
        <w:spacing w:line="276" w:lineRule="auto"/>
        <w:rPr>
          <w:rFonts w:cstheme="minorHAnsi"/>
          <w:b/>
          <w:bCs/>
        </w:rPr>
      </w:pPr>
    </w:p>
    <w:tbl>
      <w:tblPr>
        <w:tblW w:w="5000" w:type="pct"/>
        <w:tblLook w:val="04A0" w:firstRow="1" w:lastRow="0" w:firstColumn="1" w:lastColumn="0" w:noHBand="0" w:noVBand="1"/>
      </w:tblPr>
      <w:tblGrid>
        <w:gridCol w:w="801"/>
        <w:gridCol w:w="1647"/>
        <w:gridCol w:w="849"/>
        <w:gridCol w:w="1041"/>
        <w:gridCol w:w="1033"/>
        <w:gridCol w:w="910"/>
        <w:gridCol w:w="910"/>
        <w:gridCol w:w="983"/>
        <w:gridCol w:w="910"/>
        <w:gridCol w:w="1041"/>
        <w:gridCol w:w="1033"/>
        <w:gridCol w:w="910"/>
        <w:gridCol w:w="910"/>
        <w:gridCol w:w="980"/>
      </w:tblGrid>
      <w:tr w:rsidR="009E6F01" w:rsidRPr="009E6F01" w14:paraId="706A5E3D" w14:textId="77777777" w:rsidTr="005331CE">
        <w:trPr>
          <w:trHeight w:val="425"/>
        </w:trPr>
        <w:tc>
          <w:tcPr>
            <w:tcW w:w="5000" w:type="pct"/>
            <w:gridSpan w:val="14"/>
            <w:tcBorders>
              <w:top w:val="single" w:sz="12" w:space="0" w:color="auto"/>
              <w:left w:val="nil"/>
              <w:bottom w:val="single" w:sz="12" w:space="0" w:color="auto"/>
              <w:right w:val="nil"/>
            </w:tcBorders>
            <w:shd w:val="clear" w:color="000000" w:fill="FFFFFF"/>
            <w:noWrap/>
            <w:vAlign w:val="center"/>
            <w:hideMark/>
          </w:tcPr>
          <w:p w14:paraId="4C1583B4" w14:textId="77777777" w:rsidR="009E6F01" w:rsidRPr="005331CE" w:rsidRDefault="009E6F01" w:rsidP="005331CE">
            <w:pPr>
              <w:rPr>
                <w:rFonts w:ascii="Calibri" w:eastAsia="Times New Roman" w:hAnsi="Calibri" w:cs="Calibri"/>
                <w:b/>
                <w:bCs/>
                <w:i/>
                <w:iCs/>
                <w:color w:val="000000"/>
                <w:sz w:val="18"/>
                <w:szCs w:val="18"/>
              </w:rPr>
            </w:pPr>
            <w:r w:rsidRPr="005331CE">
              <w:rPr>
                <w:rFonts w:ascii="Calibri" w:eastAsia="Times New Roman" w:hAnsi="Calibri" w:cs="Calibri"/>
                <w:b/>
                <w:bCs/>
                <w:i/>
                <w:iCs/>
                <w:color w:val="000000"/>
                <w:sz w:val="18"/>
                <w:szCs w:val="18"/>
              </w:rPr>
              <w:t>GS-Imaging</w:t>
            </w:r>
          </w:p>
        </w:tc>
      </w:tr>
      <w:tr w:rsidR="009E6F01" w:rsidRPr="009E6F01" w14:paraId="0BAC7114" w14:textId="77777777" w:rsidTr="00A91AA1">
        <w:trPr>
          <w:trHeight w:val="288"/>
        </w:trPr>
        <w:tc>
          <w:tcPr>
            <w:tcW w:w="287" w:type="pct"/>
            <w:tcBorders>
              <w:top w:val="single" w:sz="12" w:space="0" w:color="auto"/>
              <w:left w:val="nil"/>
              <w:bottom w:val="nil"/>
              <w:right w:val="nil"/>
            </w:tcBorders>
            <w:shd w:val="clear" w:color="000000" w:fill="FFFFFF"/>
            <w:noWrap/>
            <w:vAlign w:val="bottom"/>
            <w:hideMark/>
          </w:tcPr>
          <w:p w14:paraId="3BAE3FCC" w14:textId="77777777" w:rsidR="009E6F01" w:rsidRPr="009E6F01" w:rsidRDefault="009E6F01" w:rsidP="009E6F01">
            <w:pPr>
              <w:rPr>
                <w:rFonts w:ascii="Calibri" w:eastAsia="Times New Roman" w:hAnsi="Calibri" w:cs="Calibri"/>
                <w:color w:val="000000"/>
                <w:sz w:val="18"/>
                <w:szCs w:val="18"/>
              </w:rPr>
            </w:pPr>
            <w:r w:rsidRPr="009E6F01">
              <w:rPr>
                <w:rFonts w:ascii="Calibri" w:eastAsia="Times New Roman" w:hAnsi="Calibri" w:cs="Calibri"/>
                <w:color w:val="000000"/>
                <w:sz w:val="18"/>
                <w:szCs w:val="18"/>
              </w:rPr>
              <w:t> </w:t>
            </w:r>
          </w:p>
        </w:tc>
        <w:tc>
          <w:tcPr>
            <w:tcW w:w="590" w:type="pct"/>
            <w:tcBorders>
              <w:top w:val="single" w:sz="12" w:space="0" w:color="auto"/>
              <w:left w:val="nil"/>
              <w:bottom w:val="nil"/>
              <w:right w:val="nil"/>
            </w:tcBorders>
            <w:shd w:val="clear" w:color="000000" w:fill="FFFFFF"/>
            <w:noWrap/>
            <w:vAlign w:val="bottom"/>
            <w:hideMark/>
          </w:tcPr>
          <w:p w14:paraId="26D255D8" w14:textId="77777777" w:rsidR="009E6F01" w:rsidRPr="009E6F01" w:rsidRDefault="009E6F01" w:rsidP="009E6F01">
            <w:pPr>
              <w:rPr>
                <w:rFonts w:ascii="Calibri" w:eastAsia="Times New Roman" w:hAnsi="Calibri" w:cs="Calibri"/>
                <w:color w:val="000000"/>
                <w:sz w:val="18"/>
                <w:szCs w:val="18"/>
              </w:rPr>
            </w:pPr>
            <w:r w:rsidRPr="009E6F01">
              <w:rPr>
                <w:rFonts w:ascii="Calibri" w:eastAsia="Times New Roman" w:hAnsi="Calibri" w:cs="Calibri"/>
                <w:color w:val="000000"/>
                <w:sz w:val="18"/>
                <w:szCs w:val="18"/>
              </w:rPr>
              <w:t> </w:t>
            </w:r>
          </w:p>
        </w:tc>
        <w:tc>
          <w:tcPr>
            <w:tcW w:w="2051" w:type="pct"/>
            <w:gridSpan w:val="6"/>
            <w:tcBorders>
              <w:top w:val="single" w:sz="12" w:space="0" w:color="auto"/>
              <w:left w:val="nil"/>
              <w:bottom w:val="single" w:sz="4" w:space="0" w:color="auto"/>
              <w:right w:val="single" w:sz="4" w:space="0" w:color="000000"/>
            </w:tcBorders>
            <w:shd w:val="clear" w:color="000000" w:fill="FFFFFF"/>
            <w:noWrap/>
            <w:vAlign w:val="bottom"/>
            <w:hideMark/>
          </w:tcPr>
          <w:p w14:paraId="6E34060C" w14:textId="77777777" w:rsidR="009E6F01" w:rsidRPr="009E6F01" w:rsidRDefault="009E6F01" w:rsidP="009E6F01">
            <w:pPr>
              <w:jc w:val="center"/>
              <w:rPr>
                <w:rFonts w:ascii="Calibri" w:eastAsia="Times New Roman" w:hAnsi="Calibri" w:cs="Calibri"/>
                <w:b/>
                <w:bCs/>
                <w:color w:val="000000"/>
                <w:sz w:val="18"/>
                <w:szCs w:val="18"/>
              </w:rPr>
            </w:pPr>
            <w:r w:rsidRPr="009E6F01">
              <w:rPr>
                <w:rFonts w:ascii="Calibri" w:eastAsia="Times New Roman" w:hAnsi="Calibri" w:cs="Calibri"/>
                <w:b/>
                <w:bCs/>
                <w:color w:val="000000"/>
                <w:sz w:val="18"/>
                <w:szCs w:val="18"/>
              </w:rPr>
              <w:t>Lifetime-MDD</w:t>
            </w:r>
          </w:p>
        </w:tc>
        <w:tc>
          <w:tcPr>
            <w:tcW w:w="2072" w:type="pct"/>
            <w:gridSpan w:val="6"/>
            <w:tcBorders>
              <w:top w:val="single" w:sz="12" w:space="0" w:color="auto"/>
              <w:left w:val="nil"/>
              <w:bottom w:val="single" w:sz="4" w:space="0" w:color="auto"/>
              <w:right w:val="nil"/>
            </w:tcBorders>
            <w:shd w:val="clear" w:color="000000" w:fill="FFFFFF"/>
            <w:noWrap/>
            <w:vAlign w:val="bottom"/>
            <w:hideMark/>
          </w:tcPr>
          <w:p w14:paraId="5CD8FE9B" w14:textId="77777777" w:rsidR="009E6F01" w:rsidRPr="009E6F01" w:rsidRDefault="009E6F01" w:rsidP="009E6F01">
            <w:pPr>
              <w:jc w:val="center"/>
              <w:rPr>
                <w:rFonts w:ascii="Calibri" w:eastAsia="Times New Roman" w:hAnsi="Calibri" w:cs="Calibri"/>
                <w:b/>
                <w:bCs/>
                <w:color w:val="000000"/>
                <w:sz w:val="18"/>
                <w:szCs w:val="18"/>
              </w:rPr>
            </w:pPr>
            <w:proofErr w:type="spellStart"/>
            <w:r w:rsidRPr="009E6F01">
              <w:rPr>
                <w:rFonts w:ascii="Calibri" w:eastAsia="Times New Roman" w:hAnsi="Calibri" w:cs="Calibri"/>
                <w:b/>
                <w:bCs/>
                <w:color w:val="000000"/>
                <w:sz w:val="18"/>
                <w:szCs w:val="18"/>
              </w:rPr>
              <w:t>TotalQIDS</w:t>
            </w:r>
            <w:proofErr w:type="spellEnd"/>
          </w:p>
        </w:tc>
      </w:tr>
      <w:tr w:rsidR="009E6F01" w:rsidRPr="009E6F01" w14:paraId="1CEC3058" w14:textId="77777777" w:rsidTr="00CA3D1E">
        <w:trPr>
          <w:trHeight w:val="288"/>
        </w:trPr>
        <w:tc>
          <w:tcPr>
            <w:tcW w:w="287" w:type="pct"/>
            <w:tcBorders>
              <w:top w:val="nil"/>
              <w:left w:val="nil"/>
              <w:bottom w:val="single" w:sz="4" w:space="0" w:color="auto"/>
              <w:right w:val="nil"/>
            </w:tcBorders>
            <w:shd w:val="clear" w:color="000000" w:fill="FFFFFF"/>
            <w:noWrap/>
            <w:vAlign w:val="center"/>
            <w:hideMark/>
          </w:tcPr>
          <w:p w14:paraId="717ACDE6" w14:textId="77777777" w:rsidR="009E6F01" w:rsidRPr="009E6F01" w:rsidRDefault="009E6F01" w:rsidP="009E6F01">
            <w:pPr>
              <w:jc w:val="center"/>
              <w:rPr>
                <w:rFonts w:ascii="Calibri" w:eastAsia="Times New Roman" w:hAnsi="Calibri" w:cs="Calibri"/>
                <w:b/>
                <w:bCs/>
                <w:color w:val="000000"/>
                <w:sz w:val="18"/>
                <w:szCs w:val="18"/>
              </w:rPr>
            </w:pPr>
            <w:r w:rsidRPr="009E6F01">
              <w:rPr>
                <w:rFonts w:ascii="Calibri" w:eastAsia="Times New Roman" w:hAnsi="Calibri" w:cs="Calibri"/>
                <w:b/>
                <w:bCs/>
                <w:color w:val="000000"/>
                <w:sz w:val="18"/>
                <w:szCs w:val="18"/>
              </w:rPr>
              <w:t>Model</w:t>
            </w:r>
          </w:p>
        </w:tc>
        <w:tc>
          <w:tcPr>
            <w:tcW w:w="590" w:type="pct"/>
            <w:tcBorders>
              <w:top w:val="nil"/>
              <w:left w:val="nil"/>
              <w:bottom w:val="single" w:sz="4" w:space="0" w:color="auto"/>
              <w:right w:val="nil"/>
            </w:tcBorders>
            <w:shd w:val="clear" w:color="000000" w:fill="FFFFFF"/>
            <w:noWrap/>
            <w:vAlign w:val="center"/>
            <w:hideMark/>
          </w:tcPr>
          <w:p w14:paraId="0F39F542" w14:textId="77777777" w:rsidR="009E6F01" w:rsidRPr="009E6F01" w:rsidRDefault="009E6F01" w:rsidP="009E6F01">
            <w:pPr>
              <w:jc w:val="center"/>
              <w:rPr>
                <w:rFonts w:ascii="Calibri" w:eastAsia="Times New Roman" w:hAnsi="Calibri" w:cs="Calibri"/>
                <w:b/>
                <w:bCs/>
                <w:color w:val="000000"/>
                <w:sz w:val="18"/>
                <w:szCs w:val="18"/>
              </w:rPr>
            </w:pPr>
            <w:r w:rsidRPr="009E6F01">
              <w:rPr>
                <w:rFonts w:ascii="Calibri" w:eastAsia="Times New Roman" w:hAnsi="Calibri" w:cs="Calibri"/>
                <w:b/>
                <w:bCs/>
                <w:color w:val="000000"/>
                <w:sz w:val="18"/>
                <w:szCs w:val="18"/>
              </w:rPr>
              <w:t>Variables</w:t>
            </w:r>
          </w:p>
        </w:tc>
        <w:tc>
          <w:tcPr>
            <w:tcW w:w="304" w:type="pct"/>
            <w:tcBorders>
              <w:top w:val="nil"/>
              <w:left w:val="nil"/>
              <w:bottom w:val="single" w:sz="4" w:space="0" w:color="auto"/>
              <w:right w:val="nil"/>
            </w:tcBorders>
            <w:shd w:val="clear" w:color="000000" w:fill="FFFFFF"/>
            <w:noWrap/>
            <w:vAlign w:val="center"/>
            <w:hideMark/>
          </w:tcPr>
          <w:p w14:paraId="3D828C77" w14:textId="77777777" w:rsidR="009E6F01" w:rsidRPr="009E6F01" w:rsidRDefault="009E6F01" w:rsidP="009E6F01">
            <w:pPr>
              <w:jc w:val="center"/>
              <w:rPr>
                <w:rFonts w:ascii="Calibri" w:eastAsia="Times New Roman" w:hAnsi="Calibri" w:cs="Calibri"/>
                <w:b/>
                <w:bCs/>
                <w:color w:val="000000"/>
                <w:sz w:val="18"/>
                <w:szCs w:val="18"/>
              </w:rPr>
            </w:pPr>
            <w:r w:rsidRPr="009E6F01">
              <w:rPr>
                <w:rFonts w:ascii="Calibri" w:eastAsia="Times New Roman" w:hAnsi="Calibri" w:cs="Calibri"/>
                <w:b/>
                <w:bCs/>
                <w:color w:val="000000"/>
                <w:sz w:val="18"/>
                <w:szCs w:val="18"/>
              </w:rPr>
              <w:t>RVI-Sub</w:t>
            </w:r>
          </w:p>
        </w:tc>
        <w:tc>
          <w:tcPr>
            <w:tcW w:w="373" w:type="pct"/>
            <w:tcBorders>
              <w:top w:val="nil"/>
              <w:left w:val="nil"/>
              <w:bottom w:val="single" w:sz="4" w:space="0" w:color="auto"/>
              <w:right w:val="nil"/>
            </w:tcBorders>
            <w:shd w:val="clear" w:color="000000" w:fill="FFFFFF"/>
            <w:noWrap/>
            <w:vAlign w:val="center"/>
            <w:hideMark/>
          </w:tcPr>
          <w:p w14:paraId="54538081" w14:textId="77777777" w:rsidR="009E6F01" w:rsidRPr="009E6F01" w:rsidRDefault="009E6F01" w:rsidP="009E6F01">
            <w:pPr>
              <w:jc w:val="center"/>
              <w:rPr>
                <w:rFonts w:ascii="Calibri" w:eastAsia="Times New Roman" w:hAnsi="Calibri" w:cs="Calibri"/>
                <w:b/>
                <w:bCs/>
                <w:color w:val="000000"/>
                <w:sz w:val="18"/>
                <w:szCs w:val="18"/>
              </w:rPr>
            </w:pPr>
            <w:r w:rsidRPr="009E6F01">
              <w:rPr>
                <w:rFonts w:ascii="Calibri" w:eastAsia="Times New Roman" w:hAnsi="Calibri" w:cs="Calibri"/>
                <w:b/>
                <w:bCs/>
                <w:color w:val="000000"/>
                <w:sz w:val="18"/>
                <w:szCs w:val="18"/>
              </w:rPr>
              <w:t>RVI-CorTH</w:t>
            </w:r>
          </w:p>
        </w:tc>
        <w:tc>
          <w:tcPr>
            <w:tcW w:w="370" w:type="pct"/>
            <w:tcBorders>
              <w:top w:val="nil"/>
              <w:left w:val="nil"/>
              <w:bottom w:val="single" w:sz="4" w:space="0" w:color="auto"/>
              <w:right w:val="nil"/>
            </w:tcBorders>
            <w:shd w:val="clear" w:color="000000" w:fill="FFFFFF"/>
            <w:noWrap/>
            <w:vAlign w:val="center"/>
            <w:hideMark/>
          </w:tcPr>
          <w:p w14:paraId="2275B573" w14:textId="77777777" w:rsidR="009E6F01" w:rsidRPr="009E6F01" w:rsidRDefault="009E6F01" w:rsidP="009E6F01">
            <w:pPr>
              <w:jc w:val="center"/>
              <w:rPr>
                <w:rFonts w:ascii="Calibri" w:eastAsia="Times New Roman" w:hAnsi="Calibri" w:cs="Calibri"/>
                <w:b/>
                <w:bCs/>
                <w:color w:val="000000"/>
                <w:sz w:val="18"/>
                <w:szCs w:val="18"/>
              </w:rPr>
            </w:pPr>
            <w:r w:rsidRPr="009E6F01">
              <w:rPr>
                <w:rFonts w:ascii="Calibri" w:eastAsia="Times New Roman" w:hAnsi="Calibri" w:cs="Calibri"/>
                <w:b/>
                <w:bCs/>
                <w:color w:val="000000"/>
                <w:sz w:val="18"/>
                <w:szCs w:val="18"/>
              </w:rPr>
              <w:t>RVI-CorSA</w:t>
            </w:r>
          </w:p>
        </w:tc>
        <w:tc>
          <w:tcPr>
            <w:tcW w:w="326" w:type="pct"/>
            <w:tcBorders>
              <w:top w:val="nil"/>
              <w:left w:val="nil"/>
              <w:bottom w:val="single" w:sz="4" w:space="0" w:color="auto"/>
              <w:right w:val="nil"/>
            </w:tcBorders>
            <w:shd w:val="clear" w:color="000000" w:fill="FFFFFF"/>
            <w:noWrap/>
            <w:vAlign w:val="center"/>
            <w:hideMark/>
          </w:tcPr>
          <w:p w14:paraId="18BEB56D" w14:textId="77777777" w:rsidR="009E6F01" w:rsidRPr="009E6F01" w:rsidRDefault="009E6F01" w:rsidP="009E6F01">
            <w:pPr>
              <w:jc w:val="center"/>
              <w:rPr>
                <w:rFonts w:ascii="Calibri" w:eastAsia="Times New Roman" w:hAnsi="Calibri" w:cs="Calibri"/>
                <w:b/>
                <w:bCs/>
                <w:color w:val="000000"/>
                <w:sz w:val="18"/>
                <w:szCs w:val="18"/>
              </w:rPr>
            </w:pPr>
            <w:r w:rsidRPr="009E6F01">
              <w:rPr>
                <w:rFonts w:ascii="Calibri" w:eastAsia="Times New Roman" w:hAnsi="Calibri" w:cs="Calibri"/>
                <w:b/>
                <w:bCs/>
                <w:color w:val="000000"/>
                <w:sz w:val="18"/>
                <w:szCs w:val="18"/>
              </w:rPr>
              <w:t>RVI-MD</w:t>
            </w:r>
          </w:p>
        </w:tc>
        <w:tc>
          <w:tcPr>
            <w:tcW w:w="326" w:type="pct"/>
            <w:tcBorders>
              <w:top w:val="nil"/>
              <w:left w:val="nil"/>
              <w:bottom w:val="single" w:sz="4" w:space="0" w:color="auto"/>
              <w:right w:val="nil"/>
            </w:tcBorders>
            <w:shd w:val="clear" w:color="000000" w:fill="FFFFFF"/>
            <w:noWrap/>
            <w:vAlign w:val="center"/>
            <w:hideMark/>
          </w:tcPr>
          <w:p w14:paraId="6742D65C" w14:textId="77777777" w:rsidR="009E6F01" w:rsidRPr="009E6F01" w:rsidRDefault="009E6F01" w:rsidP="009E6F01">
            <w:pPr>
              <w:jc w:val="center"/>
              <w:rPr>
                <w:rFonts w:ascii="Calibri" w:eastAsia="Times New Roman" w:hAnsi="Calibri" w:cs="Calibri"/>
                <w:b/>
                <w:bCs/>
                <w:color w:val="000000"/>
                <w:sz w:val="18"/>
                <w:szCs w:val="18"/>
              </w:rPr>
            </w:pPr>
            <w:r w:rsidRPr="009E6F01">
              <w:rPr>
                <w:rFonts w:ascii="Calibri" w:eastAsia="Times New Roman" w:hAnsi="Calibri" w:cs="Calibri"/>
                <w:b/>
                <w:bCs/>
                <w:color w:val="000000"/>
                <w:sz w:val="18"/>
                <w:szCs w:val="18"/>
              </w:rPr>
              <w:t>RVI-FA</w:t>
            </w:r>
          </w:p>
        </w:tc>
        <w:tc>
          <w:tcPr>
            <w:tcW w:w="352" w:type="pct"/>
            <w:tcBorders>
              <w:top w:val="nil"/>
              <w:left w:val="nil"/>
              <w:bottom w:val="single" w:sz="4" w:space="0" w:color="auto"/>
              <w:right w:val="single" w:sz="4" w:space="0" w:color="auto"/>
            </w:tcBorders>
            <w:shd w:val="clear" w:color="000000" w:fill="FFFFFF"/>
            <w:noWrap/>
            <w:vAlign w:val="center"/>
            <w:hideMark/>
          </w:tcPr>
          <w:p w14:paraId="0A26775E" w14:textId="77777777" w:rsidR="009E6F01" w:rsidRPr="009E6F01" w:rsidRDefault="009E6F01" w:rsidP="009E6F01">
            <w:pPr>
              <w:jc w:val="center"/>
              <w:rPr>
                <w:rFonts w:ascii="Calibri" w:eastAsia="Times New Roman" w:hAnsi="Calibri" w:cs="Calibri"/>
                <w:b/>
                <w:bCs/>
                <w:color w:val="000000"/>
                <w:sz w:val="18"/>
                <w:szCs w:val="18"/>
              </w:rPr>
            </w:pPr>
            <w:r w:rsidRPr="009E6F01">
              <w:rPr>
                <w:rFonts w:ascii="Calibri" w:eastAsia="Times New Roman" w:hAnsi="Calibri" w:cs="Calibri"/>
                <w:b/>
                <w:bCs/>
                <w:color w:val="000000"/>
                <w:sz w:val="18"/>
                <w:szCs w:val="18"/>
              </w:rPr>
              <w:t>RVI-Multi</w:t>
            </w:r>
          </w:p>
        </w:tc>
        <w:tc>
          <w:tcPr>
            <w:tcW w:w="326" w:type="pct"/>
            <w:tcBorders>
              <w:top w:val="nil"/>
              <w:left w:val="nil"/>
              <w:bottom w:val="single" w:sz="4" w:space="0" w:color="auto"/>
              <w:right w:val="nil"/>
            </w:tcBorders>
            <w:shd w:val="clear" w:color="000000" w:fill="FFFFFF"/>
            <w:noWrap/>
            <w:vAlign w:val="center"/>
            <w:hideMark/>
          </w:tcPr>
          <w:p w14:paraId="00BE12DD" w14:textId="77777777" w:rsidR="009E6F01" w:rsidRPr="009E6F01" w:rsidRDefault="009E6F01" w:rsidP="009E6F01">
            <w:pPr>
              <w:jc w:val="center"/>
              <w:rPr>
                <w:rFonts w:ascii="Calibri" w:eastAsia="Times New Roman" w:hAnsi="Calibri" w:cs="Calibri"/>
                <w:b/>
                <w:bCs/>
                <w:color w:val="000000"/>
                <w:sz w:val="18"/>
                <w:szCs w:val="18"/>
              </w:rPr>
            </w:pPr>
            <w:r w:rsidRPr="009E6F01">
              <w:rPr>
                <w:rFonts w:ascii="Calibri" w:eastAsia="Times New Roman" w:hAnsi="Calibri" w:cs="Calibri"/>
                <w:b/>
                <w:bCs/>
                <w:color w:val="000000"/>
                <w:sz w:val="18"/>
                <w:szCs w:val="18"/>
              </w:rPr>
              <w:t>RVI-Sub</w:t>
            </w:r>
          </w:p>
        </w:tc>
        <w:tc>
          <w:tcPr>
            <w:tcW w:w="373" w:type="pct"/>
            <w:tcBorders>
              <w:top w:val="nil"/>
              <w:left w:val="nil"/>
              <w:bottom w:val="single" w:sz="4" w:space="0" w:color="auto"/>
              <w:right w:val="nil"/>
            </w:tcBorders>
            <w:shd w:val="clear" w:color="000000" w:fill="FFFFFF"/>
            <w:noWrap/>
            <w:vAlign w:val="center"/>
            <w:hideMark/>
          </w:tcPr>
          <w:p w14:paraId="16E6673A" w14:textId="77777777" w:rsidR="009E6F01" w:rsidRPr="009E6F01" w:rsidRDefault="009E6F01" w:rsidP="009E6F01">
            <w:pPr>
              <w:jc w:val="center"/>
              <w:rPr>
                <w:rFonts w:ascii="Calibri" w:eastAsia="Times New Roman" w:hAnsi="Calibri" w:cs="Calibri"/>
                <w:b/>
                <w:bCs/>
                <w:color w:val="000000"/>
                <w:sz w:val="18"/>
                <w:szCs w:val="18"/>
              </w:rPr>
            </w:pPr>
            <w:r w:rsidRPr="009E6F01">
              <w:rPr>
                <w:rFonts w:ascii="Calibri" w:eastAsia="Times New Roman" w:hAnsi="Calibri" w:cs="Calibri"/>
                <w:b/>
                <w:bCs/>
                <w:color w:val="000000"/>
                <w:sz w:val="18"/>
                <w:szCs w:val="18"/>
              </w:rPr>
              <w:t>RVI-CorTH</w:t>
            </w:r>
          </w:p>
        </w:tc>
        <w:tc>
          <w:tcPr>
            <w:tcW w:w="370" w:type="pct"/>
            <w:tcBorders>
              <w:top w:val="nil"/>
              <w:left w:val="nil"/>
              <w:bottom w:val="single" w:sz="4" w:space="0" w:color="auto"/>
              <w:right w:val="nil"/>
            </w:tcBorders>
            <w:shd w:val="clear" w:color="000000" w:fill="FFFFFF"/>
            <w:noWrap/>
            <w:vAlign w:val="center"/>
            <w:hideMark/>
          </w:tcPr>
          <w:p w14:paraId="2012E5BA" w14:textId="77777777" w:rsidR="009E6F01" w:rsidRPr="009E6F01" w:rsidRDefault="009E6F01" w:rsidP="009E6F01">
            <w:pPr>
              <w:jc w:val="center"/>
              <w:rPr>
                <w:rFonts w:ascii="Calibri" w:eastAsia="Times New Roman" w:hAnsi="Calibri" w:cs="Calibri"/>
                <w:b/>
                <w:bCs/>
                <w:color w:val="000000"/>
                <w:sz w:val="18"/>
                <w:szCs w:val="18"/>
              </w:rPr>
            </w:pPr>
            <w:r w:rsidRPr="009E6F01">
              <w:rPr>
                <w:rFonts w:ascii="Calibri" w:eastAsia="Times New Roman" w:hAnsi="Calibri" w:cs="Calibri"/>
                <w:b/>
                <w:bCs/>
                <w:color w:val="000000"/>
                <w:sz w:val="18"/>
                <w:szCs w:val="18"/>
              </w:rPr>
              <w:t>RVI-CorSA</w:t>
            </w:r>
          </w:p>
        </w:tc>
        <w:tc>
          <w:tcPr>
            <w:tcW w:w="326" w:type="pct"/>
            <w:tcBorders>
              <w:top w:val="nil"/>
              <w:left w:val="nil"/>
              <w:bottom w:val="single" w:sz="4" w:space="0" w:color="auto"/>
              <w:right w:val="nil"/>
            </w:tcBorders>
            <w:shd w:val="clear" w:color="000000" w:fill="FFFFFF"/>
            <w:noWrap/>
            <w:vAlign w:val="center"/>
            <w:hideMark/>
          </w:tcPr>
          <w:p w14:paraId="1003E4C1" w14:textId="77777777" w:rsidR="009E6F01" w:rsidRPr="009E6F01" w:rsidRDefault="009E6F01" w:rsidP="009E6F01">
            <w:pPr>
              <w:jc w:val="center"/>
              <w:rPr>
                <w:rFonts w:ascii="Calibri" w:eastAsia="Times New Roman" w:hAnsi="Calibri" w:cs="Calibri"/>
                <w:b/>
                <w:bCs/>
                <w:color w:val="000000"/>
                <w:sz w:val="18"/>
                <w:szCs w:val="18"/>
              </w:rPr>
            </w:pPr>
            <w:r w:rsidRPr="009E6F01">
              <w:rPr>
                <w:rFonts w:ascii="Calibri" w:eastAsia="Times New Roman" w:hAnsi="Calibri" w:cs="Calibri"/>
                <w:b/>
                <w:bCs/>
                <w:color w:val="000000"/>
                <w:sz w:val="18"/>
                <w:szCs w:val="18"/>
              </w:rPr>
              <w:t>RVI-MD</w:t>
            </w:r>
          </w:p>
        </w:tc>
        <w:tc>
          <w:tcPr>
            <w:tcW w:w="326" w:type="pct"/>
            <w:tcBorders>
              <w:top w:val="nil"/>
              <w:left w:val="nil"/>
              <w:bottom w:val="single" w:sz="4" w:space="0" w:color="auto"/>
              <w:right w:val="nil"/>
            </w:tcBorders>
            <w:shd w:val="clear" w:color="000000" w:fill="FFFFFF"/>
            <w:noWrap/>
            <w:vAlign w:val="center"/>
            <w:hideMark/>
          </w:tcPr>
          <w:p w14:paraId="006B8996" w14:textId="77777777" w:rsidR="009E6F01" w:rsidRPr="009E6F01" w:rsidRDefault="009E6F01" w:rsidP="009E6F01">
            <w:pPr>
              <w:jc w:val="center"/>
              <w:rPr>
                <w:rFonts w:ascii="Calibri" w:eastAsia="Times New Roman" w:hAnsi="Calibri" w:cs="Calibri"/>
                <w:b/>
                <w:bCs/>
                <w:color w:val="000000"/>
                <w:sz w:val="18"/>
                <w:szCs w:val="18"/>
              </w:rPr>
            </w:pPr>
            <w:r w:rsidRPr="009E6F01">
              <w:rPr>
                <w:rFonts w:ascii="Calibri" w:eastAsia="Times New Roman" w:hAnsi="Calibri" w:cs="Calibri"/>
                <w:b/>
                <w:bCs/>
                <w:color w:val="000000"/>
                <w:sz w:val="18"/>
                <w:szCs w:val="18"/>
              </w:rPr>
              <w:t>RVI-FA</w:t>
            </w:r>
          </w:p>
        </w:tc>
        <w:tc>
          <w:tcPr>
            <w:tcW w:w="351" w:type="pct"/>
            <w:tcBorders>
              <w:top w:val="nil"/>
              <w:left w:val="nil"/>
              <w:bottom w:val="single" w:sz="4" w:space="0" w:color="auto"/>
              <w:right w:val="nil"/>
            </w:tcBorders>
            <w:shd w:val="clear" w:color="000000" w:fill="FFFFFF"/>
            <w:noWrap/>
            <w:vAlign w:val="center"/>
            <w:hideMark/>
          </w:tcPr>
          <w:p w14:paraId="3889E392" w14:textId="77777777" w:rsidR="009E6F01" w:rsidRPr="009E6F01" w:rsidRDefault="009E6F01" w:rsidP="009E6F01">
            <w:pPr>
              <w:jc w:val="center"/>
              <w:rPr>
                <w:rFonts w:ascii="Calibri" w:eastAsia="Times New Roman" w:hAnsi="Calibri" w:cs="Calibri"/>
                <w:b/>
                <w:bCs/>
                <w:color w:val="000000"/>
                <w:sz w:val="18"/>
                <w:szCs w:val="18"/>
              </w:rPr>
            </w:pPr>
            <w:r w:rsidRPr="009E6F01">
              <w:rPr>
                <w:rFonts w:ascii="Calibri" w:eastAsia="Times New Roman" w:hAnsi="Calibri" w:cs="Calibri"/>
                <w:b/>
                <w:bCs/>
                <w:color w:val="000000"/>
                <w:sz w:val="18"/>
                <w:szCs w:val="18"/>
              </w:rPr>
              <w:t>RVI-Multi</w:t>
            </w:r>
          </w:p>
        </w:tc>
      </w:tr>
      <w:tr w:rsidR="009E6F01" w:rsidRPr="009E6F01" w14:paraId="4DD625DD" w14:textId="77777777" w:rsidTr="00CA3D1E">
        <w:trPr>
          <w:trHeight w:val="288"/>
        </w:trPr>
        <w:tc>
          <w:tcPr>
            <w:tcW w:w="287" w:type="pct"/>
            <w:tcBorders>
              <w:top w:val="nil"/>
              <w:left w:val="nil"/>
              <w:bottom w:val="single" w:sz="4" w:space="0" w:color="auto"/>
              <w:right w:val="nil"/>
            </w:tcBorders>
            <w:shd w:val="clear" w:color="000000" w:fill="FFFFFF"/>
            <w:noWrap/>
            <w:vAlign w:val="center"/>
            <w:hideMark/>
          </w:tcPr>
          <w:p w14:paraId="2C077490" w14:textId="77777777" w:rsidR="009E6F01" w:rsidRPr="009E6F01" w:rsidRDefault="009E6F01" w:rsidP="009E6F01">
            <w:pPr>
              <w:jc w:val="center"/>
              <w:rPr>
                <w:rFonts w:ascii="Calibri" w:eastAsia="Times New Roman" w:hAnsi="Calibri" w:cs="Calibri"/>
                <w:color w:val="000000"/>
                <w:sz w:val="18"/>
                <w:szCs w:val="18"/>
              </w:rPr>
            </w:pPr>
            <w:r w:rsidRPr="009E6F01">
              <w:rPr>
                <w:rFonts w:ascii="Calibri" w:eastAsia="Times New Roman" w:hAnsi="Calibri" w:cs="Calibri"/>
                <w:color w:val="000000"/>
                <w:sz w:val="18"/>
                <w:szCs w:val="18"/>
              </w:rPr>
              <w:t>M1</w:t>
            </w:r>
          </w:p>
        </w:tc>
        <w:tc>
          <w:tcPr>
            <w:tcW w:w="590" w:type="pct"/>
            <w:tcBorders>
              <w:top w:val="nil"/>
              <w:left w:val="nil"/>
              <w:bottom w:val="single" w:sz="4" w:space="0" w:color="auto"/>
              <w:right w:val="nil"/>
            </w:tcBorders>
            <w:shd w:val="clear" w:color="000000" w:fill="FFFFFF"/>
            <w:noWrap/>
            <w:vAlign w:val="center"/>
            <w:hideMark/>
          </w:tcPr>
          <w:p w14:paraId="350F94ED" w14:textId="77777777" w:rsidR="009E6F01" w:rsidRPr="009E6F01" w:rsidRDefault="009E6F01" w:rsidP="009E6F01">
            <w:pPr>
              <w:jc w:val="center"/>
              <w:rPr>
                <w:rFonts w:ascii="Calibri" w:eastAsia="Times New Roman" w:hAnsi="Calibri" w:cs="Calibri"/>
                <w:color w:val="000000"/>
                <w:sz w:val="18"/>
                <w:szCs w:val="18"/>
              </w:rPr>
            </w:pPr>
            <w:proofErr w:type="spellStart"/>
            <w:r w:rsidRPr="009E6F01">
              <w:rPr>
                <w:rFonts w:ascii="Calibri" w:eastAsia="Times New Roman" w:hAnsi="Calibri" w:cs="Calibri"/>
                <w:color w:val="000000"/>
                <w:sz w:val="18"/>
                <w:szCs w:val="18"/>
              </w:rPr>
              <w:t>Covs</w:t>
            </w:r>
            <w:proofErr w:type="spellEnd"/>
            <w:r w:rsidRPr="009E6F01">
              <w:rPr>
                <w:rFonts w:ascii="Calibri" w:eastAsia="Times New Roman" w:hAnsi="Calibri" w:cs="Calibri"/>
                <w:color w:val="000000"/>
                <w:sz w:val="18"/>
                <w:szCs w:val="18"/>
              </w:rPr>
              <w:t xml:space="preserve"> (for RVI)</w:t>
            </w:r>
          </w:p>
        </w:tc>
        <w:tc>
          <w:tcPr>
            <w:tcW w:w="2051" w:type="pct"/>
            <w:gridSpan w:val="6"/>
            <w:tcBorders>
              <w:top w:val="single" w:sz="4" w:space="0" w:color="auto"/>
              <w:left w:val="nil"/>
              <w:bottom w:val="single" w:sz="4" w:space="0" w:color="auto"/>
              <w:right w:val="single" w:sz="4" w:space="0" w:color="000000"/>
            </w:tcBorders>
            <w:shd w:val="clear" w:color="000000" w:fill="FFFFFF"/>
            <w:noWrap/>
            <w:vAlign w:val="center"/>
            <w:hideMark/>
          </w:tcPr>
          <w:p w14:paraId="31D10F0E" w14:textId="77777777" w:rsidR="009E6F01" w:rsidRPr="009E6F01" w:rsidRDefault="009E6F01" w:rsidP="009E6F01">
            <w:pPr>
              <w:jc w:val="center"/>
              <w:rPr>
                <w:rFonts w:ascii="Calibri" w:eastAsia="Times New Roman" w:hAnsi="Calibri" w:cs="Calibri"/>
                <w:color w:val="000000"/>
                <w:sz w:val="18"/>
                <w:szCs w:val="18"/>
              </w:rPr>
            </w:pPr>
            <w:r w:rsidRPr="009E6F01">
              <w:rPr>
                <w:rFonts w:ascii="Calibri" w:eastAsia="Times New Roman" w:hAnsi="Calibri" w:cs="Calibri"/>
                <w:color w:val="000000"/>
                <w:sz w:val="18"/>
                <w:szCs w:val="18"/>
              </w:rPr>
              <w:t>NIL</w:t>
            </w:r>
          </w:p>
        </w:tc>
        <w:tc>
          <w:tcPr>
            <w:tcW w:w="2072" w:type="pct"/>
            <w:gridSpan w:val="6"/>
            <w:tcBorders>
              <w:top w:val="single" w:sz="4" w:space="0" w:color="auto"/>
              <w:left w:val="nil"/>
              <w:bottom w:val="single" w:sz="4" w:space="0" w:color="auto"/>
              <w:right w:val="nil"/>
            </w:tcBorders>
            <w:shd w:val="clear" w:color="000000" w:fill="FFFFFF"/>
            <w:noWrap/>
            <w:vAlign w:val="center"/>
            <w:hideMark/>
          </w:tcPr>
          <w:p w14:paraId="3C3B6673" w14:textId="77777777" w:rsidR="009E6F01" w:rsidRPr="009E6F01" w:rsidRDefault="009E6F01" w:rsidP="009E6F01">
            <w:pPr>
              <w:jc w:val="center"/>
              <w:rPr>
                <w:rFonts w:ascii="Calibri" w:eastAsia="Times New Roman" w:hAnsi="Calibri" w:cs="Calibri"/>
                <w:color w:val="000000"/>
                <w:sz w:val="18"/>
                <w:szCs w:val="18"/>
              </w:rPr>
            </w:pPr>
            <w:r w:rsidRPr="009E6F01">
              <w:rPr>
                <w:rFonts w:ascii="Calibri" w:eastAsia="Times New Roman" w:hAnsi="Calibri" w:cs="Calibri"/>
                <w:color w:val="000000"/>
                <w:sz w:val="18"/>
                <w:szCs w:val="18"/>
              </w:rPr>
              <w:t>NIL</w:t>
            </w:r>
          </w:p>
        </w:tc>
      </w:tr>
      <w:tr w:rsidR="009E6F01" w:rsidRPr="009E6F01" w14:paraId="0F98DF6B" w14:textId="77777777" w:rsidTr="00CA3D1E">
        <w:trPr>
          <w:trHeight w:val="288"/>
        </w:trPr>
        <w:tc>
          <w:tcPr>
            <w:tcW w:w="287" w:type="pct"/>
            <w:tcBorders>
              <w:top w:val="nil"/>
              <w:left w:val="nil"/>
              <w:bottom w:val="single" w:sz="4" w:space="0" w:color="auto"/>
              <w:right w:val="nil"/>
            </w:tcBorders>
            <w:shd w:val="clear" w:color="000000" w:fill="FFFFFF"/>
            <w:noWrap/>
            <w:vAlign w:val="center"/>
            <w:hideMark/>
          </w:tcPr>
          <w:p w14:paraId="2B777231" w14:textId="77777777" w:rsidR="009E6F01" w:rsidRPr="009E6F01" w:rsidRDefault="009E6F01" w:rsidP="009E6F01">
            <w:pPr>
              <w:jc w:val="center"/>
              <w:rPr>
                <w:rFonts w:ascii="Calibri" w:eastAsia="Times New Roman" w:hAnsi="Calibri" w:cs="Calibri"/>
                <w:color w:val="000000"/>
                <w:sz w:val="18"/>
                <w:szCs w:val="18"/>
              </w:rPr>
            </w:pPr>
            <w:r w:rsidRPr="009E6F01">
              <w:rPr>
                <w:rFonts w:ascii="Calibri" w:eastAsia="Times New Roman" w:hAnsi="Calibri" w:cs="Calibri"/>
                <w:color w:val="000000"/>
                <w:sz w:val="18"/>
                <w:szCs w:val="18"/>
              </w:rPr>
              <w:t>M2-M1</w:t>
            </w:r>
          </w:p>
        </w:tc>
        <w:tc>
          <w:tcPr>
            <w:tcW w:w="590" w:type="pct"/>
            <w:tcBorders>
              <w:top w:val="nil"/>
              <w:left w:val="nil"/>
              <w:bottom w:val="single" w:sz="4" w:space="0" w:color="auto"/>
              <w:right w:val="nil"/>
            </w:tcBorders>
            <w:shd w:val="clear" w:color="000000" w:fill="FFFFFF"/>
            <w:noWrap/>
            <w:vAlign w:val="center"/>
            <w:hideMark/>
          </w:tcPr>
          <w:p w14:paraId="206492A7" w14:textId="77777777" w:rsidR="009E6F01" w:rsidRPr="009E6F01" w:rsidRDefault="009E6F01" w:rsidP="009E6F01">
            <w:pPr>
              <w:jc w:val="center"/>
              <w:rPr>
                <w:rFonts w:ascii="Calibri" w:eastAsia="Times New Roman" w:hAnsi="Calibri" w:cs="Calibri"/>
                <w:color w:val="000000"/>
                <w:sz w:val="18"/>
                <w:szCs w:val="18"/>
              </w:rPr>
            </w:pPr>
            <w:proofErr w:type="spellStart"/>
            <w:r w:rsidRPr="009E6F01">
              <w:rPr>
                <w:rFonts w:ascii="Calibri" w:eastAsia="Times New Roman" w:hAnsi="Calibri" w:cs="Calibri"/>
                <w:color w:val="000000"/>
                <w:sz w:val="18"/>
                <w:szCs w:val="18"/>
              </w:rPr>
              <w:t>RVI+Covs</w:t>
            </w:r>
            <w:proofErr w:type="spellEnd"/>
            <w:r w:rsidRPr="009E6F01">
              <w:rPr>
                <w:rFonts w:ascii="Calibri" w:eastAsia="Times New Roman" w:hAnsi="Calibri" w:cs="Calibri"/>
                <w:color w:val="000000"/>
                <w:sz w:val="18"/>
                <w:szCs w:val="18"/>
              </w:rPr>
              <w:t xml:space="preserve"> (for RVI)</w:t>
            </w:r>
          </w:p>
        </w:tc>
        <w:tc>
          <w:tcPr>
            <w:tcW w:w="304" w:type="pct"/>
            <w:tcBorders>
              <w:top w:val="nil"/>
              <w:left w:val="nil"/>
              <w:bottom w:val="single" w:sz="4" w:space="0" w:color="auto"/>
              <w:right w:val="nil"/>
            </w:tcBorders>
            <w:shd w:val="clear" w:color="000000" w:fill="FFFFFF"/>
            <w:noWrap/>
            <w:vAlign w:val="center"/>
            <w:hideMark/>
          </w:tcPr>
          <w:p w14:paraId="4D5AC3C5" w14:textId="77777777" w:rsidR="009E6F01" w:rsidRPr="009E6F01" w:rsidRDefault="009E6F01" w:rsidP="009E6F01">
            <w:pPr>
              <w:jc w:val="center"/>
              <w:rPr>
                <w:rFonts w:ascii="Calibri" w:eastAsia="Times New Roman" w:hAnsi="Calibri" w:cs="Calibri"/>
                <w:color w:val="000000"/>
                <w:sz w:val="18"/>
                <w:szCs w:val="18"/>
              </w:rPr>
            </w:pPr>
            <w:r w:rsidRPr="009E6F01">
              <w:rPr>
                <w:rFonts w:ascii="Calibri" w:eastAsia="Times New Roman" w:hAnsi="Calibri" w:cs="Calibri"/>
                <w:color w:val="000000"/>
                <w:sz w:val="18"/>
                <w:szCs w:val="18"/>
              </w:rPr>
              <w:t>-38.428</w:t>
            </w:r>
          </w:p>
        </w:tc>
        <w:tc>
          <w:tcPr>
            <w:tcW w:w="373" w:type="pct"/>
            <w:tcBorders>
              <w:top w:val="nil"/>
              <w:left w:val="nil"/>
              <w:bottom w:val="single" w:sz="4" w:space="0" w:color="auto"/>
              <w:right w:val="nil"/>
            </w:tcBorders>
            <w:shd w:val="clear" w:color="000000" w:fill="FFFFFF"/>
            <w:noWrap/>
            <w:vAlign w:val="center"/>
            <w:hideMark/>
          </w:tcPr>
          <w:p w14:paraId="2E1531C3" w14:textId="77777777" w:rsidR="009E6F01" w:rsidRPr="009E6F01" w:rsidRDefault="009E6F01" w:rsidP="009E6F01">
            <w:pPr>
              <w:jc w:val="center"/>
              <w:rPr>
                <w:rFonts w:ascii="Calibri" w:eastAsia="Times New Roman" w:hAnsi="Calibri" w:cs="Calibri"/>
                <w:color w:val="000000"/>
                <w:sz w:val="18"/>
                <w:szCs w:val="18"/>
              </w:rPr>
            </w:pPr>
            <w:r w:rsidRPr="009E6F01">
              <w:rPr>
                <w:rFonts w:ascii="Calibri" w:eastAsia="Times New Roman" w:hAnsi="Calibri" w:cs="Calibri"/>
                <w:color w:val="000000"/>
                <w:sz w:val="18"/>
                <w:szCs w:val="18"/>
              </w:rPr>
              <w:t>-24.372</w:t>
            </w:r>
          </w:p>
        </w:tc>
        <w:tc>
          <w:tcPr>
            <w:tcW w:w="370" w:type="pct"/>
            <w:tcBorders>
              <w:top w:val="nil"/>
              <w:left w:val="nil"/>
              <w:bottom w:val="single" w:sz="4" w:space="0" w:color="auto"/>
              <w:right w:val="nil"/>
            </w:tcBorders>
            <w:shd w:val="clear" w:color="000000" w:fill="FFFFFF"/>
            <w:noWrap/>
            <w:vAlign w:val="center"/>
            <w:hideMark/>
          </w:tcPr>
          <w:p w14:paraId="7E22CD78" w14:textId="77777777" w:rsidR="009E6F01" w:rsidRPr="009E6F01" w:rsidRDefault="009E6F01" w:rsidP="009E6F01">
            <w:pPr>
              <w:jc w:val="center"/>
              <w:rPr>
                <w:rFonts w:ascii="Calibri" w:eastAsia="Times New Roman" w:hAnsi="Calibri" w:cs="Calibri"/>
                <w:color w:val="000000"/>
                <w:sz w:val="18"/>
                <w:szCs w:val="18"/>
              </w:rPr>
            </w:pPr>
            <w:r w:rsidRPr="009E6F01">
              <w:rPr>
                <w:rFonts w:ascii="Calibri" w:eastAsia="Times New Roman" w:hAnsi="Calibri" w:cs="Calibri"/>
                <w:color w:val="000000"/>
                <w:sz w:val="18"/>
                <w:szCs w:val="18"/>
              </w:rPr>
              <w:t>-13.828</w:t>
            </w:r>
          </w:p>
        </w:tc>
        <w:tc>
          <w:tcPr>
            <w:tcW w:w="326" w:type="pct"/>
            <w:tcBorders>
              <w:top w:val="nil"/>
              <w:left w:val="nil"/>
              <w:bottom w:val="single" w:sz="4" w:space="0" w:color="auto"/>
              <w:right w:val="nil"/>
            </w:tcBorders>
            <w:shd w:val="clear" w:color="000000" w:fill="FFFFFF"/>
            <w:noWrap/>
            <w:vAlign w:val="center"/>
            <w:hideMark/>
          </w:tcPr>
          <w:p w14:paraId="18316750" w14:textId="77777777" w:rsidR="009E6F01" w:rsidRPr="009E6F01" w:rsidRDefault="009E6F01" w:rsidP="009E6F01">
            <w:pPr>
              <w:jc w:val="center"/>
              <w:rPr>
                <w:rFonts w:ascii="Calibri" w:eastAsia="Times New Roman" w:hAnsi="Calibri" w:cs="Calibri"/>
                <w:color w:val="000000"/>
                <w:sz w:val="18"/>
                <w:szCs w:val="18"/>
              </w:rPr>
            </w:pPr>
            <w:r w:rsidRPr="009E6F01">
              <w:rPr>
                <w:rFonts w:ascii="Calibri" w:eastAsia="Times New Roman" w:hAnsi="Calibri" w:cs="Calibri"/>
                <w:color w:val="000000"/>
                <w:sz w:val="18"/>
                <w:szCs w:val="18"/>
              </w:rPr>
              <w:t>-21.965</w:t>
            </w:r>
          </w:p>
        </w:tc>
        <w:tc>
          <w:tcPr>
            <w:tcW w:w="326" w:type="pct"/>
            <w:tcBorders>
              <w:top w:val="nil"/>
              <w:left w:val="nil"/>
              <w:bottom w:val="single" w:sz="4" w:space="0" w:color="auto"/>
              <w:right w:val="nil"/>
            </w:tcBorders>
            <w:shd w:val="clear" w:color="000000" w:fill="FFFFFF"/>
            <w:noWrap/>
            <w:vAlign w:val="center"/>
            <w:hideMark/>
          </w:tcPr>
          <w:p w14:paraId="3A551F23" w14:textId="77777777" w:rsidR="009E6F01" w:rsidRPr="009E6F01" w:rsidRDefault="009E6F01" w:rsidP="009E6F01">
            <w:pPr>
              <w:jc w:val="center"/>
              <w:rPr>
                <w:rFonts w:ascii="Calibri" w:eastAsia="Times New Roman" w:hAnsi="Calibri" w:cs="Calibri"/>
                <w:color w:val="000000"/>
                <w:sz w:val="18"/>
                <w:szCs w:val="18"/>
              </w:rPr>
            </w:pPr>
            <w:r w:rsidRPr="009E6F01">
              <w:rPr>
                <w:rFonts w:ascii="Calibri" w:eastAsia="Times New Roman" w:hAnsi="Calibri" w:cs="Calibri"/>
                <w:color w:val="000000"/>
                <w:sz w:val="18"/>
                <w:szCs w:val="18"/>
              </w:rPr>
              <w:t>-18.047</w:t>
            </w:r>
          </w:p>
        </w:tc>
        <w:tc>
          <w:tcPr>
            <w:tcW w:w="352" w:type="pct"/>
            <w:tcBorders>
              <w:top w:val="nil"/>
              <w:left w:val="nil"/>
              <w:bottom w:val="single" w:sz="4" w:space="0" w:color="auto"/>
              <w:right w:val="single" w:sz="4" w:space="0" w:color="auto"/>
            </w:tcBorders>
            <w:shd w:val="clear" w:color="000000" w:fill="FFFFFF"/>
            <w:noWrap/>
            <w:vAlign w:val="center"/>
            <w:hideMark/>
          </w:tcPr>
          <w:p w14:paraId="6E984898" w14:textId="77777777" w:rsidR="009E6F01" w:rsidRPr="009E6F01" w:rsidRDefault="009E6F01" w:rsidP="009E6F01">
            <w:pPr>
              <w:jc w:val="center"/>
              <w:rPr>
                <w:rFonts w:ascii="Calibri" w:eastAsia="Times New Roman" w:hAnsi="Calibri" w:cs="Calibri"/>
                <w:color w:val="000000"/>
                <w:sz w:val="18"/>
                <w:szCs w:val="18"/>
              </w:rPr>
            </w:pPr>
            <w:r w:rsidRPr="009E6F01">
              <w:rPr>
                <w:rFonts w:ascii="Calibri" w:eastAsia="Times New Roman" w:hAnsi="Calibri" w:cs="Calibri"/>
                <w:color w:val="000000"/>
                <w:sz w:val="18"/>
                <w:szCs w:val="18"/>
              </w:rPr>
              <w:t>-57.694</w:t>
            </w:r>
          </w:p>
        </w:tc>
        <w:tc>
          <w:tcPr>
            <w:tcW w:w="326" w:type="pct"/>
            <w:tcBorders>
              <w:top w:val="nil"/>
              <w:left w:val="nil"/>
              <w:bottom w:val="single" w:sz="4" w:space="0" w:color="auto"/>
              <w:right w:val="nil"/>
            </w:tcBorders>
            <w:shd w:val="clear" w:color="000000" w:fill="FFFFFF"/>
            <w:noWrap/>
            <w:vAlign w:val="center"/>
            <w:hideMark/>
          </w:tcPr>
          <w:p w14:paraId="6325E8FA" w14:textId="77777777" w:rsidR="009E6F01" w:rsidRPr="009E6F01" w:rsidRDefault="009E6F01" w:rsidP="009E6F01">
            <w:pPr>
              <w:jc w:val="center"/>
              <w:rPr>
                <w:rFonts w:ascii="Calibri" w:eastAsia="Times New Roman" w:hAnsi="Calibri" w:cs="Calibri"/>
                <w:color w:val="000000"/>
                <w:sz w:val="18"/>
                <w:szCs w:val="18"/>
              </w:rPr>
            </w:pPr>
            <w:r w:rsidRPr="009E6F01">
              <w:rPr>
                <w:rFonts w:ascii="Calibri" w:eastAsia="Times New Roman" w:hAnsi="Calibri" w:cs="Calibri"/>
                <w:color w:val="000000"/>
                <w:sz w:val="18"/>
                <w:szCs w:val="18"/>
              </w:rPr>
              <w:t>-122.529</w:t>
            </w:r>
          </w:p>
        </w:tc>
        <w:tc>
          <w:tcPr>
            <w:tcW w:w="373" w:type="pct"/>
            <w:tcBorders>
              <w:top w:val="nil"/>
              <w:left w:val="nil"/>
              <w:bottom w:val="single" w:sz="4" w:space="0" w:color="auto"/>
              <w:right w:val="nil"/>
            </w:tcBorders>
            <w:shd w:val="clear" w:color="000000" w:fill="FFFFFF"/>
            <w:noWrap/>
            <w:vAlign w:val="center"/>
            <w:hideMark/>
          </w:tcPr>
          <w:p w14:paraId="40679F1A" w14:textId="77777777" w:rsidR="009E6F01" w:rsidRPr="009E6F01" w:rsidRDefault="009E6F01" w:rsidP="009E6F01">
            <w:pPr>
              <w:jc w:val="center"/>
              <w:rPr>
                <w:rFonts w:ascii="Calibri" w:eastAsia="Times New Roman" w:hAnsi="Calibri" w:cs="Calibri"/>
                <w:color w:val="000000"/>
                <w:sz w:val="18"/>
                <w:szCs w:val="18"/>
              </w:rPr>
            </w:pPr>
            <w:r w:rsidRPr="009E6F01">
              <w:rPr>
                <w:rFonts w:ascii="Calibri" w:eastAsia="Times New Roman" w:hAnsi="Calibri" w:cs="Calibri"/>
                <w:color w:val="000000"/>
                <w:sz w:val="18"/>
                <w:szCs w:val="18"/>
              </w:rPr>
              <w:t>-89.208</w:t>
            </w:r>
          </w:p>
        </w:tc>
        <w:tc>
          <w:tcPr>
            <w:tcW w:w="370" w:type="pct"/>
            <w:tcBorders>
              <w:top w:val="nil"/>
              <w:left w:val="nil"/>
              <w:bottom w:val="single" w:sz="4" w:space="0" w:color="auto"/>
              <w:right w:val="nil"/>
            </w:tcBorders>
            <w:shd w:val="clear" w:color="000000" w:fill="FFFFFF"/>
            <w:noWrap/>
            <w:vAlign w:val="center"/>
            <w:hideMark/>
          </w:tcPr>
          <w:p w14:paraId="624F91F1" w14:textId="77777777" w:rsidR="009E6F01" w:rsidRPr="009E6F01" w:rsidRDefault="009E6F01" w:rsidP="009E6F01">
            <w:pPr>
              <w:jc w:val="center"/>
              <w:rPr>
                <w:rFonts w:ascii="Calibri" w:eastAsia="Times New Roman" w:hAnsi="Calibri" w:cs="Calibri"/>
                <w:color w:val="000000"/>
                <w:sz w:val="18"/>
                <w:szCs w:val="18"/>
              </w:rPr>
            </w:pPr>
            <w:r w:rsidRPr="009E6F01">
              <w:rPr>
                <w:rFonts w:ascii="Calibri" w:eastAsia="Times New Roman" w:hAnsi="Calibri" w:cs="Calibri"/>
                <w:color w:val="000000"/>
                <w:sz w:val="18"/>
                <w:szCs w:val="18"/>
              </w:rPr>
              <w:t>-37.53</w:t>
            </w:r>
          </w:p>
        </w:tc>
        <w:tc>
          <w:tcPr>
            <w:tcW w:w="326" w:type="pct"/>
            <w:tcBorders>
              <w:top w:val="nil"/>
              <w:left w:val="nil"/>
              <w:bottom w:val="single" w:sz="4" w:space="0" w:color="auto"/>
              <w:right w:val="nil"/>
            </w:tcBorders>
            <w:shd w:val="clear" w:color="000000" w:fill="FFFFFF"/>
            <w:noWrap/>
            <w:vAlign w:val="center"/>
            <w:hideMark/>
          </w:tcPr>
          <w:p w14:paraId="219EC12A" w14:textId="77777777" w:rsidR="009E6F01" w:rsidRPr="009E6F01" w:rsidRDefault="009E6F01" w:rsidP="009E6F01">
            <w:pPr>
              <w:jc w:val="center"/>
              <w:rPr>
                <w:rFonts w:ascii="Calibri" w:eastAsia="Times New Roman" w:hAnsi="Calibri" w:cs="Calibri"/>
                <w:color w:val="000000"/>
                <w:sz w:val="18"/>
                <w:szCs w:val="18"/>
              </w:rPr>
            </w:pPr>
            <w:r w:rsidRPr="009E6F01">
              <w:rPr>
                <w:rFonts w:ascii="Calibri" w:eastAsia="Times New Roman" w:hAnsi="Calibri" w:cs="Calibri"/>
                <w:color w:val="000000"/>
                <w:sz w:val="18"/>
                <w:szCs w:val="18"/>
              </w:rPr>
              <w:t>-52.889</w:t>
            </w:r>
          </w:p>
        </w:tc>
        <w:tc>
          <w:tcPr>
            <w:tcW w:w="326" w:type="pct"/>
            <w:tcBorders>
              <w:top w:val="nil"/>
              <w:left w:val="nil"/>
              <w:bottom w:val="single" w:sz="4" w:space="0" w:color="auto"/>
              <w:right w:val="nil"/>
            </w:tcBorders>
            <w:shd w:val="clear" w:color="000000" w:fill="FFFFFF"/>
            <w:noWrap/>
            <w:vAlign w:val="center"/>
            <w:hideMark/>
          </w:tcPr>
          <w:p w14:paraId="62653056" w14:textId="77777777" w:rsidR="009E6F01" w:rsidRPr="009E6F01" w:rsidRDefault="009E6F01" w:rsidP="009E6F01">
            <w:pPr>
              <w:jc w:val="center"/>
              <w:rPr>
                <w:rFonts w:ascii="Calibri" w:eastAsia="Times New Roman" w:hAnsi="Calibri" w:cs="Calibri"/>
                <w:color w:val="000000"/>
                <w:sz w:val="18"/>
                <w:szCs w:val="18"/>
              </w:rPr>
            </w:pPr>
            <w:r w:rsidRPr="009E6F01">
              <w:rPr>
                <w:rFonts w:ascii="Calibri" w:eastAsia="Times New Roman" w:hAnsi="Calibri" w:cs="Calibri"/>
                <w:color w:val="000000"/>
                <w:sz w:val="18"/>
                <w:szCs w:val="18"/>
              </w:rPr>
              <w:t>-56.001</w:t>
            </w:r>
          </w:p>
        </w:tc>
        <w:tc>
          <w:tcPr>
            <w:tcW w:w="351" w:type="pct"/>
            <w:tcBorders>
              <w:top w:val="nil"/>
              <w:left w:val="nil"/>
              <w:bottom w:val="single" w:sz="4" w:space="0" w:color="auto"/>
              <w:right w:val="nil"/>
            </w:tcBorders>
            <w:shd w:val="clear" w:color="000000" w:fill="FFFFFF"/>
            <w:noWrap/>
            <w:vAlign w:val="center"/>
            <w:hideMark/>
          </w:tcPr>
          <w:p w14:paraId="5EFC4967" w14:textId="77777777" w:rsidR="009E6F01" w:rsidRPr="009E6F01" w:rsidRDefault="009E6F01" w:rsidP="009E6F01">
            <w:pPr>
              <w:jc w:val="center"/>
              <w:rPr>
                <w:rFonts w:ascii="Calibri" w:eastAsia="Times New Roman" w:hAnsi="Calibri" w:cs="Calibri"/>
                <w:color w:val="000000"/>
                <w:sz w:val="18"/>
                <w:szCs w:val="18"/>
              </w:rPr>
            </w:pPr>
            <w:r w:rsidRPr="009E6F01">
              <w:rPr>
                <w:rFonts w:ascii="Calibri" w:eastAsia="Times New Roman" w:hAnsi="Calibri" w:cs="Calibri"/>
                <w:color w:val="000000"/>
                <w:sz w:val="18"/>
                <w:szCs w:val="18"/>
              </w:rPr>
              <w:t>-174.54</w:t>
            </w:r>
          </w:p>
        </w:tc>
      </w:tr>
      <w:tr w:rsidR="009E6F01" w:rsidRPr="009E6F01" w14:paraId="182E0D77" w14:textId="77777777" w:rsidTr="00CA3D1E">
        <w:trPr>
          <w:trHeight w:val="288"/>
        </w:trPr>
        <w:tc>
          <w:tcPr>
            <w:tcW w:w="287" w:type="pct"/>
            <w:tcBorders>
              <w:top w:val="nil"/>
              <w:left w:val="nil"/>
              <w:bottom w:val="single" w:sz="4" w:space="0" w:color="auto"/>
              <w:right w:val="nil"/>
            </w:tcBorders>
            <w:shd w:val="clear" w:color="000000" w:fill="FFFFFF"/>
            <w:noWrap/>
            <w:vAlign w:val="center"/>
            <w:hideMark/>
          </w:tcPr>
          <w:p w14:paraId="76BFCE08" w14:textId="77777777" w:rsidR="009E6F01" w:rsidRPr="009E6F01" w:rsidRDefault="009E6F01" w:rsidP="009E6F01">
            <w:pPr>
              <w:jc w:val="center"/>
              <w:rPr>
                <w:rFonts w:ascii="Calibri" w:eastAsia="Times New Roman" w:hAnsi="Calibri" w:cs="Calibri"/>
                <w:color w:val="000000"/>
                <w:sz w:val="18"/>
                <w:szCs w:val="18"/>
              </w:rPr>
            </w:pPr>
            <w:r w:rsidRPr="009E6F01">
              <w:rPr>
                <w:rFonts w:ascii="Calibri" w:eastAsia="Times New Roman" w:hAnsi="Calibri" w:cs="Calibri"/>
                <w:color w:val="000000"/>
                <w:sz w:val="18"/>
                <w:szCs w:val="18"/>
              </w:rPr>
              <w:t>M3</w:t>
            </w:r>
          </w:p>
        </w:tc>
        <w:tc>
          <w:tcPr>
            <w:tcW w:w="590" w:type="pct"/>
            <w:tcBorders>
              <w:top w:val="nil"/>
              <w:left w:val="nil"/>
              <w:bottom w:val="single" w:sz="4" w:space="0" w:color="auto"/>
              <w:right w:val="nil"/>
            </w:tcBorders>
            <w:shd w:val="clear" w:color="000000" w:fill="FFFFFF"/>
            <w:noWrap/>
            <w:vAlign w:val="center"/>
            <w:hideMark/>
          </w:tcPr>
          <w:p w14:paraId="374FF1A8" w14:textId="77777777" w:rsidR="009E6F01" w:rsidRPr="009E6F01" w:rsidRDefault="009E6F01" w:rsidP="009E6F01">
            <w:pPr>
              <w:jc w:val="center"/>
              <w:rPr>
                <w:rFonts w:ascii="Calibri" w:eastAsia="Times New Roman" w:hAnsi="Calibri" w:cs="Calibri"/>
                <w:color w:val="000000"/>
                <w:sz w:val="18"/>
                <w:szCs w:val="18"/>
              </w:rPr>
            </w:pPr>
            <w:proofErr w:type="spellStart"/>
            <w:r w:rsidRPr="009E6F01">
              <w:rPr>
                <w:rFonts w:ascii="Calibri" w:eastAsia="Times New Roman" w:hAnsi="Calibri" w:cs="Calibri"/>
                <w:color w:val="000000"/>
                <w:sz w:val="18"/>
                <w:szCs w:val="18"/>
              </w:rPr>
              <w:t>Covs</w:t>
            </w:r>
            <w:proofErr w:type="spellEnd"/>
            <w:r w:rsidRPr="009E6F01">
              <w:rPr>
                <w:rFonts w:ascii="Calibri" w:eastAsia="Times New Roman" w:hAnsi="Calibri" w:cs="Calibri"/>
                <w:color w:val="000000"/>
                <w:sz w:val="18"/>
                <w:szCs w:val="18"/>
              </w:rPr>
              <w:t xml:space="preserve"> </w:t>
            </w:r>
          </w:p>
        </w:tc>
        <w:tc>
          <w:tcPr>
            <w:tcW w:w="2051" w:type="pct"/>
            <w:gridSpan w:val="6"/>
            <w:tcBorders>
              <w:top w:val="single" w:sz="4" w:space="0" w:color="auto"/>
              <w:left w:val="nil"/>
              <w:bottom w:val="single" w:sz="4" w:space="0" w:color="auto"/>
              <w:right w:val="single" w:sz="4" w:space="0" w:color="000000"/>
            </w:tcBorders>
            <w:shd w:val="clear" w:color="000000" w:fill="FFFFFF"/>
            <w:noWrap/>
            <w:vAlign w:val="center"/>
            <w:hideMark/>
          </w:tcPr>
          <w:p w14:paraId="10F6917A" w14:textId="77777777" w:rsidR="009E6F01" w:rsidRPr="009E6F01" w:rsidRDefault="009E6F01" w:rsidP="009E6F01">
            <w:pPr>
              <w:jc w:val="center"/>
              <w:rPr>
                <w:rFonts w:ascii="Calibri" w:eastAsia="Times New Roman" w:hAnsi="Calibri" w:cs="Calibri"/>
                <w:color w:val="000000"/>
                <w:sz w:val="18"/>
                <w:szCs w:val="18"/>
              </w:rPr>
            </w:pPr>
            <w:r w:rsidRPr="009E6F01">
              <w:rPr>
                <w:rFonts w:ascii="Calibri" w:eastAsia="Times New Roman" w:hAnsi="Calibri" w:cs="Calibri"/>
                <w:color w:val="000000"/>
                <w:sz w:val="18"/>
                <w:szCs w:val="18"/>
              </w:rPr>
              <w:t>NIL</w:t>
            </w:r>
          </w:p>
        </w:tc>
        <w:tc>
          <w:tcPr>
            <w:tcW w:w="2072" w:type="pct"/>
            <w:gridSpan w:val="6"/>
            <w:tcBorders>
              <w:top w:val="single" w:sz="4" w:space="0" w:color="auto"/>
              <w:left w:val="nil"/>
              <w:bottom w:val="single" w:sz="4" w:space="0" w:color="auto"/>
              <w:right w:val="nil"/>
            </w:tcBorders>
            <w:shd w:val="clear" w:color="000000" w:fill="FFFFFF"/>
            <w:noWrap/>
            <w:vAlign w:val="center"/>
            <w:hideMark/>
          </w:tcPr>
          <w:p w14:paraId="5E37A7D2" w14:textId="77777777" w:rsidR="009E6F01" w:rsidRPr="009E6F01" w:rsidRDefault="009E6F01" w:rsidP="009E6F01">
            <w:pPr>
              <w:jc w:val="center"/>
              <w:rPr>
                <w:rFonts w:ascii="Calibri" w:eastAsia="Times New Roman" w:hAnsi="Calibri" w:cs="Calibri"/>
                <w:color w:val="000000"/>
                <w:sz w:val="18"/>
                <w:szCs w:val="18"/>
              </w:rPr>
            </w:pPr>
            <w:r w:rsidRPr="009E6F01">
              <w:rPr>
                <w:rFonts w:ascii="Calibri" w:eastAsia="Times New Roman" w:hAnsi="Calibri" w:cs="Calibri"/>
                <w:color w:val="000000"/>
                <w:sz w:val="18"/>
                <w:szCs w:val="18"/>
              </w:rPr>
              <w:t>NIL</w:t>
            </w:r>
          </w:p>
        </w:tc>
      </w:tr>
      <w:tr w:rsidR="009E6F01" w:rsidRPr="009E6F01" w14:paraId="1A56822A" w14:textId="77777777" w:rsidTr="00CA3D1E">
        <w:trPr>
          <w:trHeight w:val="288"/>
        </w:trPr>
        <w:tc>
          <w:tcPr>
            <w:tcW w:w="287" w:type="pct"/>
            <w:tcBorders>
              <w:top w:val="nil"/>
              <w:left w:val="nil"/>
              <w:bottom w:val="single" w:sz="4" w:space="0" w:color="auto"/>
              <w:right w:val="nil"/>
            </w:tcBorders>
            <w:shd w:val="clear" w:color="000000" w:fill="FFFFFF"/>
            <w:noWrap/>
            <w:vAlign w:val="center"/>
            <w:hideMark/>
          </w:tcPr>
          <w:p w14:paraId="39C75078" w14:textId="77777777" w:rsidR="009E6F01" w:rsidRPr="009E6F01" w:rsidRDefault="009E6F01" w:rsidP="009E6F01">
            <w:pPr>
              <w:jc w:val="center"/>
              <w:rPr>
                <w:rFonts w:ascii="Calibri" w:eastAsia="Times New Roman" w:hAnsi="Calibri" w:cs="Calibri"/>
                <w:color w:val="000000"/>
                <w:sz w:val="18"/>
                <w:szCs w:val="18"/>
              </w:rPr>
            </w:pPr>
            <w:r w:rsidRPr="009E6F01">
              <w:rPr>
                <w:rFonts w:ascii="Calibri" w:eastAsia="Times New Roman" w:hAnsi="Calibri" w:cs="Calibri"/>
                <w:color w:val="000000"/>
                <w:sz w:val="18"/>
                <w:szCs w:val="18"/>
              </w:rPr>
              <w:t>M4-M3</w:t>
            </w:r>
          </w:p>
        </w:tc>
        <w:tc>
          <w:tcPr>
            <w:tcW w:w="590" w:type="pct"/>
            <w:tcBorders>
              <w:top w:val="nil"/>
              <w:left w:val="nil"/>
              <w:bottom w:val="single" w:sz="4" w:space="0" w:color="auto"/>
              <w:right w:val="nil"/>
            </w:tcBorders>
            <w:shd w:val="clear" w:color="000000" w:fill="FFFFFF"/>
            <w:noWrap/>
            <w:vAlign w:val="center"/>
            <w:hideMark/>
          </w:tcPr>
          <w:p w14:paraId="2E66D4F3" w14:textId="77777777" w:rsidR="009E6F01" w:rsidRPr="009E6F01" w:rsidRDefault="009E6F01" w:rsidP="009E6F01">
            <w:pPr>
              <w:jc w:val="center"/>
              <w:rPr>
                <w:rFonts w:ascii="Calibri" w:eastAsia="Times New Roman" w:hAnsi="Calibri" w:cs="Calibri"/>
                <w:color w:val="000000"/>
                <w:sz w:val="18"/>
                <w:szCs w:val="18"/>
              </w:rPr>
            </w:pPr>
            <w:proofErr w:type="spellStart"/>
            <w:r w:rsidRPr="009E6F01">
              <w:rPr>
                <w:rFonts w:ascii="Calibri" w:eastAsia="Times New Roman" w:hAnsi="Calibri" w:cs="Calibri"/>
                <w:color w:val="000000"/>
                <w:sz w:val="18"/>
                <w:szCs w:val="18"/>
              </w:rPr>
              <w:t>PRS+Covs</w:t>
            </w:r>
            <w:proofErr w:type="spellEnd"/>
            <w:r w:rsidRPr="009E6F01">
              <w:rPr>
                <w:rFonts w:ascii="Calibri" w:eastAsia="Times New Roman" w:hAnsi="Calibri" w:cs="Calibri"/>
                <w:color w:val="000000"/>
                <w:sz w:val="18"/>
                <w:szCs w:val="18"/>
              </w:rPr>
              <w:t xml:space="preserve"> </w:t>
            </w:r>
          </w:p>
        </w:tc>
        <w:tc>
          <w:tcPr>
            <w:tcW w:w="2051" w:type="pct"/>
            <w:gridSpan w:val="6"/>
            <w:tcBorders>
              <w:top w:val="single" w:sz="4" w:space="0" w:color="auto"/>
              <w:left w:val="nil"/>
              <w:bottom w:val="single" w:sz="4" w:space="0" w:color="auto"/>
              <w:right w:val="single" w:sz="4" w:space="0" w:color="000000"/>
            </w:tcBorders>
            <w:shd w:val="clear" w:color="000000" w:fill="FFFFFF"/>
            <w:noWrap/>
            <w:vAlign w:val="center"/>
            <w:hideMark/>
          </w:tcPr>
          <w:p w14:paraId="3A044173" w14:textId="77777777" w:rsidR="009E6F01" w:rsidRPr="009E6F01" w:rsidRDefault="009E6F01" w:rsidP="009E6F01">
            <w:pPr>
              <w:jc w:val="center"/>
              <w:rPr>
                <w:rFonts w:ascii="Calibri" w:eastAsia="Times New Roman" w:hAnsi="Calibri" w:cs="Calibri"/>
                <w:color w:val="000000"/>
                <w:sz w:val="18"/>
                <w:szCs w:val="18"/>
              </w:rPr>
            </w:pPr>
            <w:r w:rsidRPr="009E6F01">
              <w:rPr>
                <w:rFonts w:ascii="Calibri" w:eastAsia="Times New Roman" w:hAnsi="Calibri" w:cs="Calibri"/>
                <w:color w:val="000000"/>
                <w:sz w:val="18"/>
                <w:szCs w:val="18"/>
              </w:rPr>
              <w:t>-0.363</w:t>
            </w:r>
          </w:p>
        </w:tc>
        <w:tc>
          <w:tcPr>
            <w:tcW w:w="2072" w:type="pct"/>
            <w:gridSpan w:val="6"/>
            <w:tcBorders>
              <w:top w:val="single" w:sz="4" w:space="0" w:color="auto"/>
              <w:left w:val="nil"/>
              <w:bottom w:val="single" w:sz="4" w:space="0" w:color="auto"/>
              <w:right w:val="nil"/>
            </w:tcBorders>
            <w:shd w:val="clear" w:color="000000" w:fill="FFFFFF"/>
            <w:noWrap/>
            <w:vAlign w:val="center"/>
            <w:hideMark/>
          </w:tcPr>
          <w:p w14:paraId="504FA414" w14:textId="77777777" w:rsidR="009E6F01" w:rsidRPr="009E6F01" w:rsidRDefault="009E6F01" w:rsidP="009E6F01">
            <w:pPr>
              <w:jc w:val="center"/>
              <w:rPr>
                <w:rFonts w:ascii="Calibri" w:eastAsia="Times New Roman" w:hAnsi="Calibri" w:cs="Calibri"/>
                <w:color w:val="000000"/>
                <w:sz w:val="18"/>
                <w:szCs w:val="18"/>
              </w:rPr>
            </w:pPr>
            <w:r w:rsidRPr="009E6F01">
              <w:rPr>
                <w:rFonts w:ascii="Calibri" w:eastAsia="Times New Roman" w:hAnsi="Calibri" w:cs="Calibri"/>
                <w:color w:val="000000"/>
                <w:sz w:val="18"/>
                <w:szCs w:val="18"/>
              </w:rPr>
              <w:t>-0.273</w:t>
            </w:r>
          </w:p>
        </w:tc>
      </w:tr>
      <w:tr w:rsidR="009E6F01" w:rsidRPr="009E6F01" w14:paraId="47D57702" w14:textId="77777777" w:rsidTr="00A91AA1">
        <w:trPr>
          <w:trHeight w:val="300"/>
        </w:trPr>
        <w:tc>
          <w:tcPr>
            <w:tcW w:w="287" w:type="pct"/>
            <w:tcBorders>
              <w:top w:val="nil"/>
              <w:left w:val="nil"/>
              <w:bottom w:val="single" w:sz="12" w:space="0" w:color="auto"/>
              <w:right w:val="nil"/>
            </w:tcBorders>
            <w:shd w:val="clear" w:color="000000" w:fill="FFFFFF"/>
            <w:noWrap/>
            <w:vAlign w:val="center"/>
            <w:hideMark/>
          </w:tcPr>
          <w:p w14:paraId="03CC3225" w14:textId="77777777" w:rsidR="009E6F01" w:rsidRPr="009E6F01" w:rsidRDefault="009E6F01" w:rsidP="009E6F01">
            <w:pPr>
              <w:jc w:val="center"/>
              <w:rPr>
                <w:rFonts w:ascii="Calibri" w:eastAsia="Times New Roman" w:hAnsi="Calibri" w:cs="Calibri"/>
                <w:color w:val="000000"/>
                <w:sz w:val="18"/>
                <w:szCs w:val="18"/>
              </w:rPr>
            </w:pPr>
            <w:r w:rsidRPr="009E6F01">
              <w:rPr>
                <w:rFonts w:ascii="Calibri" w:eastAsia="Times New Roman" w:hAnsi="Calibri" w:cs="Calibri"/>
                <w:color w:val="000000"/>
                <w:sz w:val="18"/>
                <w:szCs w:val="18"/>
              </w:rPr>
              <w:t>M5-M4</w:t>
            </w:r>
          </w:p>
        </w:tc>
        <w:tc>
          <w:tcPr>
            <w:tcW w:w="590" w:type="pct"/>
            <w:tcBorders>
              <w:top w:val="nil"/>
              <w:left w:val="nil"/>
              <w:bottom w:val="single" w:sz="12" w:space="0" w:color="auto"/>
              <w:right w:val="nil"/>
            </w:tcBorders>
            <w:shd w:val="clear" w:color="000000" w:fill="FFFFFF"/>
            <w:noWrap/>
            <w:vAlign w:val="center"/>
            <w:hideMark/>
          </w:tcPr>
          <w:p w14:paraId="4BAC6159" w14:textId="77777777" w:rsidR="009E6F01" w:rsidRPr="009E6F01" w:rsidRDefault="009E6F01" w:rsidP="009E6F01">
            <w:pPr>
              <w:jc w:val="center"/>
              <w:rPr>
                <w:rFonts w:ascii="Calibri" w:eastAsia="Times New Roman" w:hAnsi="Calibri" w:cs="Calibri"/>
                <w:color w:val="000000"/>
                <w:sz w:val="18"/>
                <w:szCs w:val="18"/>
              </w:rPr>
            </w:pPr>
            <w:proofErr w:type="spellStart"/>
            <w:r w:rsidRPr="009E6F01">
              <w:rPr>
                <w:rFonts w:ascii="Calibri" w:eastAsia="Times New Roman" w:hAnsi="Calibri" w:cs="Calibri"/>
                <w:color w:val="000000"/>
                <w:sz w:val="18"/>
                <w:szCs w:val="18"/>
              </w:rPr>
              <w:t>PRS+RVI+Covs</w:t>
            </w:r>
            <w:proofErr w:type="spellEnd"/>
          </w:p>
        </w:tc>
        <w:tc>
          <w:tcPr>
            <w:tcW w:w="304" w:type="pct"/>
            <w:tcBorders>
              <w:top w:val="nil"/>
              <w:left w:val="nil"/>
              <w:bottom w:val="single" w:sz="12" w:space="0" w:color="auto"/>
              <w:right w:val="nil"/>
            </w:tcBorders>
            <w:shd w:val="clear" w:color="000000" w:fill="FFFFFF"/>
            <w:noWrap/>
            <w:vAlign w:val="center"/>
            <w:hideMark/>
          </w:tcPr>
          <w:p w14:paraId="2F1F7E1B" w14:textId="77777777" w:rsidR="009E6F01" w:rsidRPr="009E6F01" w:rsidRDefault="009E6F01" w:rsidP="009E6F01">
            <w:pPr>
              <w:jc w:val="center"/>
              <w:rPr>
                <w:rFonts w:ascii="Calibri" w:eastAsia="Times New Roman" w:hAnsi="Calibri" w:cs="Calibri"/>
                <w:color w:val="000000"/>
                <w:sz w:val="18"/>
                <w:szCs w:val="18"/>
              </w:rPr>
            </w:pPr>
            <w:r w:rsidRPr="009E6F01">
              <w:rPr>
                <w:rFonts w:ascii="Calibri" w:eastAsia="Times New Roman" w:hAnsi="Calibri" w:cs="Calibri"/>
                <w:color w:val="000000"/>
                <w:sz w:val="18"/>
                <w:szCs w:val="18"/>
              </w:rPr>
              <w:t>-38.347</w:t>
            </w:r>
          </w:p>
        </w:tc>
        <w:tc>
          <w:tcPr>
            <w:tcW w:w="373" w:type="pct"/>
            <w:tcBorders>
              <w:top w:val="nil"/>
              <w:left w:val="nil"/>
              <w:bottom w:val="single" w:sz="12" w:space="0" w:color="auto"/>
              <w:right w:val="nil"/>
            </w:tcBorders>
            <w:shd w:val="clear" w:color="000000" w:fill="FFFFFF"/>
            <w:noWrap/>
            <w:vAlign w:val="center"/>
            <w:hideMark/>
          </w:tcPr>
          <w:p w14:paraId="6635A56D" w14:textId="77777777" w:rsidR="009E6F01" w:rsidRPr="009E6F01" w:rsidRDefault="009E6F01" w:rsidP="009E6F01">
            <w:pPr>
              <w:jc w:val="center"/>
              <w:rPr>
                <w:rFonts w:ascii="Calibri" w:eastAsia="Times New Roman" w:hAnsi="Calibri" w:cs="Calibri"/>
                <w:color w:val="000000"/>
                <w:sz w:val="18"/>
                <w:szCs w:val="18"/>
              </w:rPr>
            </w:pPr>
            <w:r w:rsidRPr="009E6F01">
              <w:rPr>
                <w:rFonts w:ascii="Calibri" w:eastAsia="Times New Roman" w:hAnsi="Calibri" w:cs="Calibri"/>
                <w:color w:val="000000"/>
                <w:sz w:val="18"/>
                <w:szCs w:val="18"/>
              </w:rPr>
              <w:t>-24.715</w:t>
            </w:r>
          </w:p>
        </w:tc>
        <w:tc>
          <w:tcPr>
            <w:tcW w:w="370" w:type="pct"/>
            <w:tcBorders>
              <w:top w:val="nil"/>
              <w:left w:val="nil"/>
              <w:bottom w:val="single" w:sz="12" w:space="0" w:color="auto"/>
              <w:right w:val="nil"/>
            </w:tcBorders>
            <w:shd w:val="clear" w:color="000000" w:fill="FFFFFF"/>
            <w:noWrap/>
            <w:vAlign w:val="center"/>
            <w:hideMark/>
          </w:tcPr>
          <w:p w14:paraId="33183BB6" w14:textId="77777777" w:rsidR="009E6F01" w:rsidRPr="009E6F01" w:rsidRDefault="009E6F01" w:rsidP="009E6F01">
            <w:pPr>
              <w:jc w:val="center"/>
              <w:rPr>
                <w:rFonts w:ascii="Calibri" w:eastAsia="Times New Roman" w:hAnsi="Calibri" w:cs="Calibri"/>
                <w:color w:val="000000"/>
                <w:sz w:val="18"/>
                <w:szCs w:val="18"/>
              </w:rPr>
            </w:pPr>
            <w:r w:rsidRPr="009E6F01">
              <w:rPr>
                <w:rFonts w:ascii="Calibri" w:eastAsia="Times New Roman" w:hAnsi="Calibri" w:cs="Calibri"/>
                <w:color w:val="000000"/>
                <w:sz w:val="18"/>
                <w:szCs w:val="18"/>
              </w:rPr>
              <w:t>-12.897</w:t>
            </w:r>
          </w:p>
        </w:tc>
        <w:tc>
          <w:tcPr>
            <w:tcW w:w="326" w:type="pct"/>
            <w:tcBorders>
              <w:top w:val="nil"/>
              <w:left w:val="nil"/>
              <w:bottom w:val="single" w:sz="12" w:space="0" w:color="auto"/>
              <w:right w:val="nil"/>
            </w:tcBorders>
            <w:shd w:val="clear" w:color="000000" w:fill="FFFFFF"/>
            <w:noWrap/>
            <w:vAlign w:val="center"/>
            <w:hideMark/>
          </w:tcPr>
          <w:p w14:paraId="43B78B49" w14:textId="77777777" w:rsidR="009E6F01" w:rsidRPr="009E6F01" w:rsidRDefault="009E6F01" w:rsidP="009E6F01">
            <w:pPr>
              <w:jc w:val="center"/>
              <w:rPr>
                <w:rFonts w:ascii="Calibri" w:eastAsia="Times New Roman" w:hAnsi="Calibri" w:cs="Calibri"/>
                <w:color w:val="000000"/>
                <w:sz w:val="18"/>
                <w:szCs w:val="18"/>
              </w:rPr>
            </w:pPr>
            <w:r w:rsidRPr="009E6F01">
              <w:rPr>
                <w:rFonts w:ascii="Calibri" w:eastAsia="Times New Roman" w:hAnsi="Calibri" w:cs="Calibri"/>
                <w:color w:val="000000"/>
                <w:sz w:val="18"/>
                <w:szCs w:val="18"/>
              </w:rPr>
              <w:t>-22.276</w:t>
            </w:r>
          </w:p>
        </w:tc>
        <w:tc>
          <w:tcPr>
            <w:tcW w:w="326" w:type="pct"/>
            <w:tcBorders>
              <w:top w:val="nil"/>
              <w:left w:val="nil"/>
              <w:bottom w:val="single" w:sz="12" w:space="0" w:color="auto"/>
              <w:right w:val="nil"/>
            </w:tcBorders>
            <w:shd w:val="clear" w:color="000000" w:fill="FFFFFF"/>
            <w:noWrap/>
            <w:vAlign w:val="center"/>
            <w:hideMark/>
          </w:tcPr>
          <w:p w14:paraId="73674503" w14:textId="77777777" w:rsidR="009E6F01" w:rsidRPr="009E6F01" w:rsidRDefault="009E6F01" w:rsidP="009E6F01">
            <w:pPr>
              <w:jc w:val="center"/>
              <w:rPr>
                <w:rFonts w:ascii="Calibri" w:eastAsia="Times New Roman" w:hAnsi="Calibri" w:cs="Calibri"/>
                <w:color w:val="000000"/>
                <w:sz w:val="18"/>
                <w:szCs w:val="18"/>
              </w:rPr>
            </w:pPr>
            <w:r w:rsidRPr="009E6F01">
              <w:rPr>
                <w:rFonts w:ascii="Calibri" w:eastAsia="Times New Roman" w:hAnsi="Calibri" w:cs="Calibri"/>
                <w:color w:val="000000"/>
                <w:sz w:val="18"/>
                <w:szCs w:val="18"/>
              </w:rPr>
              <w:t>-19.151</w:t>
            </w:r>
          </w:p>
        </w:tc>
        <w:tc>
          <w:tcPr>
            <w:tcW w:w="352" w:type="pct"/>
            <w:tcBorders>
              <w:top w:val="nil"/>
              <w:left w:val="nil"/>
              <w:bottom w:val="single" w:sz="12" w:space="0" w:color="auto"/>
              <w:right w:val="single" w:sz="4" w:space="0" w:color="auto"/>
            </w:tcBorders>
            <w:shd w:val="clear" w:color="000000" w:fill="FFFFFF"/>
            <w:noWrap/>
            <w:vAlign w:val="center"/>
            <w:hideMark/>
          </w:tcPr>
          <w:p w14:paraId="5BCF6798" w14:textId="77777777" w:rsidR="009E6F01" w:rsidRPr="009E6F01" w:rsidRDefault="009E6F01" w:rsidP="009E6F01">
            <w:pPr>
              <w:jc w:val="center"/>
              <w:rPr>
                <w:rFonts w:ascii="Calibri" w:eastAsia="Times New Roman" w:hAnsi="Calibri" w:cs="Calibri"/>
                <w:color w:val="000000"/>
                <w:sz w:val="18"/>
                <w:szCs w:val="18"/>
              </w:rPr>
            </w:pPr>
            <w:r w:rsidRPr="009E6F01">
              <w:rPr>
                <w:rFonts w:ascii="Calibri" w:eastAsia="Times New Roman" w:hAnsi="Calibri" w:cs="Calibri"/>
                <w:color w:val="000000"/>
                <w:sz w:val="18"/>
                <w:szCs w:val="18"/>
              </w:rPr>
              <w:t>-58.55</w:t>
            </w:r>
          </w:p>
        </w:tc>
        <w:tc>
          <w:tcPr>
            <w:tcW w:w="326" w:type="pct"/>
            <w:tcBorders>
              <w:top w:val="nil"/>
              <w:left w:val="nil"/>
              <w:bottom w:val="single" w:sz="12" w:space="0" w:color="auto"/>
              <w:right w:val="nil"/>
            </w:tcBorders>
            <w:shd w:val="clear" w:color="000000" w:fill="FFFFFF"/>
            <w:noWrap/>
            <w:vAlign w:val="center"/>
            <w:hideMark/>
          </w:tcPr>
          <w:p w14:paraId="3EC61473" w14:textId="77777777" w:rsidR="009E6F01" w:rsidRPr="009E6F01" w:rsidRDefault="009E6F01" w:rsidP="009E6F01">
            <w:pPr>
              <w:jc w:val="center"/>
              <w:rPr>
                <w:rFonts w:ascii="Calibri" w:eastAsia="Times New Roman" w:hAnsi="Calibri" w:cs="Calibri"/>
                <w:color w:val="000000"/>
                <w:sz w:val="18"/>
                <w:szCs w:val="18"/>
              </w:rPr>
            </w:pPr>
            <w:r w:rsidRPr="009E6F01">
              <w:rPr>
                <w:rFonts w:ascii="Calibri" w:eastAsia="Times New Roman" w:hAnsi="Calibri" w:cs="Calibri"/>
                <w:color w:val="000000"/>
                <w:sz w:val="18"/>
                <w:szCs w:val="18"/>
              </w:rPr>
              <w:t>-124.326</w:t>
            </w:r>
          </w:p>
        </w:tc>
        <w:tc>
          <w:tcPr>
            <w:tcW w:w="373" w:type="pct"/>
            <w:tcBorders>
              <w:top w:val="nil"/>
              <w:left w:val="nil"/>
              <w:bottom w:val="single" w:sz="12" w:space="0" w:color="auto"/>
              <w:right w:val="nil"/>
            </w:tcBorders>
            <w:shd w:val="clear" w:color="000000" w:fill="FFFFFF"/>
            <w:noWrap/>
            <w:vAlign w:val="center"/>
            <w:hideMark/>
          </w:tcPr>
          <w:p w14:paraId="500B5EA3" w14:textId="77777777" w:rsidR="009E6F01" w:rsidRPr="009E6F01" w:rsidRDefault="009E6F01" w:rsidP="009E6F01">
            <w:pPr>
              <w:jc w:val="center"/>
              <w:rPr>
                <w:rFonts w:ascii="Calibri" w:eastAsia="Times New Roman" w:hAnsi="Calibri" w:cs="Calibri"/>
                <w:color w:val="000000"/>
                <w:sz w:val="18"/>
                <w:szCs w:val="18"/>
              </w:rPr>
            </w:pPr>
            <w:r w:rsidRPr="009E6F01">
              <w:rPr>
                <w:rFonts w:ascii="Calibri" w:eastAsia="Times New Roman" w:hAnsi="Calibri" w:cs="Calibri"/>
                <w:color w:val="000000"/>
                <w:sz w:val="18"/>
                <w:szCs w:val="18"/>
              </w:rPr>
              <w:t>-90.384</w:t>
            </w:r>
          </w:p>
        </w:tc>
        <w:tc>
          <w:tcPr>
            <w:tcW w:w="370" w:type="pct"/>
            <w:tcBorders>
              <w:top w:val="nil"/>
              <w:left w:val="nil"/>
              <w:bottom w:val="single" w:sz="12" w:space="0" w:color="auto"/>
              <w:right w:val="nil"/>
            </w:tcBorders>
            <w:shd w:val="clear" w:color="000000" w:fill="FFFFFF"/>
            <w:noWrap/>
            <w:vAlign w:val="center"/>
            <w:hideMark/>
          </w:tcPr>
          <w:p w14:paraId="5F3A6B67" w14:textId="77777777" w:rsidR="009E6F01" w:rsidRPr="009E6F01" w:rsidRDefault="009E6F01" w:rsidP="009E6F01">
            <w:pPr>
              <w:jc w:val="center"/>
              <w:rPr>
                <w:rFonts w:ascii="Calibri" w:eastAsia="Times New Roman" w:hAnsi="Calibri" w:cs="Calibri"/>
                <w:color w:val="000000"/>
                <w:sz w:val="18"/>
                <w:szCs w:val="18"/>
              </w:rPr>
            </w:pPr>
            <w:r w:rsidRPr="009E6F01">
              <w:rPr>
                <w:rFonts w:ascii="Calibri" w:eastAsia="Times New Roman" w:hAnsi="Calibri" w:cs="Calibri"/>
                <w:color w:val="000000"/>
                <w:sz w:val="18"/>
                <w:szCs w:val="18"/>
              </w:rPr>
              <w:t>-39.086</w:t>
            </w:r>
          </w:p>
        </w:tc>
        <w:tc>
          <w:tcPr>
            <w:tcW w:w="326" w:type="pct"/>
            <w:tcBorders>
              <w:top w:val="nil"/>
              <w:left w:val="nil"/>
              <w:bottom w:val="single" w:sz="12" w:space="0" w:color="auto"/>
              <w:right w:val="nil"/>
            </w:tcBorders>
            <w:shd w:val="clear" w:color="000000" w:fill="FFFFFF"/>
            <w:noWrap/>
            <w:vAlign w:val="center"/>
            <w:hideMark/>
          </w:tcPr>
          <w:p w14:paraId="5F37469A" w14:textId="77777777" w:rsidR="009E6F01" w:rsidRPr="009E6F01" w:rsidRDefault="009E6F01" w:rsidP="009E6F01">
            <w:pPr>
              <w:jc w:val="center"/>
              <w:rPr>
                <w:rFonts w:ascii="Calibri" w:eastAsia="Times New Roman" w:hAnsi="Calibri" w:cs="Calibri"/>
                <w:color w:val="000000"/>
                <w:sz w:val="18"/>
                <w:szCs w:val="18"/>
              </w:rPr>
            </w:pPr>
            <w:r w:rsidRPr="009E6F01">
              <w:rPr>
                <w:rFonts w:ascii="Calibri" w:eastAsia="Times New Roman" w:hAnsi="Calibri" w:cs="Calibri"/>
                <w:color w:val="000000"/>
                <w:sz w:val="18"/>
                <w:szCs w:val="18"/>
              </w:rPr>
              <w:t>-54.432</w:t>
            </w:r>
          </w:p>
        </w:tc>
        <w:tc>
          <w:tcPr>
            <w:tcW w:w="326" w:type="pct"/>
            <w:tcBorders>
              <w:top w:val="nil"/>
              <w:left w:val="nil"/>
              <w:bottom w:val="single" w:sz="12" w:space="0" w:color="auto"/>
              <w:right w:val="nil"/>
            </w:tcBorders>
            <w:shd w:val="clear" w:color="000000" w:fill="FFFFFF"/>
            <w:noWrap/>
            <w:vAlign w:val="center"/>
            <w:hideMark/>
          </w:tcPr>
          <w:p w14:paraId="669C6945" w14:textId="77777777" w:rsidR="009E6F01" w:rsidRPr="009E6F01" w:rsidRDefault="009E6F01" w:rsidP="009E6F01">
            <w:pPr>
              <w:jc w:val="center"/>
              <w:rPr>
                <w:rFonts w:ascii="Calibri" w:eastAsia="Times New Roman" w:hAnsi="Calibri" w:cs="Calibri"/>
                <w:color w:val="000000"/>
                <w:sz w:val="18"/>
                <w:szCs w:val="18"/>
              </w:rPr>
            </w:pPr>
            <w:r w:rsidRPr="009E6F01">
              <w:rPr>
                <w:rFonts w:ascii="Calibri" w:eastAsia="Times New Roman" w:hAnsi="Calibri" w:cs="Calibri"/>
                <w:color w:val="000000"/>
                <w:sz w:val="18"/>
                <w:szCs w:val="18"/>
              </w:rPr>
              <w:t>-56.834</w:t>
            </w:r>
          </w:p>
        </w:tc>
        <w:tc>
          <w:tcPr>
            <w:tcW w:w="351" w:type="pct"/>
            <w:tcBorders>
              <w:top w:val="nil"/>
              <w:left w:val="nil"/>
              <w:bottom w:val="single" w:sz="8" w:space="0" w:color="auto"/>
              <w:right w:val="nil"/>
            </w:tcBorders>
            <w:shd w:val="clear" w:color="000000" w:fill="FFFFFF"/>
            <w:noWrap/>
            <w:vAlign w:val="center"/>
            <w:hideMark/>
          </w:tcPr>
          <w:p w14:paraId="197F686A" w14:textId="77777777" w:rsidR="009E6F01" w:rsidRPr="009E6F01" w:rsidRDefault="009E6F01" w:rsidP="009E6F01">
            <w:pPr>
              <w:jc w:val="center"/>
              <w:rPr>
                <w:rFonts w:ascii="Calibri" w:eastAsia="Times New Roman" w:hAnsi="Calibri" w:cs="Calibri"/>
                <w:color w:val="000000"/>
                <w:sz w:val="18"/>
                <w:szCs w:val="18"/>
              </w:rPr>
            </w:pPr>
            <w:r w:rsidRPr="009E6F01">
              <w:rPr>
                <w:rFonts w:ascii="Calibri" w:eastAsia="Times New Roman" w:hAnsi="Calibri" w:cs="Calibri"/>
                <w:color w:val="000000"/>
                <w:sz w:val="18"/>
                <w:szCs w:val="18"/>
              </w:rPr>
              <w:t>-177.55</w:t>
            </w:r>
          </w:p>
        </w:tc>
      </w:tr>
      <w:tr w:rsidR="009E6F01" w:rsidRPr="009E6F01" w14:paraId="2DA08B37" w14:textId="77777777" w:rsidTr="005331CE">
        <w:trPr>
          <w:trHeight w:val="425"/>
        </w:trPr>
        <w:tc>
          <w:tcPr>
            <w:tcW w:w="5000" w:type="pct"/>
            <w:gridSpan w:val="14"/>
            <w:tcBorders>
              <w:top w:val="single" w:sz="12" w:space="0" w:color="auto"/>
              <w:left w:val="nil"/>
              <w:bottom w:val="single" w:sz="12" w:space="0" w:color="auto"/>
              <w:right w:val="nil"/>
            </w:tcBorders>
            <w:shd w:val="clear" w:color="000000" w:fill="FFFFFF"/>
            <w:noWrap/>
            <w:vAlign w:val="center"/>
            <w:hideMark/>
          </w:tcPr>
          <w:p w14:paraId="63437306" w14:textId="77777777" w:rsidR="009E6F01" w:rsidRPr="005331CE" w:rsidRDefault="009E6F01" w:rsidP="005331CE">
            <w:pPr>
              <w:rPr>
                <w:rFonts w:ascii="Calibri" w:eastAsia="Times New Roman" w:hAnsi="Calibri" w:cs="Calibri"/>
                <w:b/>
                <w:bCs/>
                <w:i/>
                <w:iCs/>
                <w:color w:val="000000"/>
                <w:sz w:val="18"/>
                <w:szCs w:val="18"/>
              </w:rPr>
            </w:pPr>
            <w:r w:rsidRPr="005331CE">
              <w:rPr>
                <w:rFonts w:ascii="Calibri" w:eastAsia="Times New Roman" w:hAnsi="Calibri" w:cs="Calibri"/>
                <w:b/>
                <w:bCs/>
                <w:i/>
                <w:iCs/>
                <w:color w:val="000000"/>
                <w:sz w:val="18"/>
                <w:szCs w:val="18"/>
              </w:rPr>
              <w:t>ABCD</w:t>
            </w:r>
          </w:p>
        </w:tc>
      </w:tr>
      <w:tr w:rsidR="009E6F01" w:rsidRPr="009E6F01" w14:paraId="6257BBB0" w14:textId="77777777" w:rsidTr="00A91AA1">
        <w:trPr>
          <w:trHeight w:val="288"/>
        </w:trPr>
        <w:tc>
          <w:tcPr>
            <w:tcW w:w="287" w:type="pct"/>
            <w:tcBorders>
              <w:top w:val="single" w:sz="12" w:space="0" w:color="auto"/>
              <w:left w:val="nil"/>
              <w:bottom w:val="nil"/>
              <w:right w:val="nil"/>
            </w:tcBorders>
            <w:shd w:val="clear" w:color="000000" w:fill="FFFFFF"/>
            <w:noWrap/>
            <w:vAlign w:val="bottom"/>
            <w:hideMark/>
          </w:tcPr>
          <w:p w14:paraId="03099540" w14:textId="77777777" w:rsidR="009E6F01" w:rsidRPr="009E6F01" w:rsidRDefault="009E6F01" w:rsidP="009E6F01">
            <w:pPr>
              <w:rPr>
                <w:rFonts w:ascii="Calibri" w:eastAsia="Times New Roman" w:hAnsi="Calibri" w:cs="Calibri"/>
                <w:color w:val="000000"/>
                <w:sz w:val="18"/>
                <w:szCs w:val="18"/>
              </w:rPr>
            </w:pPr>
            <w:r w:rsidRPr="009E6F01">
              <w:rPr>
                <w:rFonts w:ascii="Calibri" w:eastAsia="Times New Roman" w:hAnsi="Calibri" w:cs="Calibri"/>
                <w:color w:val="000000"/>
                <w:sz w:val="18"/>
                <w:szCs w:val="18"/>
              </w:rPr>
              <w:t> </w:t>
            </w:r>
          </w:p>
        </w:tc>
        <w:tc>
          <w:tcPr>
            <w:tcW w:w="590" w:type="pct"/>
            <w:tcBorders>
              <w:top w:val="single" w:sz="12" w:space="0" w:color="auto"/>
              <w:left w:val="nil"/>
              <w:bottom w:val="nil"/>
              <w:right w:val="nil"/>
            </w:tcBorders>
            <w:shd w:val="clear" w:color="000000" w:fill="FFFFFF"/>
            <w:noWrap/>
            <w:vAlign w:val="bottom"/>
            <w:hideMark/>
          </w:tcPr>
          <w:p w14:paraId="21AF6AAE" w14:textId="77777777" w:rsidR="009E6F01" w:rsidRPr="009E6F01" w:rsidRDefault="009E6F01" w:rsidP="009E6F01">
            <w:pPr>
              <w:rPr>
                <w:rFonts w:ascii="Calibri" w:eastAsia="Times New Roman" w:hAnsi="Calibri" w:cs="Calibri"/>
                <w:color w:val="000000"/>
                <w:sz w:val="18"/>
                <w:szCs w:val="18"/>
              </w:rPr>
            </w:pPr>
            <w:r w:rsidRPr="009E6F01">
              <w:rPr>
                <w:rFonts w:ascii="Calibri" w:eastAsia="Times New Roman" w:hAnsi="Calibri" w:cs="Calibri"/>
                <w:color w:val="000000"/>
                <w:sz w:val="18"/>
                <w:szCs w:val="18"/>
              </w:rPr>
              <w:t> </w:t>
            </w:r>
          </w:p>
        </w:tc>
        <w:tc>
          <w:tcPr>
            <w:tcW w:w="2051" w:type="pct"/>
            <w:gridSpan w:val="6"/>
            <w:tcBorders>
              <w:top w:val="single" w:sz="12" w:space="0" w:color="auto"/>
              <w:left w:val="nil"/>
              <w:bottom w:val="single" w:sz="4" w:space="0" w:color="auto"/>
              <w:right w:val="single" w:sz="4" w:space="0" w:color="000000"/>
            </w:tcBorders>
            <w:shd w:val="clear" w:color="000000" w:fill="FFFFFF"/>
            <w:noWrap/>
            <w:vAlign w:val="bottom"/>
            <w:hideMark/>
          </w:tcPr>
          <w:p w14:paraId="619C520E" w14:textId="77777777" w:rsidR="009E6F01" w:rsidRPr="009E6F01" w:rsidRDefault="009E6F01" w:rsidP="009E6F01">
            <w:pPr>
              <w:jc w:val="center"/>
              <w:rPr>
                <w:rFonts w:ascii="Calibri" w:eastAsia="Times New Roman" w:hAnsi="Calibri" w:cs="Calibri"/>
                <w:b/>
                <w:bCs/>
                <w:color w:val="000000"/>
                <w:sz w:val="18"/>
                <w:szCs w:val="18"/>
              </w:rPr>
            </w:pPr>
            <w:r w:rsidRPr="009E6F01">
              <w:rPr>
                <w:rFonts w:ascii="Calibri" w:eastAsia="Times New Roman" w:hAnsi="Calibri" w:cs="Calibri"/>
                <w:b/>
                <w:bCs/>
                <w:color w:val="000000"/>
                <w:sz w:val="18"/>
                <w:szCs w:val="18"/>
              </w:rPr>
              <w:t>CBCL-DSM-Depressed (Baseline)</w:t>
            </w:r>
          </w:p>
        </w:tc>
        <w:tc>
          <w:tcPr>
            <w:tcW w:w="2072" w:type="pct"/>
            <w:gridSpan w:val="6"/>
            <w:tcBorders>
              <w:top w:val="single" w:sz="12" w:space="0" w:color="auto"/>
              <w:left w:val="nil"/>
              <w:bottom w:val="single" w:sz="4" w:space="0" w:color="auto"/>
              <w:right w:val="nil"/>
            </w:tcBorders>
            <w:shd w:val="clear" w:color="000000" w:fill="FFFFFF"/>
            <w:noWrap/>
            <w:vAlign w:val="bottom"/>
            <w:hideMark/>
          </w:tcPr>
          <w:p w14:paraId="4504C072" w14:textId="77777777" w:rsidR="009E6F01" w:rsidRPr="009E6F01" w:rsidRDefault="009E6F01" w:rsidP="009E6F01">
            <w:pPr>
              <w:jc w:val="center"/>
              <w:rPr>
                <w:rFonts w:ascii="Calibri" w:eastAsia="Times New Roman" w:hAnsi="Calibri" w:cs="Calibri"/>
                <w:b/>
                <w:bCs/>
                <w:color w:val="000000"/>
                <w:sz w:val="18"/>
                <w:szCs w:val="18"/>
              </w:rPr>
            </w:pPr>
            <w:r w:rsidRPr="009E6F01">
              <w:rPr>
                <w:rFonts w:ascii="Calibri" w:eastAsia="Times New Roman" w:hAnsi="Calibri" w:cs="Calibri"/>
                <w:b/>
                <w:bCs/>
                <w:color w:val="000000"/>
                <w:sz w:val="18"/>
                <w:szCs w:val="18"/>
              </w:rPr>
              <w:t>CBCL-DSM-Depressed (Two-year)</w:t>
            </w:r>
          </w:p>
        </w:tc>
      </w:tr>
      <w:tr w:rsidR="009E6F01" w:rsidRPr="009E6F01" w14:paraId="565BE079" w14:textId="77777777" w:rsidTr="00CA3D1E">
        <w:trPr>
          <w:trHeight w:val="288"/>
        </w:trPr>
        <w:tc>
          <w:tcPr>
            <w:tcW w:w="287" w:type="pct"/>
            <w:tcBorders>
              <w:top w:val="nil"/>
              <w:left w:val="nil"/>
              <w:bottom w:val="single" w:sz="4" w:space="0" w:color="auto"/>
              <w:right w:val="nil"/>
            </w:tcBorders>
            <w:shd w:val="clear" w:color="000000" w:fill="FFFFFF"/>
            <w:noWrap/>
            <w:vAlign w:val="center"/>
            <w:hideMark/>
          </w:tcPr>
          <w:p w14:paraId="5AC84CD1" w14:textId="77777777" w:rsidR="009E6F01" w:rsidRPr="009E6F01" w:rsidRDefault="009E6F01" w:rsidP="009E6F01">
            <w:pPr>
              <w:jc w:val="center"/>
              <w:rPr>
                <w:rFonts w:ascii="Calibri" w:eastAsia="Times New Roman" w:hAnsi="Calibri" w:cs="Calibri"/>
                <w:b/>
                <w:bCs/>
                <w:color w:val="000000"/>
                <w:sz w:val="18"/>
                <w:szCs w:val="18"/>
              </w:rPr>
            </w:pPr>
            <w:r w:rsidRPr="009E6F01">
              <w:rPr>
                <w:rFonts w:ascii="Calibri" w:eastAsia="Times New Roman" w:hAnsi="Calibri" w:cs="Calibri"/>
                <w:b/>
                <w:bCs/>
                <w:color w:val="000000"/>
                <w:sz w:val="18"/>
                <w:szCs w:val="18"/>
              </w:rPr>
              <w:t>Model</w:t>
            </w:r>
          </w:p>
        </w:tc>
        <w:tc>
          <w:tcPr>
            <w:tcW w:w="590" w:type="pct"/>
            <w:tcBorders>
              <w:top w:val="nil"/>
              <w:left w:val="nil"/>
              <w:bottom w:val="single" w:sz="4" w:space="0" w:color="auto"/>
              <w:right w:val="nil"/>
            </w:tcBorders>
            <w:shd w:val="clear" w:color="000000" w:fill="FFFFFF"/>
            <w:noWrap/>
            <w:vAlign w:val="center"/>
            <w:hideMark/>
          </w:tcPr>
          <w:p w14:paraId="5137CDC2" w14:textId="77777777" w:rsidR="009E6F01" w:rsidRPr="009E6F01" w:rsidRDefault="009E6F01" w:rsidP="009E6F01">
            <w:pPr>
              <w:jc w:val="center"/>
              <w:rPr>
                <w:rFonts w:ascii="Calibri" w:eastAsia="Times New Roman" w:hAnsi="Calibri" w:cs="Calibri"/>
                <w:b/>
                <w:bCs/>
                <w:color w:val="000000"/>
                <w:sz w:val="18"/>
                <w:szCs w:val="18"/>
              </w:rPr>
            </w:pPr>
            <w:r w:rsidRPr="009E6F01">
              <w:rPr>
                <w:rFonts w:ascii="Calibri" w:eastAsia="Times New Roman" w:hAnsi="Calibri" w:cs="Calibri"/>
                <w:b/>
                <w:bCs/>
                <w:color w:val="000000"/>
                <w:sz w:val="18"/>
                <w:szCs w:val="18"/>
              </w:rPr>
              <w:t>Variables</w:t>
            </w:r>
          </w:p>
        </w:tc>
        <w:tc>
          <w:tcPr>
            <w:tcW w:w="304" w:type="pct"/>
            <w:tcBorders>
              <w:top w:val="nil"/>
              <w:left w:val="nil"/>
              <w:bottom w:val="single" w:sz="4" w:space="0" w:color="auto"/>
              <w:right w:val="nil"/>
            </w:tcBorders>
            <w:shd w:val="clear" w:color="000000" w:fill="FFFFFF"/>
            <w:noWrap/>
            <w:vAlign w:val="center"/>
            <w:hideMark/>
          </w:tcPr>
          <w:p w14:paraId="64DD7187" w14:textId="77777777" w:rsidR="009E6F01" w:rsidRPr="009E6F01" w:rsidRDefault="009E6F01" w:rsidP="009E6F01">
            <w:pPr>
              <w:jc w:val="center"/>
              <w:rPr>
                <w:rFonts w:ascii="Calibri" w:eastAsia="Times New Roman" w:hAnsi="Calibri" w:cs="Calibri"/>
                <w:b/>
                <w:bCs/>
                <w:color w:val="000000"/>
                <w:sz w:val="18"/>
                <w:szCs w:val="18"/>
              </w:rPr>
            </w:pPr>
            <w:r w:rsidRPr="009E6F01">
              <w:rPr>
                <w:rFonts w:ascii="Calibri" w:eastAsia="Times New Roman" w:hAnsi="Calibri" w:cs="Calibri"/>
                <w:b/>
                <w:bCs/>
                <w:color w:val="000000"/>
                <w:sz w:val="18"/>
                <w:szCs w:val="18"/>
              </w:rPr>
              <w:t>RVI-Sub</w:t>
            </w:r>
          </w:p>
        </w:tc>
        <w:tc>
          <w:tcPr>
            <w:tcW w:w="373" w:type="pct"/>
            <w:tcBorders>
              <w:top w:val="nil"/>
              <w:left w:val="nil"/>
              <w:bottom w:val="single" w:sz="4" w:space="0" w:color="auto"/>
              <w:right w:val="nil"/>
            </w:tcBorders>
            <w:shd w:val="clear" w:color="000000" w:fill="FFFFFF"/>
            <w:noWrap/>
            <w:vAlign w:val="center"/>
            <w:hideMark/>
          </w:tcPr>
          <w:p w14:paraId="1E593105" w14:textId="77777777" w:rsidR="009E6F01" w:rsidRPr="009E6F01" w:rsidRDefault="009E6F01" w:rsidP="009E6F01">
            <w:pPr>
              <w:jc w:val="center"/>
              <w:rPr>
                <w:rFonts w:ascii="Calibri" w:eastAsia="Times New Roman" w:hAnsi="Calibri" w:cs="Calibri"/>
                <w:b/>
                <w:bCs/>
                <w:color w:val="000000"/>
                <w:sz w:val="18"/>
                <w:szCs w:val="18"/>
              </w:rPr>
            </w:pPr>
            <w:r w:rsidRPr="009E6F01">
              <w:rPr>
                <w:rFonts w:ascii="Calibri" w:eastAsia="Times New Roman" w:hAnsi="Calibri" w:cs="Calibri"/>
                <w:b/>
                <w:bCs/>
                <w:color w:val="000000"/>
                <w:sz w:val="18"/>
                <w:szCs w:val="18"/>
              </w:rPr>
              <w:t>RVI-CorTH</w:t>
            </w:r>
          </w:p>
        </w:tc>
        <w:tc>
          <w:tcPr>
            <w:tcW w:w="370" w:type="pct"/>
            <w:tcBorders>
              <w:top w:val="nil"/>
              <w:left w:val="nil"/>
              <w:bottom w:val="single" w:sz="4" w:space="0" w:color="auto"/>
              <w:right w:val="nil"/>
            </w:tcBorders>
            <w:shd w:val="clear" w:color="000000" w:fill="FFFFFF"/>
            <w:noWrap/>
            <w:vAlign w:val="center"/>
            <w:hideMark/>
          </w:tcPr>
          <w:p w14:paraId="5EBA52A6" w14:textId="77777777" w:rsidR="009E6F01" w:rsidRPr="009E6F01" w:rsidRDefault="009E6F01" w:rsidP="009E6F01">
            <w:pPr>
              <w:jc w:val="center"/>
              <w:rPr>
                <w:rFonts w:ascii="Calibri" w:eastAsia="Times New Roman" w:hAnsi="Calibri" w:cs="Calibri"/>
                <w:b/>
                <w:bCs/>
                <w:color w:val="000000"/>
                <w:sz w:val="18"/>
                <w:szCs w:val="18"/>
              </w:rPr>
            </w:pPr>
            <w:r w:rsidRPr="009E6F01">
              <w:rPr>
                <w:rFonts w:ascii="Calibri" w:eastAsia="Times New Roman" w:hAnsi="Calibri" w:cs="Calibri"/>
                <w:b/>
                <w:bCs/>
                <w:color w:val="000000"/>
                <w:sz w:val="18"/>
                <w:szCs w:val="18"/>
              </w:rPr>
              <w:t>RVI-CorSA</w:t>
            </w:r>
          </w:p>
        </w:tc>
        <w:tc>
          <w:tcPr>
            <w:tcW w:w="326" w:type="pct"/>
            <w:tcBorders>
              <w:top w:val="nil"/>
              <w:left w:val="nil"/>
              <w:bottom w:val="single" w:sz="4" w:space="0" w:color="auto"/>
              <w:right w:val="nil"/>
            </w:tcBorders>
            <w:shd w:val="clear" w:color="000000" w:fill="FFFFFF"/>
            <w:noWrap/>
            <w:vAlign w:val="center"/>
            <w:hideMark/>
          </w:tcPr>
          <w:p w14:paraId="2D018F3C" w14:textId="77777777" w:rsidR="009E6F01" w:rsidRPr="009E6F01" w:rsidRDefault="009E6F01" w:rsidP="009E6F01">
            <w:pPr>
              <w:jc w:val="center"/>
              <w:rPr>
                <w:rFonts w:ascii="Calibri" w:eastAsia="Times New Roman" w:hAnsi="Calibri" w:cs="Calibri"/>
                <w:b/>
                <w:bCs/>
                <w:color w:val="000000"/>
                <w:sz w:val="18"/>
                <w:szCs w:val="18"/>
              </w:rPr>
            </w:pPr>
            <w:r w:rsidRPr="009E6F01">
              <w:rPr>
                <w:rFonts w:ascii="Calibri" w:eastAsia="Times New Roman" w:hAnsi="Calibri" w:cs="Calibri"/>
                <w:b/>
                <w:bCs/>
                <w:color w:val="000000"/>
                <w:sz w:val="18"/>
                <w:szCs w:val="18"/>
              </w:rPr>
              <w:t>RVI-MD</w:t>
            </w:r>
          </w:p>
        </w:tc>
        <w:tc>
          <w:tcPr>
            <w:tcW w:w="326" w:type="pct"/>
            <w:tcBorders>
              <w:top w:val="nil"/>
              <w:left w:val="nil"/>
              <w:bottom w:val="single" w:sz="4" w:space="0" w:color="auto"/>
              <w:right w:val="nil"/>
            </w:tcBorders>
            <w:shd w:val="clear" w:color="000000" w:fill="FFFFFF"/>
            <w:noWrap/>
            <w:vAlign w:val="center"/>
            <w:hideMark/>
          </w:tcPr>
          <w:p w14:paraId="2FE0BDF9" w14:textId="77777777" w:rsidR="009E6F01" w:rsidRPr="009E6F01" w:rsidRDefault="009E6F01" w:rsidP="009E6F01">
            <w:pPr>
              <w:jc w:val="center"/>
              <w:rPr>
                <w:rFonts w:ascii="Calibri" w:eastAsia="Times New Roman" w:hAnsi="Calibri" w:cs="Calibri"/>
                <w:b/>
                <w:bCs/>
                <w:color w:val="000000"/>
                <w:sz w:val="18"/>
                <w:szCs w:val="18"/>
              </w:rPr>
            </w:pPr>
            <w:r w:rsidRPr="009E6F01">
              <w:rPr>
                <w:rFonts w:ascii="Calibri" w:eastAsia="Times New Roman" w:hAnsi="Calibri" w:cs="Calibri"/>
                <w:b/>
                <w:bCs/>
                <w:color w:val="000000"/>
                <w:sz w:val="18"/>
                <w:szCs w:val="18"/>
              </w:rPr>
              <w:t>RVI-FA</w:t>
            </w:r>
          </w:p>
        </w:tc>
        <w:tc>
          <w:tcPr>
            <w:tcW w:w="352" w:type="pct"/>
            <w:tcBorders>
              <w:top w:val="nil"/>
              <w:left w:val="nil"/>
              <w:bottom w:val="single" w:sz="4" w:space="0" w:color="auto"/>
              <w:right w:val="single" w:sz="4" w:space="0" w:color="auto"/>
            </w:tcBorders>
            <w:shd w:val="clear" w:color="000000" w:fill="FFFFFF"/>
            <w:noWrap/>
            <w:vAlign w:val="center"/>
            <w:hideMark/>
          </w:tcPr>
          <w:p w14:paraId="5BE4D6BE" w14:textId="77777777" w:rsidR="009E6F01" w:rsidRPr="009E6F01" w:rsidRDefault="009E6F01" w:rsidP="009E6F01">
            <w:pPr>
              <w:jc w:val="center"/>
              <w:rPr>
                <w:rFonts w:ascii="Calibri" w:eastAsia="Times New Roman" w:hAnsi="Calibri" w:cs="Calibri"/>
                <w:b/>
                <w:bCs/>
                <w:color w:val="000000"/>
                <w:sz w:val="18"/>
                <w:szCs w:val="18"/>
              </w:rPr>
            </w:pPr>
            <w:r w:rsidRPr="009E6F01">
              <w:rPr>
                <w:rFonts w:ascii="Calibri" w:eastAsia="Times New Roman" w:hAnsi="Calibri" w:cs="Calibri"/>
                <w:b/>
                <w:bCs/>
                <w:color w:val="000000"/>
                <w:sz w:val="18"/>
                <w:szCs w:val="18"/>
              </w:rPr>
              <w:t>RVI-Multi</w:t>
            </w:r>
          </w:p>
        </w:tc>
        <w:tc>
          <w:tcPr>
            <w:tcW w:w="326" w:type="pct"/>
            <w:tcBorders>
              <w:top w:val="nil"/>
              <w:left w:val="nil"/>
              <w:bottom w:val="single" w:sz="4" w:space="0" w:color="auto"/>
              <w:right w:val="nil"/>
            </w:tcBorders>
            <w:shd w:val="clear" w:color="000000" w:fill="FFFFFF"/>
            <w:noWrap/>
            <w:vAlign w:val="center"/>
            <w:hideMark/>
          </w:tcPr>
          <w:p w14:paraId="750F1654" w14:textId="77777777" w:rsidR="009E6F01" w:rsidRPr="009E6F01" w:rsidRDefault="009E6F01" w:rsidP="009E6F01">
            <w:pPr>
              <w:jc w:val="center"/>
              <w:rPr>
                <w:rFonts w:ascii="Calibri" w:eastAsia="Times New Roman" w:hAnsi="Calibri" w:cs="Calibri"/>
                <w:b/>
                <w:bCs/>
                <w:color w:val="000000"/>
                <w:sz w:val="18"/>
                <w:szCs w:val="18"/>
              </w:rPr>
            </w:pPr>
            <w:r w:rsidRPr="009E6F01">
              <w:rPr>
                <w:rFonts w:ascii="Calibri" w:eastAsia="Times New Roman" w:hAnsi="Calibri" w:cs="Calibri"/>
                <w:b/>
                <w:bCs/>
                <w:color w:val="000000"/>
                <w:sz w:val="18"/>
                <w:szCs w:val="18"/>
              </w:rPr>
              <w:t>RVI-Sub</w:t>
            </w:r>
          </w:p>
        </w:tc>
        <w:tc>
          <w:tcPr>
            <w:tcW w:w="373" w:type="pct"/>
            <w:tcBorders>
              <w:top w:val="nil"/>
              <w:left w:val="nil"/>
              <w:bottom w:val="single" w:sz="4" w:space="0" w:color="auto"/>
              <w:right w:val="nil"/>
            </w:tcBorders>
            <w:shd w:val="clear" w:color="000000" w:fill="FFFFFF"/>
            <w:noWrap/>
            <w:vAlign w:val="center"/>
            <w:hideMark/>
          </w:tcPr>
          <w:p w14:paraId="5ED89684" w14:textId="77777777" w:rsidR="009E6F01" w:rsidRPr="009E6F01" w:rsidRDefault="009E6F01" w:rsidP="009E6F01">
            <w:pPr>
              <w:jc w:val="center"/>
              <w:rPr>
                <w:rFonts w:ascii="Calibri" w:eastAsia="Times New Roman" w:hAnsi="Calibri" w:cs="Calibri"/>
                <w:b/>
                <w:bCs/>
                <w:color w:val="000000"/>
                <w:sz w:val="18"/>
                <w:szCs w:val="18"/>
              </w:rPr>
            </w:pPr>
            <w:r w:rsidRPr="009E6F01">
              <w:rPr>
                <w:rFonts w:ascii="Calibri" w:eastAsia="Times New Roman" w:hAnsi="Calibri" w:cs="Calibri"/>
                <w:b/>
                <w:bCs/>
                <w:color w:val="000000"/>
                <w:sz w:val="18"/>
                <w:szCs w:val="18"/>
              </w:rPr>
              <w:t>RVI-CorTH</w:t>
            </w:r>
          </w:p>
        </w:tc>
        <w:tc>
          <w:tcPr>
            <w:tcW w:w="370" w:type="pct"/>
            <w:tcBorders>
              <w:top w:val="nil"/>
              <w:left w:val="nil"/>
              <w:bottom w:val="single" w:sz="4" w:space="0" w:color="auto"/>
              <w:right w:val="nil"/>
            </w:tcBorders>
            <w:shd w:val="clear" w:color="000000" w:fill="FFFFFF"/>
            <w:noWrap/>
            <w:vAlign w:val="center"/>
            <w:hideMark/>
          </w:tcPr>
          <w:p w14:paraId="3613257D" w14:textId="77777777" w:rsidR="009E6F01" w:rsidRPr="009E6F01" w:rsidRDefault="009E6F01" w:rsidP="009E6F01">
            <w:pPr>
              <w:jc w:val="center"/>
              <w:rPr>
                <w:rFonts w:ascii="Calibri" w:eastAsia="Times New Roman" w:hAnsi="Calibri" w:cs="Calibri"/>
                <w:b/>
                <w:bCs/>
                <w:color w:val="000000"/>
                <w:sz w:val="18"/>
                <w:szCs w:val="18"/>
              </w:rPr>
            </w:pPr>
            <w:r w:rsidRPr="009E6F01">
              <w:rPr>
                <w:rFonts w:ascii="Calibri" w:eastAsia="Times New Roman" w:hAnsi="Calibri" w:cs="Calibri"/>
                <w:b/>
                <w:bCs/>
                <w:color w:val="000000"/>
                <w:sz w:val="18"/>
                <w:szCs w:val="18"/>
              </w:rPr>
              <w:t>RVI-CorSA</w:t>
            </w:r>
          </w:p>
        </w:tc>
        <w:tc>
          <w:tcPr>
            <w:tcW w:w="326" w:type="pct"/>
            <w:tcBorders>
              <w:top w:val="nil"/>
              <w:left w:val="nil"/>
              <w:bottom w:val="single" w:sz="4" w:space="0" w:color="auto"/>
              <w:right w:val="nil"/>
            </w:tcBorders>
            <w:shd w:val="clear" w:color="000000" w:fill="FFFFFF"/>
            <w:noWrap/>
            <w:vAlign w:val="center"/>
            <w:hideMark/>
          </w:tcPr>
          <w:p w14:paraId="1791F698" w14:textId="77777777" w:rsidR="009E6F01" w:rsidRPr="009E6F01" w:rsidRDefault="009E6F01" w:rsidP="009E6F01">
            <w:pPr>
              <w:jc w:val="center"/>
              <w:rPr>
                <w:rFonts w:ascii="Calibri" w:eastAsia="Times New Roman" w:hAnsi="Calibri" w:cs="Calibri"/>
                <w:b/>
                <w:bCs/>
                <w:color w:val="000000"/>
                <w:sz w:val="18"/>
                <w:szCs w:val="18"/>
              </w:rPr>
            </w:pPr>
            <w:r w:rsidRPr="009E6F01">
              <w:rPr>
                <w:rFonts w:ascii="Calibri" w:eastAsia="Times New Roman" w:hAnsi="Calibri" w:cs="Calibri"/>
                <w:b/>
                <w:bCs/>
                <w:color w:val="000000"/>
                <w:sz w:val="18"/>
                <w:szCs w:val="18"/>
              </w:rPr>
              <w:t>RVI-MD</w:t>
            </w:r>
          </w:p>
        </w:tc>
        <w:tc>
          <w:tcPr>
            <w:tcW w:w="326" w:type="pct"/>
            <w:tcBorders>
              <w:top w:val="nil"/>
              <w:left w:val="nil"/>
              <w:bottom w:val="single" w:sz="4" w:space="0" w:color="auto"/>
              <w:right w:val="nil"/>
            </w:tcBorders>
            <w:shd w:val="clear" w:color="000000" w:fill="FFFFFF"/>
            <w:noWrap/>
            <w:vAlign w:val="center"/>
            <w:hideMark/>
          </w:tcPr>
          <w:p w14:paraId="55ADD1F3" w14:textId="77777777" w:rsidR="009E6F01" w:rsidRPr="009E6F01" w:rsidRDefault="009E6F01" w:rsidP="009E6F01">
            <w:pPr>
              <w:jc w:val="center"/>
              <w:rPr>
                <w:rFonts w:ascii="Calibri" w:eastAsia="Times New Roman" w:hAnsi="Calibri" w:cs="Calibri"/>
                <w:b/>
                <w:bCs/>
                <w:color w:val="000000"/>
                <w:sz w:val="18"/>
                <w:szCs w:val="18"/>
              </w:rPr>
            </w:pPr>
            <w:r w:rsidRPr="009E6F01">
              <w:rPr>
                <w:rFonts w:ascii="Calibri" w:eastAsia="Times New Roman" w:hAnsi="Calibri" w:cs="Calibri"/>
                <w:b/>
                <w:bCs/>
                <w:color w:val="000000"/>
                <w:sz w:val="18"/>
                <w:szCs w:val="18"/>
              </w:rPr>
              <w:t>RVI-FA</w:t>
            </w:r>
          </w:p>
        </w:tc>
        <w:tc>
          <w:tcPr>
            <w:tcW w:w="351" w:type="pct"/>
            <w:tcBorders>
              <w:top w:val="nil"/>
              <w:left w:val="nil"/>
              <w:bottom w:val="single" w:sz="4" w:space="0" w:color="auto"/>
              <w:right w:val="nil"/>
            </w:tcBorders>
            <w:shd w:val="clear" w:color="000000" w:fill="FFFFFF"/>
            <w:noWrap/>
            <w:vAlign w:val="center"/>
            <w:hideMark/>
          </w:tcPr>
          <w:p w14:paraId="085C41FB" w14:textId="77777777" w:rsidR="009E6F01" w:rsidRPr="009E6F01" w:rsidRDefault="009E6F01" w:rsidP="009E6F01">
            <w:pPr>
              <w:jc w:val="center"/>
              <w:rPr>
                <w:rFonts w:ascii="Calibri" w:eastAsia="Times New Roman" w:hAnsi="Calibri" w:cs="Calibri"/>
                <w:b/>
                <w:bCs/>
                <w:color w:val="000000"/>
                <w:sz w:val="18"/>
                <w:szCs w:val="18"/>
              </w:rPr>
            </w:pPr>
            <w:r w:rsidRPr="009E6F01">
              <w:rPr>
                <w:rFonts w:ascii="Calibri" w:eastAsia="Times New Roman" w:hAnsi="Calibri" w:cs="Calibri"/>
                <w:b/>
                <w:bCs/>
                <w:color w:val="000000"/>
                <w:sz w:val="18"/>
                <w:szCs w:val="18"/>
              </w:rPr>
              <w:t>RVI-Multi</w:t>
            </w:r>
          </w:p>
        </w:tc>
      </w:tr>
      <w:tr w:rsidR="009E6F01" w:rsidRPr="009E6F01" w14:paraId="7E8F16ED" w14:textId="77777777" w:rsidTr="00CA3D1E">
        <w:trPr>
          <w:trHeight w:val="288"/>
        </w:trPr>
        <w:tc>
          <w:tcPr>
            <w:tcW w:w="287" w:type="pct"/>
            <w:tcBorders>
              <w:top w:val="nil"/>
              <w:left w:val="nil"/>
              <w:bottom w:val="single" w:sz="4" w:space="0" w:color="auto"/>
              <w:right w:val="nil"/>
            </w:tcBorders>
            <w:shd w:val="clear" w:color="000000" w:fill="FFFFFF"/>
            <w:noWrap/>
            <w:vAlign w:val="center"/>
            <w:hideMark/>
          </w:tcPr>
          <w:p w14:paraId="1DBF54D5" w14:textId="77777777" w:rsidR="009E6F01" w:rsidRPr="009E6F01" w:rsidRDefault="009E6F01" w:rsidP="009E6F01">
            <w:pPr>
              <w:jc w:val="center"/>
              <w:rPr>
                <w:rFonts w:ascii="Calibri" w:eastAsia="Times New Roman" w:hAnsi="Calibri" w:cs="Calibri"/>
                <w:color w:val="000000"/>
                <w:sz w:val="18"/>
                <w:szCs w:val="18"/>
              </w:rPr>
            </w:pPr>
            <w:r w:rsidRPr="009E6F01">
              <w:rPr>
                <w:rFonts w:ascii="Calibri" w:eastAsia="Times New Roman" w:hAnsi="Calibri" w:cs="Calibri"/>
                <w:color w:val="000000"/>
                <w:sz w:val="18"/>
                <w:szCs w:val="18"/>
              </w:rPr>
              <w:t>M1</w:t>
            </w:r>
          </w:p>
        </w:tc>
        <w:tc>
          <w:tcPr>
            <w:tcW w:w="590" w:type="pct"/>
            <w:tcBorders>
              <w:top w:val="nil"/>
              <w:left w:val="nil"/>
              <w:bottom w:val="single" w:sz="4" w:space="0" w:color="auto"/>
              <w:right w:val="nil"/>
            </w:tcBorders>
            <w:shd w:val="clear" w:color="000000" w:fill="FFFFFF"/>
            <w:noWrap/>
            <w:vAlign w:val="center"/>
            <w:hideMark/>
          </w:tcPr>
          <w:p w14:paraId="50261ECF" w14:textId="77777777" w:rsidR="009E6F01" w:rsidRPr="009E6F01" w:rsidRDefault="009E6F01" w:rsidP="009E6F01">
            <w:pPr>
              <w:jc w:val="center"/>
              <w:rPr>
                <w:rFonts w:ascii="Calibri" w:eastAsia="Times New Roman" w:hAnsi="Calibri" w:cs="Calibri"/>
                <w:color w:val="000000"/>
                <w:sz w:val="18"/>
                <w:szCs w:val="18"/>
              </w:rPr>
            </w:pPr>
            <w:proofErr w:type="spellStart"/>
            <w:r w:rsidRPr="009E6F01">
              <w:rPr>
                <w:rFonts w:ascii="Calibri" w:eastAsia="Times New Roman" w:hAnsi="Calibri" w:cs="Calibri"/>
                <w:color w:val="000000"/>
                <w:sz w:val="18"/>
                <w:szCs w:val="18"/>
              </w:rPr>
              <w:t>Covs</w:t>
            </w:r>
            <w:proofErr w:type="spellEnd"/>
            <w:r w:rsidRPr="009E6F01">
              <w:rPr>
                <w:rFonts w:ascii="Calibri" w:eastAsia="Times New Roman" w:hAnsi="Calibri" w:cs="Calibri"/>
                <w:color w:val="000000"/>
                <w:sz w:val="18"/>
                <w:szCs w:val="18"/>
              </w:rPr>
              <w:t xml:space="preserve"> (for RVI)</w:t>
            </w:r>
          </w:p>
        </w:tc>
        <w:tc>
          <w:tcPr>
            <w:tcW w:w="2051" w:type="pct"/>
            <w:gridSpan w:val="6"/>
            <w:tcBorders>
              <w:top w:val="single" w:sz="4" w:space="0" w:color="auto"/>
              <w:left w:val="nil"/>
              <w:bottom w:val="single" w:sz="4" w:space="0" w:color="auto"/>
              <w:right w:val="single" w:sz="4" w:space="0" w:color="000000"/>
            </w:tcBorders>
            <w:shd w:val="clear" w:color="000000" w:fill="FFFFFF"/>
            <w:noWrap/>
            <w:vAlign w:val="center"/>
            <w:hideMark/>
          </w:tcPr>
          <w:p w14:paraId="6178C436" w14:textId="77777777" w:rsidR="009E6F01" w:rsidRPr="009E6F01" w:rsidRDefault="009E6F01" w:rsidP="009E6F01">
            <w:pPr>
              <w:jc w:val="center"/>
              <w:rPr>
                <w:rFonts w:ascii="Calibri" w:eastAsia="Times New Roman" w:hAnsi="Calibri" w:cs="Calibri"/>
                <w:color w:val="000000"/>
                <w:sz w:val="18"/>
                <w:szCs w:val="18"/>
              </w:rPr>
            </w:pPr>
            <w:r w:rsidRPr="009E6F01">
              <w:rPr>
                <w:rFonts w:ascii="Calibri" w:eastAsia="Times New Roman" w:hAnsi="Calibri" w:cs="Calibri"/>
                <w:color w:val="000000"/>
                <w:sz w:val="18"/>
                <w:szCs w:val="18"/>
              </w:rPr>
              <w:t>NIL</w:t>
            </w:r>
          </w:p>
        </w:tc>
        <w:tc>
          <w:tcPr>
            <w:tcW w:w="2072" w:type="pct"/>
            <w:gridSpan w:val="6"/>
            <w:tcBorders>
              <w:top w:val="single" w:sz="4" w:space="0" w:color="auto"/>
              <w:left w:val="nil"/>
              <w:bottom w:val="single" w:sz="4" w:space="0" w:color="auto"/>
              <w:right w:val="nil"/>
            </w:tcBorders>
            <w:shd w:val="clear" w:color="000000" w:fill="FFFFFF"/>
            <w:noWrap/>
            <w:vAlign w:val="center"/>
            <w:hideMark/>
          </w:tcPr>
          <w:p w14:paraId="710C43B9" w14:textId="77777777" w:rsidR="009E6F01" w:rsidRPr="009E6F01" w:rsidRDefault="009E6F01" w:rsidP="009E6F01">
            <w:pPr>
              <w:jc w:val="center"/>
              <w:rPr>
                <w:rFonts w:ascii="Calibri" w:eastAsia="Times New Roman" w:hAnsi="Calibri" w:cs="Calibri"/>
                <w:color w:val="000000"/>
                <w:sz w:val="18"/>
                <w:szCs w:val="18"/>
              </w:rPr>
            </w:pPr>
            <w:r w:rsidRPr="009E6F01">
              <w:rPr>
                <w:rFonts w:ascii="Calibri" w:eastAsia="Times New Roman" w:hAnsi="Calibri" w:cs="Calibri"/>
                <w:color w:val="000000"/>
                <w:sz w:val="18"/>
                <w:szCs w:val="18"/>
              </w:rPr>
              <w:t>NIL</w:t>
            </w:r>
          </w:p>
        </w:tc>
      </w:tr>
      <w:tr w:rsidR="009E6F01" w:rsidRPr="009E6F01" w14:paraId="4B81E83B" w14:textId="77777777" w:rsidTr="00CA3D1E">
        <w:trPr>
          <w:trHeight w:val="288"/>
        </w:trPr>
        <w:tc>
          <w:tcPr>
            <w:tcW w:w="287" w:type="pct"/>
            <w:tcBorders>
              <w:top w:val="nil"/>
              <w:left w:val="nil"/>
              <w:bottom w:val="single" w:sz="4" w:space="0" w:color="auto"/>
              <w:right w:val="nil"/>
            </w:tcBorders>
            <w:shd w:val="clear" w:color="000000" w:fill="FFFFFF"/>
            <w:noWrap/>
            <w:vAlign w:val="center"/>
            <w:hideMark/>
          </w:tcPr>
          <w:p w14:paraId="526F72B7" w14:textId="77777777" w:rsidR="009E6F01" w:rsidRPr="009E6F01" w:rsidRDefault="009E6F01" w:rsidP="009E6F01">
            <w:pPr>
              <w:jc w:val="center"/>
              <w:rPr>
                <w:rFonts w:ascii="Calibri" w:eastAsia="Times New Roman" w:hAnsi="Calibri" w:cs="Calibri"/>
                <w:color w:val="000000"/>
                <w:sz w:val="18"/>
                <w:szCs w:val="18"/>
              </w:rPr>
            </w:pPr>
            <w:r w:rsidRPr="009E6F01">
              <w:rPr>
                <w:rFonts w:ascii="Calibri" w:eastAsia="Times New Roman" w:hAnsi="Calibri" w:cs="Calibri"/>
                <w:color w:val="000000"/>
                <w:sz w:val="18"/>
                <w:szCs w:val="18"/>
              </w:rPr>
              <w:t>M2-M1</w:t>
            </w:r>
          </w:p>
        </w:tc>
        <w:tc>
          <w:tcPr>
            <w:tcW w:w="590" w:type="pct"/>
            <w:tcBorders>
              <w:top w:val="nil"/>
              <w:left w:val="nil"/>
              <w:bottom w:val="single" w:sz="4" w:space="0" w:color="auto"/>
              <w:right w:val="nil"/>
            </w:tcBorders>
            <w:shd w:val="clear" w:color="000000" w:fill="FFFFFF"/>
            <w:noWrap/>
            <w:vAlign w:val="center"/>
            <w:hideMark/>
          </w:tcPr>
          <w:p w14:paraId="1890B09F" w14:textId="77777777" w:rsidR="009E6F01" w:rsidRPr="009E6F01" w:rsidRDefault="009E6F01" w:rsidP="009E6F01">
            <w:pPr>
              <w:jc w:val="center"/>
              <w:rPr>
                <w:rFonts w:ascii="Calibri" w:eastAsia="Times New Roman" w:hAnsi="Calibri" w:cs="Calibri"/>
                <w:color w:val="000000"/>
                <w:sz w:val="18"/>
                <w:szCs w:val="18"/>
              </w:rPr>
            </w:pPr>
            <w:proofErr w:type="spellStart"/>
            <w:r w:rsidRPr="009E6F01">
              <w:rPr>
                <w:rFonts w:ascii="Calibri" w:eastAsia="Times New Roman" w:hAnsi="Calibri" w:cs="Calibri"/>
                <w:color w:val="000000"/>
                <w:sz w:val="18"/>
                <w:szCs w:val="18"/>
              </w:rPr>
              <w:t>RVI+Covs</w:t>
            </w:r>
            <w:proofErr w:type="spellEnd"/>
            <w:r w:rsidRPr="009E6F01">
              <w:rPr>
                <w:rFonts w:ascii="Calibri" w:eastAsia="Times New Roman" w:hAnsi="Calibri" w:cs="Calibri"/>
                <w:color w:val="000000"/>
                <w:sz w:val="18"/>
                <w:szCs w:val="18"/>
              </w:rPr>
              <w:t xml:space="preserve"> (for RVI)</w:t>
            </w:r>
          </w:p>
        </w:tc>
        <w:tc>
          <w:tcPr>
            <w:tcW w:w="304" w:type="pct"/>
            <w:tcBorders>
              <w:top w:val="nil"/>
              <w:left w:val="nil"/>
              <w:bottom w:val="single" w:sz="4" w:space="0" w:color="auto"/>
              <w:right w:val="nil"/>
            </w:tcBorders>
            <w:shd w:val="clear" w:color="000000" w:fill="FFFFFF"/>
            <w:noWrap/>
            <w:vAlign w:val="center"/>
            <w:hideMark/>
          </w:tcPr>
          <w:p w14:paraId="01D48AF3" w14:textId="77777777" w:rsidR="009E6F01" w:rsidRPr="009E6F01" w:rsidRDefault="009E6F01" w:rsidP="009E6F01">
            <w:pPr>
              <w:jc w:val="center"/>
              <w:rPr>
                <w:rFonts w:ascii="Calibri" w:eastAsia="Times New Roman" w:hAnsi="Calibri" w:cs="Calibri"/>
                <w:color w:val="000000"/>
                <w:sz w:val="18"/>
                <w:szCs w:val="18"/>
              </w:rPr>
            </w:pPr>
            <w:r w:rsidRPr="009E6F01">
              <w:rPr>
                <w:rFonts w:ascii="Calibri" w:eastAsia="Times New Roman" w:hAnsi="Calibri" w:cs="Calibri"/>
                <w:color w:val="000000"/>
                <w:sz w:val="18"/>
                <w:szCs w:val="18"/>
              </w:rPr>
              <w:t>1.497</w:t>
            </w:r>
          </w:p>
        </w:tc>
        <w:tc>
          <w:tcPr>
            <w:tcW w:w="373" w:type="pct"/>
            <w:tcBorders>
              <w:top w:val="nil"/>
              <w:left w:val="nil"/>
              <w:bottom w:val="single" w:sz="4" w:space="0" w:color="auto"/>
              <w:right w:val="nil"/>
            </w:tcBorders>
            <w:shd w:val="clear" w:color="000000" w:fill="FFFFFF"/>
            <w:noWrap/>
            <w:vAlign w:val="center"/>
            <w:hideMark/>
          </w:tcPr>
          <w:p w14:paraId="51E32ED2" w14:textId="77777777" w:rsidR="009E6F01" w:rsidRPr="009E6F01" w:rsidRDefault="009E6F01" w:rsidP="009E6F01">
            <w:pPr>
              <w:jc w:val="center"/>
              <w:rPr>
                <w:rFonts w:ascii="Calibri" w:eastAsia="Times New Roman" w:hAnsi="Calibri" w:cs="Calibri"/>
                <w:color w:val="000000"/>
                <w:sz w:val="18"/>
                <w:szCs w:val="18"/>
              </w:rPr>
            </w:pPr>
            <w:r w:rsidRPr="009E6F01">
              <w:rPr>
                <w:rFonts w:ascii="Calibri" w:eastAsia="Times New Roman" w:hAnsi="Calibri" w:cs="Calibri"/>
                <w:color w:val="000000"/>
                <w:sz w:val="18"/>
                <w:szCs w:val="18"/>
              </w:rPr>
              <w:t>1.966</w:t>
            </w:r>
          </w:p>
        </w:tc>
        <w:tc>
          <w:tcPr>
            <w:tcW w:w="370" w:type="pct"/>
            <w:tcBorders>
              <w:top w:val="nil"/>
              <w:left w:val="nil"/>
              <w:bottom w:val="single" w:sz="4" w:space="0" w:color="auto"/>
              <w:right w:val="nil"/>
            </w:tcBorders>
            <w:shd w:val="clear" w:color="000000" w:fill="FFFFFF"/>
            <w:noWrap/>
            <w:vAlign w:val="center"/>
            <w:hideMark/>
          </w:tcPr>
          <w:p w14:paraId="1387FE05" w14:textId="77777777" w:rsidR="009E6F01" w:rsidRPr="009E6F01" w:rsidRDefault="009E6F01" w:rsidP="009E6F01">
            <w:pPr>
              <w:jc w:val="center"/>
              <w:rPr>
                <w:rFonts w:ascii="Calibri" w:eastAsia="Times New Roman" w:hAnsi="Calibri" w:cs="Calibri"/>
                <w:color w:val="000000"/>
                <w:sz w:val="18"/>
                <w:szCs w:val="18"/>
              </w:rPr>
            </w:pPr>
            <w:r w:rsidRPr="009E6F01">
              <w:rPr>
                <w:rFonts w:ascii="Calibri" w:eastAsia="Times New Roman" w:hAnsi="Calibri" w:cs="Calibri"/>
                <w:color w:val="000000"/>
                <w:sz w:val="18"/>
                <w:szCs w:val="18"/>
              </w:rPr>
              <w:t>-0.212</w:t>
            </w:r>
          </w:p>
        </w:tc>
        <w:tc>
          <w:tcPr>
            <w:tcW w:w="326" w:type="pct"/>
            <w:tcBorders>
              <w:top w:val="nil"/>
              <w:left w:val="nil"/>
              <w:bottom w:val="single" w:sz="4" w:space="0" w:color="auto"/>
              <w:right w:val="nil"/>
            </w:tcBorders>
            <w:shd w:val="clear" w:color="000000" w:fill="FFFFFF"/>
            <w:noWrap/>
            <w:vAlign w:val="center"/>
            <w:hideMark/>
          </w:tcPr>
          <w:p w14:paraId="6328B41F" w14:textId="77777777" w:rsidR="009E6F01" w:rsidRPr="009E6F01" w:rsidRDefault="009E6F01" w:rsidP="009E6F01">
            <w:pPr>
              <w:jc w:val="center"/>
              <w:rPr>
                <w:rFonts w:ascii="Calibri" w:eastAsia="Times New Roman" w:hAnsi="Calibri" w:cs="Calibri"/>
                <w:color w:val="000000"/>
                <w:sz w:val="18"/>
                <w:szCs w:val="18"/>
              </w:rPr>
            </w:pPr>
            <w:r w:rsidRPr="009E6F01">
              <w:rPr>
                <w:rFonts w:ascii="Calibri" w:eastAsia="Times New Roman" w:hAnsi="Calibri" w:cs="Calibri"/>
                <w:color w:val="000000"/>
                <w:sz w:val="18"/>
                <w:szCs w:val="18"/>
              </w:rPr>
              <w:t>-256.563</w:t>
            </w:r>
          </w:p>
        </w:tc>
        <w:tc>
          <w:tcPr>
            <w:tcW w:w="326" w:type="pct"/>
            <w:tcBorders>
              <w:top w:val="nil"/>
              <w:left w:val="nil"/>
              <w:bottom w:val="single" w:sz="4" w:space="0" w:color="auto"/>
              <w:right w:val="nil"/>
            </w:tcBorders>
            <w:shd w:val="clear" w:color="000000" w:fill="FFFFFF"/>
            <w:noWrap/>
            <w:vAlign w:val="center"/>
            <w:hideMark/>
          </w:tcPr>
          <w:p w14:paraId="2B92ECD8" w14:textId="77777777" w:rsidR="009E6F01" w:rsidRPr="009E6F01" w:rsidRDefault="009E6F01" w:rsidP="009E6F01">
            <w:pPr>
              <w:jc w:val="center"/>
              <w:rPr>
                <w:rFonts w:ascii="Calibri" w:eastAsia="Times New Roman" w:hAnsi="Calibri" w:cs="Calibri"/>
                <w:color w:val="000000"/>
                <w:sz w:val="18"/>
                <w:szCs w:val="18"/>
              </w:rPr>
            </w:pPr>
            <w:r w:rsidRPr="009E6F01">
              <w:rPr>
                <w:rFonts w:ascii="Calibri" w:eastAsia="Times New Roman" w:hAnsi="Calibri" w:cs="Calibri"/>
                <w:color w:val="000000"/>
                <w:sz w:val="18"/>
                <w:szCs w:val="18"/>
              </w:rPr>
              <w:t>-252.825</w:t>
            </w:r>
          </w:p>
        </w:tc>
        <w:tc>
          <w:tcPr>
            <w:tcW w:w="352" w:type="pct"/>
            <w:tcBorders>
              <w:top w:val="nil"/>
              <w:left w:val="nil"/>
              <w:bottom w:val="single" w:sz="4" w:space="0" w:color="auto"/>
              <w:right w:val="single" w:sz="4" w:space="0" w:color="auto"/>
            </w:tcBorders>
            <w:shd w:val="clear" w:color="000000" w:fill="FFFFFF"/>
            <w:noWrap/>
            <w:vAlign w:val="center"/>
            <w:hideMark/>
          </w:tcPr>
          <w:p w14:paraId="3E94DD4E" w14:textId="77777777" w:rsidR="009E6F01" w:rsidRPr="009E6F01" w:rsidRDefault="009E6F01" w:rsidP="009E6F01">
            <w:pPr>
              <w:jc w:val="center"/>
              <w:rPr>
                <w:rFonts w:ascii="Calibri" w:eastAsia="Times New Roman" w:hAnsi="Calibri" w:cs="Calibri"/>
                <w:color w:val="000000"/>
                <w:sz w:val="18"/>
                <w:szCs w:val="18"/>
              </w:rPr>
            </w:pPr>
            <w:r w:rsidRPr="009E6F01">
              <w:rPr>
                <w:rFonts w:ascii="Calibri" w:eastAsia="Times New Roman" w:hAnsi="Calibri" w:cs="Calibri"/>
                <w:color w:val="000000"/>
                <w:sz w:val="18"/>
                <w:szCs w:val="18"/>
              </w:rPr>
              <w:t>-253.354</w:t>
            </w:r>
          </w:p>
        </w:tc>
        <w:tc>
          <w:tcPr>
            <w:tcW w:w="326" w:type="pct"/>
            <w:tcBorders>
              <w:top w:val="nil"/>
              <w:left w:val="nil"/>
              <w:bottom w:val="single" w:sz="4" w:space="0" w:color="auto"/>
              <w:right w:val="nil"/>
            </w:tcBorders>
            <w:shd w:val="clear" w:color="000000" w:fill="FFFFFF"/>
            <w:noWrap/>
            <w:vAlign w:val="center"/>
            <w:hideMark/>
          </w:tcPr>
          <w:p w14:paraId="6FFAD412" w14:textId="77777777" w:rsidR="009E6F01" w:rsidRPr="009E6F01" w:rsidRDefault="009E6F01" w:rsidP="009E6F01">
            <w:pPr>
              <w:jc w:val="center"/>
              <w:rPr>
                <w:rFonts w:ascii="Calibri" w:eastAsia="Times New Roman" w:hAnsi="Calibri" w:cs="Calibri"/>
                <w:color w:val="000000"/>
                <w:sz w:val="18"/>
                <w:szCs w:val="18"/>
              </w:rPr>
            </w:pPr>
            <w:r w:rsidRPr="009E6F01">
              <w:rPr>
                <w:rFonts w:ascii="Calibri" w:eastAsia="Times New Roman" w:hAnsi="Calibri" w:cs="Calibri"/>
                <w:color w:val="000000"/>
                <w:sz w:val="18"/>
                <w:szCs w:val="18"/>
              </w:rPr>
              <w:t>1.605</w:t>
            </w:r>
          </w:p>
        </w:tc>
        <w:tc>
          <w:tcPr>
            <w:tcW w:w="373" w:type="pct"/>
            <w:tcBorders>
              <w:top w:val="nil"/>
              <w:left w:val="nil"/>
              <w:bottom w:val="single" w:sz="4" w:space="0" w:color="auto"/>
              <w:right w:val="nil"/>
            </w:tcBorders>
            <w:shd w:val="clear" w:color="000000" w:fill="FFFFFF"/>
            <w:noWrap/>
            <w:vAlign w:val="center"/>
            <w:hideMark/>
          </w:tcPr>
          <w:p w14:paraId="04A6B579" w14:textId="77777777" w:rsidR="009E6F01" w:rsidRPr="009E6F01" w:rsidRDefault="009E6F01" w:rsidP="009E6F01">
            <w:pPr>
              <w:jc w:val="center"/>
              <w:rPr>
                <w:rFonts w:ascii="Calibri" w:eastAsia="Times New Roman" w:hAnsi="Calibri" w:cs="Calibri"/>
                <w:color w:val="000000"/>
                <w:sz w:val="18"/>
                <w:szCs w:val="18"/>
              </w:rPr>
            </w:pPr>
            <w:r w:rsidRPr="009E6F01">
              <w:rPr>
                <w:rFonts w:ascii="Calibri" w:eastAsia="Times New Roman" w:hAnsi="Calibri" w:cs="Calibri"/>
                <w:color w:val="000000"/>
                <w:sz w:val="18"/>
                <w:szCs w:val="18"/>
              </w:rPr>
              <w:t>1.017</w:t>
            </w:r>
          </w:p>
        </w:tc>
        <w:tc>
          <w:tcPr>
            <w:tcW w:w="370" w:type="pct"/>
            <w:tcBorders>
              <w:top w:val="nil"/>
              <w:left w:val="nil"/>
              <w:bottom w:val="single" w:sz="4" w:space="0" w:color="auto"/>
              <w:right w:val="nil"/>
            </w:tcBorders>
            <w:shd w:val="clear" w:color="000000" w:fill="FFFFFF"/>
            <w:noWrap/>
            <w:vAlign w:val="center"/>
            <w:hideMark/>
          </w:tcPr>
          <w:p w14:paraId="0A8C8B0C" w14:textId="77777777" w:rsidR="009E6F01" w:rsidRPr="009E6F01" w:rsidRDefault="009E6F01" w:rsidP="009E6F01">
            <w:pPr>
              <w:jc w:val="center"/>
              <w:rPr>
                <w:rFonts w:ascii="Calibri" w:eastAsia="Times New Roman" w:hAnsi="Calibri" w:cs="Calibri"/>
                <w:color w:val="000000"/>
                <w:sz w:val="18"/>
                <w:szCs w:val="18"/>
              </w:rPr>
            </w:pPr>
            <w:r w:rsidRPr="009E6F01">
              <w:rPr>
                <w:rFonts w:ascii="Calibri" w:eastAsia="Times New Roman" w:hAnsi="Calibri" w:cs="Calibri"/>
                <w:color w:val="000000"/>
                <w:sz w:val="18"/>
                <w:szCs w:val="18"/>
              </w:rPr>
              <w:t>2</w:t>
            </w:r>
          </w:p>
        </w:tc>
        <w:tc>
          <w:tcPr>
            <w:tcW w:w="326" w:type="pct"/>
            <w:tcBorders>
              <w:top w:val="nil"/>
              <w:left w:val="nil"/>
              <w:bottom w:val="single" w:sz="4" w:space="0" w:color="auto"/>
              <w:right w:val="nil"/>
            </w:tcBorders>
            <w:shd w:val="clear" w:color="000000" w:fill="FFFFFF"/>
            <w:noWrap/>
            <w:vAlign w:val="center"/>
            <w:hideMark/>
          </w:tcPr>
          <w:p w14:paraId="4CBF05A7" w14:textId="77777777" w:rsidR="009E6F01" w:rsidRPr="009E6F01" w:rsidRDefault="009E6F01" w:rsidP="009E6F01">
            <w:pPr>
              <w:jc w:val="center"/>
              <w:rPr>
                <w:rFonts w:ascii="Calibri" w:eastAsia="Times New Roman" w:hAnsi="Calibri" w:cs="Calibri"/>
                <w:color w:val="000000"/>
                <w:sz w:val="18"/>
                <w:szCs w:val="18"/>
              </w:rPr>
            </w:pPr>
            <w:r w:rsidRPr="009E6F01">
              <w:rPr>
                <w:rFonts w:ascii="Calibri" w:eastAsia="Times New Roman" w:hAnsi="Calibri" w:cs="Calibri"/>
                <w:color w:val="000000"/>
                <w:sz w:val="18"/>
                <w:szCs w:val="18"/>
              </w:rPr>
              <w:t>-163.139</w:t>
            </w:r>
          </w:p>
        </w:tc>
        <w:tc>
          <w:tcPr>
            <w:tcW w:w="326" w:type="pct"/>
            <w:tcBorders>
              <w:top w:val="nil"/>
              <w:left w:val="nil"/>
              <w:bottom w:val="single" w:sz="4" w:space="0" w:color="auto"/>
              <w:right w:val="nil"/>
            </w:tcBorders>
            <w:shd w:val="clear" w:color="000000" w:fill="FFFFFF"/>
            <w:noWrap/>
            <w:vAlign w:val="center"/>
            <w:hideMark/>
          </w:tcPr>
          <w:p w14:paraId="5748BDA5" w14:textId="77777777" w:rsidR="009E6F01" w:rsidRPr="009E6F01" w:rsidRDefault="009E6F01" w:rsidP="009E6F01">
            <w:pPr>
              <w:jc w:val="center"/>
              <w:rPr>
                <w:rFonts w:ascii="Calibri" w:eastAsia="Times New Roman" w:hAnsi="Calibri" w:cs="Calibri"/>
                <w:color w:val="000000"/>
                <w:sz w:val="18"/>
                <w:szCs w:val="18"/>
              </w:rPr>
            </w:pPr>
            <w:r w:rsidRPr="009E6F01">
              <w:rPr>
                <w:rFonts w:ascii="Calibri" w:eastAsia="Times New Roman" w:hAnsi="Calibri" w:cs="Calibri"/>
                <w:color w:val="000000"/>
                <w:sz w:val="18"/>
                <w:szCs w:val="18"/>
              </w:rPr>
              <w:t>-161.579</w:t>
            </w:r>
          </w:p>
        </w:tc>
        <w:tc>
          <w:tcPr>
            <w:tcW w:w="351" w:type="pct"/>
            <w:tcBorders>
              <w:top w:val="nil"/>
              <w:left w:val="nil"/>
              <w:bottom w:val="single" w:sz="4" w:space="0" w:color="auto"/>
              <w:right w:val="nil"/>
            </w:tcBorders>
            <w:shd w:val="clear" w:color="000000" w:fill="FFFFFF"/>
            <w:noWrap/>
            <w:vAlign w:val="center"/>
            <w:hideMark/>
          </w:tcPr>
          <w:p w14:paraId="1CA044F3" w14:textId="77777777" w:rsidR="009E6F01" w:rsidRPr="009E6F01" w:rsidRDefault="009E6F01" w:rsidP="009E6F01">
            <w:pPr>
              <w:jc w:val="center"/>
              <w:rPr>
                <w:rFonts w:ascii="Calibri" w:eastAsia="Times New Roman" w:hAnsi="Calibri" w:cs="Calibri"/>
                <w:color w:val="000000"/>
                <w:sz w:val="18"/>
                <w:szCs w:val="18"/>
              </w:rPr>
            </w:pPr>
            <w:r w:rsidRPr="009E6F01">
              <w:rPr>
                <w:rFonts w:ascii="Calibri" w:eastAsia="Times New Roman" w:hAnsi="Calibri" w:cs="Calibri"/>
                <w:color w:val="000000"/>
                <w:sz w:val="18"/>
                <w:szCs w:val="18"/>
              </w:rPr>
              <w:t>-162.062</w:t>
            </w:r>
          </w:p>
        </w:tc>
      </w:tr>
      <w:tr w:rsidR="009E6F01" w:rsidRPr="009E6F01" w14:paraId="0499489E" w14:textId="77777777" w:rsidTr="00CA3D1E">
        <w:trPr>
          <w:trHeight w:val="288"/>
        </w:trPr>
        <w:tc>
          <w:tcPr>
            <w:tcW w:w="287" w:type="pct"/>
            <w:tcBorders>
              <w:top w:val="nil"/>
              <w:left w:val="nil"/>
              <w:bottom w:val="single" w:sz="4" w:space="0" w:color="auto"/>
              <w:right w:val="nil"/>
            </w:tcBorders>
            <w:shd w:val="clear" w:color="000000" w:fill="FFFFFF"/>
            <w:noWrap/>
            <w:vAlign w:val="center"/>
            <w:hideMark/>
          </w:tcPr>
          <w:p w14:paraId="51B703FD" w14:textId="77777777" w:rsidR="009E6F01" w:rsidRPr="009E6F01" w:rsidRDefault="009E6F01" w:rsidP="009E6F01">
            <w:pPr>
              <w:jc w:val="center"/>
              <w:rPr>
                <w:rFonts w:ascii="Calibri" w:eastAsia="Times New Roman" w:hAnsi="Calibri" w:cs="Calibri"/>
                <w:color w:val="000000"/>
                <w:sz w:val="18"/>
                <w:szCs w:val="18"/>
              </w:rPr>
            </w:pPr>
            <w:r w:rsidRPr="009E6F01">
              <w:rPr>
                <w:rFonts w:ascii="Calibri" w:eastAsia="Times New Roman" w:hAnsi="Calibri" w:cs="Calibri"/>
                <w:color w:val="000000"/>
                <w:sz w:val="18"/>
                <w:szCs w:val="18"/>
              </w:rPr>
              <w:t>M3</w:t>
            </w:r>
          </w:p>
        </w:tc>
        <w:tc>
          <w:tcPr>
            <w:tcW w:w="590" w:type="pct"/>
            <w:tcBorders>
              <w:top w:val="nil"/>
              <w:left w:val="nil"/>
              <w:bottom w:val="single" w:sz="4" w:space="0" w:color="auto"/>
              <w:right w:val="nil"/>
            </w:tcBorders>
            <w:shd w:val="clear" w:color="000000" w:fill="FFFFFF"/>
            <w:noWrap/>
            <w:vAlign w:val="center"/>
            <w:hideMark/>
          </w:tcPr>
          <w:p w14:paraId="7520D19B" w14:textId="77777777" w:rsidR="009E6F01" w:rsidRPr="009E6F01" w:rsidRDefault="009E6F01" w:rsidP="009E6F01">
            <w:pPr>
              <w:jc w:val="center"/>
              <w:rPr>
                <w:rFonts w:ascii="Calibri" w:eastAsia="Times New Roman" w:hAnsi="Calibri" w:cs="Calibri"/>
                <w:color w:val="000000"/>
                <w:sz w:val="18"/>
                <w:szCs w:val="18"/>
              </w:rPr>
            </w:pPr>
            <w:proofErr w:type="spellStart"/>
            <w:r w:rsidRPr="009E6F01">
              <w:rPr>
                <w:rFonts w:ascii="Calibri" w:eastAsia="Times New Roman" w:hAnsi="Calibri" w:cs="Calibri"/>
                <w:color w:val="000000"/>
                <w:sz w:val="18"/>
                <w:szCs w:val="18"/>
              </w:rPr>
              <w:t>Covs</w:t>
            </w:r>
            <w:proofErr w:type="spellEnd"/>
            <w:r w:rsidRPr="009E6F01">
              <w:rPr>
                <w:rFonts w:ascii="Calibri" w:eastAsia="Times New Roman" w:hAnsi="Calibri" w:cs="Calibri"/>
                <w:color w:val="000000"/>
                <w:sz w:val="18"/>
                <w:szCs w:val="18"/>
              </w:rPr>
              <w:t xml:space="preserve"> </w:t>
            </w:r>
          </w:p>
        </w:tc>
        <w:tc>
          <w:tcPr>
            <w:tcW w:w="2051" w:type="pct"/>
            <w:gridSpan w:val="6"/>
            <w:tcBorders>
              <w:top w:val="single" w:sz="4" w:space="0" w:color="auto"/>
              <w:left w:val="nil"/>
              <w:bottom w:val="single" w:sz="4" w:space="0" w:color="auto"/>
              <w:right w:val="single" w:sz="4" w:space="0" w:color="000000"/>
            </w:tcBorders>
            <w:shd w:val="clear" w:color="000000" w:fill="FFFFFF"/>
            <w:noWrap/>
            <w:vAlign w:val="center"/>
            <w:hideMark/>
          </w:tcPr>
          <w:p w14:paraId="07161934" w14:textId="77777777" w:rsidR="009E6F01" w:rsidRPr="009E6F01" w:rsidRDefault="009E6F01" w:rsidP="009E6F01">
            <w:pPr>
              <w:jc w:val="center"/>
              <w:rPr>
                <w:rFonts w:ascii="Calibri" w:eastAsia="Times New Roman" w:hAnsi="Calibri" w:cs="Calibri"/>
                <w:color w:val="000000"/>
                <w:sz w:val="18"/>
                <w:szCs w:val="18"/>
              </w:rPr>
            </w:pPr>
            <w:r w:rsidRPr="009E6F01">
              <w:rPr>
                <w:rFonts w:ascii="Calibri" w:eastAsia="Times New Roman" w:hAnsi="Calibri" w:cs="Calibri"/>
                <w:color w:val="000000"/>
                <w:sz w:val="18"/>
                <w:szCs w:val="18"/>
              </w:rPr>
              <w:t>NIL</w:t>
            </w:r>
          </w:p>
        </w:tc>
        <w:tc>
          <w:tcPr>
            <w:tcW w:w="2072" w:type="pct"/>
            <w:gridSpan w:val="6"/>
            <w:tcBorders>
              <w:top w:val="single" w:sz="4" w:space="0" w:color="auto"/>
              <w:left w:val="nil"/>
              <w:bottom w:val="single" w:sz="4" w:space="0" w:color="auto"/>
              <w:right w:val="nil"/>
            </w:tcBorders>
            <w:shd w:val="clear" w:color="000000" w:fill="FFFFFF"/>
            <w:noWrap/>
            <w:vAlign w:val="center"/>
            <w:hideMark/>
          </w:tcPr>
          <w:p w14:paraId="75D196F6" w14:textId="77777777" w:rsidR="009E6F01" w:rsidRPr="009E6F01" w:rsidRDefault="009E6F01" w:rsidP="009E6F01">
            <w:pPr>
              <w:jc w:val="center"/>
              <w:rPr>
                <w:rFonts w:ascii="Calibri" w:eastAsia="Times New Roman" w:hAnsi="Calibri" w:cs="Calibri"/>
                <w:color w:val="000000"/>
                <w:sz w:val="18"/>
                <w:szCs w:val="18"/>
              </w:rPr>
            </w:pPr>
            <w:r w:rsidRPr="009E6F01">
              <w:rPr>
                <w:rFonts w:ascii="Calibri" w:eastAsia="Times New Roman" w:hAnsi="Calibri" w:cs="Calibri"/>
                <w:color w:val="000000"/>
                <w:sz w:val="18"/>
                <w:szCs w:val="18"/>
              </w:rPr>
              <w:t>NIL</w:t>
            </w:r>
          </w:p>
        </w:tc>
      </w:tr>
      <w:tr w:rsidR="009E6F01" w:rsidRPr="009E6F01" w14:paraId="0E028295" w14:textId="77777777" w:rsidTr="00CA3D1E">
        <w:trPr>
          <w:trHeight w:val="288"/>
        </w:trPr>
        <w:tc>
          <w:tcPr>
            <w:tcW w:w="287" w:type="pct"/>
            <w:tcBorders>
              <w:top w:val="nil"/>
              <w:left w:val="nil"/>
              <w:bottom w:val="single" w:sz="4" w:space="0" w:color="auto"/>
              <w:right w:val="nil"/>
            </w:tcBorders>
            <w:shd w:val="clear" w:color="000000" w:fill="FFFFFF"/>
            <w:noWrap/>
            <w:vAlign w:val="center"/>
            <w:hideMark/>
          </w:tcPr>
          <w:p w14:paraId="07838295" w14:textId="77777777" w:rsidR="009E6F01" w:rsidRPr="009E6F01" w:rsidRDefault="009E6F01" w:rsidP="009E6F01">
            <w:pPr>
              <w:jc w:val="center"/>
              <w:rPr>
                <w:rFonts w:ascii="Calibri" w:eastAsia="Times New Roman" w:hAnsi="Calibri" w:cs="Calibri"/>
                <w:color w:val="000000"/>
                <w:sz w:val="18"/>
                <w:szCs w:val="18"/>
              </w:rPr>
            </w:pPr>
            <w:r w:rsidRPr="009E6F01">
              <w:rPr>
                <w:rFonts w:ascii="Calibri" w:eastAsia="Times New Roman" w:hAnsi="Calibri" w:cs="Calibri"/>
                <w:color w:val="000000"/>
                <w:sz w:val="18"/>
                <w:szCs w:val="18"/>
              </w:rPr>
              <w:t>M4-M3</w:t>
            </w:r>
          </w:p>
        </w:tc>
        <w:tc>
          <w:tcPr>
            <w:tcW w:w="590" w:type="pct"/>
            <w:tcBorders>
              <w:top w:val="nil"/>
              <w:left w:val="nil"/>
              <w:bottom w:val="single" w:sz="4" w:space="0" w:color="auto"/>
              <w:right w:val="nil"/>
            </w:tcBorders>
            <w:shd w:val="clear" w:color="000000" w:fill="FFFFFF"/>
            <w:noWrap/>
            <w:vAlign w:val="center"/>
            <w:hideMark/>
          </w:tcPr>
          <w:p w14:paraId="5B3555E9" w14:textId="77777777" w:rsidR="009E6F01" w:rsidRPr="009E6F01" w:rsidRDefault="009E6F01" w:rsidP="009E6F01">
            <w:pPr>
              <w:jc w:val="center"/>
              <w:rPr>
                <w:rFonts w:ascii="Calibri" w:eastAsia="Times New Roman" w:hAnsi="Calibri" w:cs="Calibri"/>
                <w:color w:val="000000"/>
                <w:sz w:val="18"/>
                <w:szCs w:val="18"/>
              </w:rPr>
            </w:pPr>
            <w:proofErr w:type="spellStart"/>
            <w:r w:rsidRPr="009E6F01">
              <w:rPr>
                <w:rFonts w:ascii="Calibri" w:eastAsia="Times New Roman" w:hAnsi="Calibri" w:cs="Calibri"/>
                <w:color w:val="000000"/>
                <w:sz w:val="18"/>
                <w:szCs w:val="18"/>
              </w:rPr>
              <w:t>PRS+Covs</w:t>
            </w:r>
            <w:proofErr w:type="spellEnd"/>
            <w:r w:rsidRPr="009E6F01">
              <w:rPr>
                <w:rFonts w:ascii="Calibri" w:eastAsia="Times New Roman" w:hAnsi="Calibri" w:cs="Calibri"/>
                <w:color w:val="000000"/>
                <w:sz w:val="18"/>
                <w:szCs w:val="18"/>
              </w:rPr>
              <w:t xml:space="preserve"> </w:t>
            </w:r>
          </w:p>
        </w:tc>
        <w:tc>
          <w:tcPr>
            <w:tcW w:w="2051" w:type="pct"/>
            <w:gridSpan w:val="6"/>
            <w:tcBorders>
              <w:top w:val="single" w:sz="4" w:space="0" w:color="auto"/>
              <w:left w:val="nil"/>
              <w:bottom w:val="single" w:sz="4" w:space="0" w:color="auto"/>
              <w:right w:val="single" w:sz="4" w:space="0" w:color="000000"/>
            </w:tcBorders>
            <w:shd w:val="clear" w:color="000000" w:fill="FFFFFF"/>
            <w:noWrap/>
            <w:vAlign w:val="center"/>
            <w:hideMark/>
          </w:tcPr>
          <w:p w14:paraId="282DA5EF" w14:textId="77777777" w:rsidR="009E6F01" w:rsidRPr="009E6F01" w:rsidRDefault="009E6F01" w:rsidP="009E6F01">
            <w:pPr>
              <w:jc w:val="center"/>
              <w:rPr>
                <w:rFonts w:ascii="Calibri" w:eastAsia="Times New Roman" w:hAnsi="Calibri" w:cs="Calibri"/>
                <w:color w:val="000000"/>
                <w:sz w:val="18"/>
                <w:szCs w:val="18"/>
              </w:rPr>
            </w:pPr>
            <w:r w:rsidRPr="009E6F01">
              <w:rPr>
                <w:rFonts w:ascii="Calibri" w:eastAsia="Times New Roman" w:hAnsi="Calibri" w:cs="Calibri"/>
                <w:color w:val="000000"/>
                <w:sz w:val="18"/>
                <w:szCs w:val="18"/>
              </w:rPr>
              <w:t>-11.385</w:t>
            </w:r>
          </w:p>
        </w:tc>
        <w:tc>
          <w:tcPr>
            <w:tcW w:w="2072" w:type="pct"/>
            <w:gridSpan w:val="6"/>
            <w:tcBorders>
              <w:top w:val="single" w:sz="4" w:space="0" w:color="auto"/>
              <w:left w:val="nil"/>
              <w:bottom w:val="single" w:sz="4" w:space="0" w:color="auto"/>
              <w:right w:val="nil"/>
            </w:tcBorders>
            <w:shd w:val="clear" w:color="000000" w:fill="FFFFFF"/>
            <w:noWrap/>
            <w:vAlign w:val="center"/>
            <w:hideMark/>
          </w:tcPr>
          <w:p w14:paraId="7A4396F1" w14:textId="77777777" w:rsidR="009E6F01" w:rsidRPr="009E6F01" w:rsidRDefault="009E6F01" w:rsidP="009E6F01">
            <w:pPr>
              <w:jc w:val="center"/>
              <w:rPr>
                <w:rFonts w:ascii="Calibri" w:eastAsia="Times New Roman" w:hAnsi="Calibri" w:cs="Calibri"/>
                <w:color w:val="000000"/>
                <w:sz w:val="18"/>
                <w:szCs w:val="18"/>
              </w:rPr>
            </w:pPr>
            <w:r w:rsidRPr="009E6F01">
              <w:rPr>
                <w:rFonts w:ascii="Calibri" w:eastAsia="Times New Roman" w:hAnsi="Calibri" w:cs="Calibri"/>
                <w:color w:val="000000"/>
                <w:sz w:val="18"/>
                <w:szCs w:val="18"/>
              </w:rPr>
              <w:t>-12.823</w:t>
            </w:r>
          </w:p>
        </w:tc>
      </w:tr>
      <w:tr w:rsidR="009E6F01" w:rsidRPr="009E6F01" w14:paraId="489DB58B" w14:textId="77777777" w:rsidTr="00A91AA1">
        <w:trPr>
          <w:trHeight w:val="300"/>
        </w:trPr>
        <w:tc>
          <w:tcPr>
            <w:tcW w:w="287" w:type="pct"/>
            <w:tcBorders>
              <w:top w:val="nil"/>
              <w:left w:val="nil"/>
              <w:bottom w:val="single" w:sz="12" w:space="0" w:color="auto"/>
              <w:right w:val="nil"/>
            </w:tcBorders>
            <w:shd w:val="clear" w:color="000000" w:fill="FFFFFF"/>
            <w:noWrap/>
            <w:vAlign w:val="center"/>
            <w:hideMark/>
          </w:tcPr>
          <w:p w14:paraId="11583851" w14:textId="77777777" w:rsidR="009E6F01" w:rsidRPr="009E6F01" w:rsidRDefault="009E6F01" w:rsidP="009E6F01">
            <w:pPr>
              <w:jc w:val="center"/>
              <w:rPr>
                <w:rFonts w:ascii="Calibri" w:eastAsia="Times New Roman" w:hAnsi="Calibri" w:cs="Calibri"/>
                <w:color w:val="000000"/>
                <w:sz w:val="18"/>
                <w:szCs w:val="18"/>
              </w:rPr>
            </w:pPr>
            <w:r w:rsidRPr="009E6F01">
              <w:rPr>
                <w:rFonts w:ascii="Calibri" w:eastAsia="Times New Roman" w:hAnsi="Calibri" w:cs="Calibri"/>
                <w:color w:val="000000"/>
                <w:sz w:val="18"/>
                <w:szCs w:val="18"/>
              </w:rPr>
              <w:t>M5-M4</w:t>
            </w:r>
          </w:p>
        </w:tc>
        <w:tc>
          <w:tcPr>
            <w:tcW w:w="590" w:type="pct"/>
            <w:tcBorders>
              <w:top w:val="nil"/>
              <w:left w:val="nil"/>
              <w:bottom w:val="single" w:sz="12" w:space="0" w:color="auto"/>
              <w:right w:val="nil"/>
            </w:tcBorders>
            <w:shd w:val="clear" w:color="000000" w:fill="FFFFFF"/>
            <w:noWrap/>
            <w:vAlign w:val="center"/>
            <w:hideMark/>
          </w:tcPr>
          <w:p w14:paraId="00753905" w14:textId="77777777" w:rsidR="009E6F01" w:rsidRPr="009E6F01" w:rsidRDefault="009E6F01" w:rsidP="009E6F01">
            <w:pPr>
              <w:jc w:val="center"/>
              <w:rPr>
                <w:rFonts w:ascii="Calibri" w:eastAsia="Times New Roman" w:hAnsi="Calibri" w:cs="Calibri"/>
                <w:color w:val="000000"/>
                <w:sz w:val="18"/>
                <w:szCs w:val="18"/>
              </w:rPr>
            </w:pPr>
            <w:proofErr w:type="spellStart"/>
            <w:r w:rsidRPr="009E6F01">
              <w:rPr>
                <w:rFonts w:ascii="Calibri" w:eastAsia="Times New Roman" w:hAnsi="Calibri" w:cs="Calibri"/>
                <w:color w:val="000000"/>
                <w:sz w:val="18"/>
                <w:szCs w:val="18"/>
              </w:rPr>
              <w:t>PRS+RVI+Covs</w:t>
            </w:r>
            <w:proofErr w:type="spellEnd"/>
          </w:p>
        </w:tc>
        <w:tc>
          <w:tcPr>
            <w:tcW w:w="304" w:type="pct"/>
            <w:tcBorders>
              <w:top w:val="nil"/>
              <w:left w:val="nil"/>
              <w:bottom w:val="single" w:sz="12" w:space="0" w:color="auto"/>
              <w:right w:val="nil"/>
            </w:tcBorders>
            <w:shd w:val="clear" w:color="000000" w:fill="FFFFFF"/>
            <w:noWrap/>
            <w:vAlign w:val="center"/>
            <w:hideMark/>
          </w:tcPr>
          <w:p w14:paraId="2C193422" w14:textId="77777777" w:rsidR="009E6F01" w:rsidRPr="009E6F01" w:rsidRDefault="009E6F01" w:rsidP="009E6F01">
            <w:pPr>
              <w:jc w:val="center"/>
              <w:rPr>
                <w:rFonts w:ascii="Calibri" w:eastAsia="Times New Roman" w:hAnsi="Calibri" w:cs="Calibri"/>
                <w:color w:val="000000"/>
                <w:sz w:val="18"/>
                <w:szCs w:val="18"/>
              </w:rPr>
            </w:pPr>
            <w:r w:rsidRPr="009E6F01">
              <w:rPr>
                <w:rFonts w:ascii="Calibri" w:eastAsia="Times New Roman" w:hAnsi="Calibri" w:cs="Calibri"/>
                <w:color w:val="000000"/>
                <w:sz w:val="18"/>
                <w:szCs w:val="18"/>
              </w:rPr>
              <w:t>0.892</w:t>
            </w:r>
          </w:p>
        </w:tc>
        <w:tc>
          <w:tcPr>
            <w:tcW w:w="373" w:type="pct"/>
            <w:tcBorders>
              <w:top w:val="nil"/>
              <w:left w:val="nil"/>
              <w:bottom w:val="single" w:sz="12" w:space="0" w:color="auto"/>
              <w:right w:val="nil"/>
            </w:tcBorders>
            <w:shd w:val="clear" w:color="000000" w:fill="FFFFFF"/>
            <w:noWrap/>
            <w:vAlign w:val="center"/>
            <w:hideMark/>
          </w:tcPr>
          <w:p w14:paraId="5DF1C27C" w14:textId="77777777" w:rsidR="009E6F01" w:rsidRPr="009E6F01" w:rsidRDefault="009E6F01" w:rsidP="009E6F01">
            <w:pPr>
              <w:jc w:val="center"/>
              <w:rPr>
                <w:rFonts w:ascii="Calibri" w:eastAsia="Times New Roman" w:hAnsi="Calibri" w:cs="Calibri"/>
                <w:color w:val="000000"/>
                <w:sz w:val="18"/>
                <w:szCs w:val="18"/>
              </w:rPr>
            </w:pPr>
            <w:r w:rsidRPr="009E6F01">
              <w:rPr>
                <w:rFonts w:ascii="Calibri" w:eastAsia="Times New Roman" w:hAnsi="Calibri" w:cs="Calibri"/>
                <w:color w:val="000000"/>
                <w:sz w:val="18"/>
                <w:szCs w:val="18"/>
              </w:rPr>
              <w:t>1.988</w:t>
            </w:r>
          </w:p>
        </w:tc>
        <w:tc>
          <w:tcPr>
            <w:tcW w:w="370" w:type="pct"/>
            <w:tcBorders>
              <w:top w:val="nil"/>
              <w:left w:val="nil"/>
              <w:bottom w:val="single" w:sz="12" w:space="0" w:color="auto"/>
              <w:right w:val="nil"/>
            </w:tcBorders>
            <w:shd w:val="clear" w:color="000000" w:fill="FFFFFF"/>
            <w:noWrap/>
            <w:vAlign w:val="center"/>
            <w:hideMark/>
          </w:tcPr>
          <w:p w14:paraId="1EBEF4FD" w14:textId="77777777" w:rsidR="009E6F01" w:rsidRPr="009E6F01" w:rsidRDefault="009E6F01" w:rsidP="009E6F01">
            <w:pPr>
              <w:jc w:val="center"/>
              <w:rPr>
                <w:rFonts w:ascii="Calibri" w:eastAsia="Times New Roman" w:hAnsi="Calibri" w:cs="Calibri"/>
                <w:color w:val="000000"/>
                <w:sz w:val="18"/>
                <w:szCs w:val="18"/>
              </w:rPr>
            </w:pPr>
            <w:r w:rsidRPr="009E6F01">
              <w:rPr>
                <w:rFonts w:ascii="Calibri" w:eastAsia="Times New Roman" w:hAnsi="Calibri" w:cs="Calibri"/>
                <w:color w:val="000000"/>
                <w:sz w:val="18"/>
                <w:szCs w:val="18"/>
              </w:rPr>
              <w:t>0.494</w:t>
            </w:r>
          </w:p>
        </w:tc>
        <w:tc>
          <w:tcPr>
            <w:tcW w:w="326" w:type="pct"/>
            <w:tcBorders>
              <w:top w:val="nil"/>
              <w:left w:val="nil"/>
              <w:bottom w:val="single" w:sz="12" w:space="0" w:color="auto"/>
              <w:right w:val="nil"/>
            </w:tcBorders>
            <w:shd w:val="clear" w:color="000000" w:fill="FFFFFF"/>
            <w:noWrap/>
            <w:vAlign w:val="center"/>
            <w:hideMark/>
          </w:tcPr>
          <w:p w14:paraId="1EC9594A" w14:textId="77777777" w:rsidR="009E6F01" w:rsidRPr="009E6F01" w:rsidRDefault="009E6F01" w:rsidP="009E6F01">
            <w:pPr>
              <w:jc w:val="center"/>
              <w:rPr>
                <w:rFonts w:ascii="Calibri" w:eastAsia="Times New Roman" w:hAnsi="Calibri" w:cs="Calibri"/>
                <w:color w:val="000000"/>
                <w:sz w:val="18"/>
                <w:szCs w:val="18"/>
              </w:rPr>
            </w:pPr>
            <w:r w:rsidRPr="009E6F01">
              <w:rPr>
                <w:rFonts w:ascii="Calibri" w:eastAsia="Times New Roman" w:hAnsi="Calibri" w:cs="Calibri"/>
                <w:color w:val="000000"/>
                <w:sz w:val="18"/>
                <w:szCs w:val="18"/>
              </w:rPr>
              <w:t>-253.625</w:t>
            </w:r>
          </w:p>
        </w:tc>
        <w:tc>
          <w:tcPr>
            <w:tcW w:w="326" w:type="pct"/>
            <w:tcBorders>
              <w:top w:val="nil"/>
              <w:left w:val="nil"/>
              <w:bottom w:val="single" w:sz="12" w:space="0" w:color="auto"/>
              <w:right w:val="nil"/>
            </w:tcBorders>
            <w:shd w:val="clear" w:color="000000" w:fill="FFFFFF"/>
            <w:noWrap/>
            <w:vAlign w:val="center"/>
            <w:hideMark/>
          </w:tcPr>
          <w:p w14:paraId="2D733B62" w14:textId="77777777" w:rsidR="009E6F01" w:rsidRPr="009E6F01" w:rsidRDefault="009E6F01" w:rsidP="009E6F01">
            <w:pPr>
              <w:jc w:val="center"/>
              <w:rPr>
                <w:rFonts w:ascii="Calibri" w:eastAsia="Times New Roman" w:hAnsi="Calibri" w:cs="Calibri"/>
                <w:color w:val="000000"/>
                <w:sz w:val="18"/>
                <w:szCs w:val="18"/>
              </w:rPr>
            </w:pPr>
            <w:r w:rsidRPr="009E6F01">
              <w:rPr>
                <w:rFonts w:ascii="Calibri" w:eastAsia="Times New Roman" w:hAnsi="Calibri" w:cs="Calibri"/>
                <w:color w:val="000000"/>
                <w:sz w:val="18"/>
                <w:szCs w:val="18"/>
              </w:rPr>
              <w:t>-249.971</w:t>
            </w:r>
          </w:p>
        </w:tc>
        <w:tc>
          <w:tcPr>
            <w:tcW w:w="352" w:type="pct"/>
            <w:tcBorders>
              <w:top w:val="nil"/>
              <w:left w:val="nil"/>
              <w:bottom w:val="single" w:sz="12" w:space="0" w:color="auto"/>
              <w:right w:val="single" w:sz="4" w:space="0" w:color="auto"/>
            </w:tcBorders>
            <w:shd w:val="clear" w:color="000000" w:fill="FFFFFF"/>
            <w:noWrap/>
            <w:vAlign w:val="center"/>
            <w:hideMark/>
          </w:tcPr>
          <w:p w14:paraId="38B9EDBA" w14:textId="77777777" w:rsidR="009E6F01" w:rsidRPr="009E6F01" w:rsidRDefault="009E6F01" w:rsidP="009E6F01">
            <w:pPr>
              <w:jc w:val="center"/>
              <w:rPr>
                <w:rFonts w:ascii="Calibri" w:eastAsia="Times New Roman" w:hAnsi="Calibri" w:cs="Calibri"/>
                <w:color w:val="000000"/>
                <w:sz w:val="18"/>
                <w:szCs w:val="18"/>
              </w:rPr>
            </w:pPr>
            <w:r w:rsidRPr="009E6F01">
              <w:rPr>
                <w:rFonts w:ascii="Calibri" w:eastAsia="Times New Roman" w:hAnsi="Calibri" w:cs="Calibri"/>
                <w:color w:val="000000"/>
                <w:sz w:val="18"/>
                <w:szCs w:val="18"/>
              </w:rPr>
              <w:t>-251.168</w:t>
            </w:r>
          </w:p>
        </w:tc>
        <w:tc>
          <w:tcPr>
            <w:tcW w:w="326" w:type="pct"/>
            <w:tcBorders>
              <w:top w:val="nil"/>
              <w:left w:val="nil"/>
              <w:bottom w:val="single" w:sz="12" w:space="0" w:color="auto"/>
              <w:right w:val="nil"/>
            </w:tcBorders>
            <w:shd w:val="clear" w:color="000000" w:fill="FFFFFF"/>
            <w:noWrap/>
            <w:vAlign w:val="center"/>
            <w:hideMark/>
          </w:tcPr>
          <w:p w14:paraId="4FE1CB37" w14:textId="77777777" w:rsidR="009E6F01" w:rsidRPr="009E6F01" w:rsidRDefault="009E6F01" w:rsidP="009E6F01">
            <w:pPr>
              <w:jc w:val="center"/>
              <w:rPr>
                <w:rFonts w:ascii="Calibri" w:eastAsia="Times New Roman" w:hAnsi="Calibri" w:cs="Calibri"/>
                <w:color w:val="000000"/>
                <w:sz w:val="18"/>
                <w:szCs w:val="18"/>
              </w:rPr>
            </w:pPr>
            <w:r w:rsidRPr="009E6F01">
              <w:rPr>
                <w:rFonts w:ascii="Calibri" w:eastAsia="Times New Roman" w:hAnsi="Calibri" w:cs="Calibri"/>
                <w:color w:val="000000"/>
                <w:sz w:val="18"/>
                <w:szCs w:val="18"/>
              </w:rPr>
              <w:t>1.504</w:t>
            </w:r>
          </w:p>
        </w:tc>
        <w:tc>
          <w:tcPr>
            <w:tcW w:w="373" w:type="pct"/>
            <w:tcBorders>
              <w:top w:val="nil"/>
              <w:left w:val="nil"/>
              <w:bottom w:val="single" w:sz="12" w:space="0" w:color="auto"/>
              <w:right w:val="nil"/>
            </w:tcBorders>
            <w:shd w:val="clear" w:color="000000" w:fill="FFFFFF"/>
            <w:noWrap/>
            <w:vAlign w:val="center"/>
            <w:hideMark/>
          </w:tcPr>
          <w:p w14:paraId="243DE43C" w14:textId="77777777" w:rsidR="009E6F01" w:rsidRPr="009E6F01" w:rsidRDefault="009E6F01" w:rsidP="009E6F01">
            <w:pPr>
              <w:jc w:val="center"/>
              <w:rPr>
                <w:rFonts w:ascii="Calibri" w:eastAsia="Times New Roman" w:hAnsi="Calibri" w:cs="Calibri"/>
                <w:color w:val="000000"/>
                <w:sz w:val="18"/>
                <w:szCs w:val="18"/>
              </w:rPr>
            </w:pPr>
            <w:r w:rsidRPr="009E6F01">
              <w:rPr>
                <w:rFonts w:ascii="Calibri" w:eastAsia="Times New Roman" w:hAnsi="Calibri" w:cs="Calibri"/>
                <w:color w:val="000000"/>
                <w:sz w:val="18"/>
                <w:szCs w:val="18"/>
              </w:rPr>
              <w:t>0.734</w:t>
            </w:r>
          </w:p>
        </w:tc>
        <w:tc>
          <w:tcPr>
            <w:tcW w:w="370" w:type="pct"/>
            <w:tcBorders>
              <w:top w:val="nil"/>
              <w:left w:val="nil"/>
              <w:bottom w:val="single" w:sz="12" w:space="0" w:color="auto"/>
              <w:right w:val="nil"/>
            </w:tcBorders>
            <w:shd w:val="clear" w:color="000000" w:fill="FFFFFF"/>
            <w:noWrap/>
            <w:vAlign w:val="center"/>
            <w:hideMark/>
          </w:tcPr>
          <w:p w14:paraId="756990CF" w14:textId="77777777" w:rsidR="009E6F01" w:rsidRPr="009E6F01" w:rsidRDefault="009E6F01" w:rsidP="009E6F01">
            <w:pPr>
              <w:jc w:val="center"/>
              <w:rPr>
                <w:rFonts w:ascii="Calibri" w:eastAsia="Times New Roman" w:hAnsi="Calibri" w:cs="Calibri"/>
                <w:color w:val="000000"/>
                <w:sz w:val="18"/>
                <w:szCs w:val="18"/>
              </w:rPr>
            </w:pPr>
            <w:r w:rsidRPr="009E6F01">
              <w:rPr>
                <w:rFonts w:ascii="Calibri" w:eastAsia="Times New Roman" w:hAnsi="Calibri" w:cs="Calibri"/>
                <w:color w:val="000000"/>
                <w:sz w:val="18"/>
                <w:szCs w:val="18"/>
              </w:rPr>
              <w:t>1.977</w:t>
            </w:r>
          </w:p>
        </w:tc>
        <w:tc>
          <w:tcPr>
            <w:tcW w:w="326" w:type="pct"/>
            <w:tcBorders>
              <w:top w:val="nil"/>
              <w:left w:val="nil"/>
              <w:bottom w:val="single" w:sz="12" w:space="0" w:color="auto"/>
              <w:right w:val="nil"/>
            </w:tcBorders>
            <w:shd w:val="clear" w:color="000000" w:fill="FFFFFF"/>
            <w:noWrap/>
            <w:vAlign w:val="center"/>
            <w:hideMark/>
          </w:tcPr>
          <w:p w14:paraId="6DE54C2F" w14:textId="77777777" w:rsidR="009E6F01" w:rsidRPr="009E6F01" w:rsidRDefault="009E6F01" w:rsidP="009E6F01">
            <w:pPr>
              <w:jc w:val="center"/>
              <w:rPr>
                <w:rFonts w:ascii="Calibri" w:eastAsia="Times New Roman" w:hAnsi="Calibri" w:cs="Calibri"/>
                <w:color w:val="000000"/>
                <w:sz w:val="18"/>
                <w:szCs w:val="18"/>
              </w:rPr>
            </w:pPr>
            <w:r w:rsidRPr="009E6F01">
              <w:rPr>
                <w:rFonts w:ascii="Calibri" w:eastAsia="Times New Roman" w:hAnsi="Calibri" w:cs="Calibri"/>
                <w:color w:val="000000"/>
                <w:sz w:val="18"/>
                <w:szCs w:val="18"/>
              </w:rPr>
              <w:t>-164.721</w:t>
            </w:r>
          </w:p>
        </w:tc>
        <w:tc>
          <w:tcPr>
            <w:tcW w:w="326" w:type="pct"/>
            <w:tcBorders>
              <w:top w:val="nil"/>
              <w:left w:val="nil"/>
              <w:bottom w:val="single" w:sz="12" w:space="0" w:color="auto"/>
              <w:right w:val="nil"/>
            </w:tcBorders>
            <w:shd w:val="clear" w:color="000000" w:fill="FFFFFF"/>
            <w:noWrap/>
            <w:vAlign w:val="center"/>
            <w:hideMark/>
          </w:tcPr>
          <w:p w14:paraId="10A89200" w14:textId="77777777" w:rsidR="009E6F01" w:rsidRPr="009E6F01" w:rsidRDefault="009E6F01" w:rsidP="009E6F01">
            <w:pPr>
              <w:jc w:val="center"/>
              <w:rPr>
                <w:rFonts w:ascii="Calibri" w:eastAsia="Times New Roman" w:hAnsi="Calibri" w:cs="Calibri"/>
                <w:color w:val="000000"/>
                <w:sz w:val="18"/>
                <w:szCs w:val="18"/>
              </w:rPr>
            </w:pPr>
            <w:r w:rsidRPr="009E6F01">
              <w:rPr>
                <w:rFonts w:ascii="Calibri" w:eastAsia="Times New Roman" w:hAnsi="Calibri" w:cs="Calibri"/>
                <w:color w:val="000000"/>
                <w:sz w:val="18"/>
                <w:szCs w:val="18"/>
              </w:rPr>
              <w:t>-163.399</w:t>
            </w:r>
          </w:p>
        </w:tc>
        <w:tc>
          <w:tcPr>
            <w:tcW w:w="351" w:type="pct"/>
            <w:tcBorders>
              <w:top w:val="nil"/>
              <w:left w:val="nil"/>
              <w:bottom w:val="single" w:sz="12" w:space="0" w:color="auto"/>
              <w:right w:val="nil"/>
            </w:tcBorders>
            <w:shd w:val="clear" w:color="000000" w:fill="FFFFFF"/>
            <w:noWrap/>
            <w:vAlign w:val="center"/>
            <w:hideMark/>
          </w:tcPr>
          <w:p w14:paraId="2DF5C545" w14:textId="77777777" w:rsidR="009E6F01" w:rsidRPr="009E6F01" w:rsidRDefault="009E6F01" w:rsidP="009E6F01">
            <w:pPr>
              <w:jc w:val="center"/>
              <w:rPr>
                <w:rFonts w:ascii="Calibri" w:eastAsia="Times New Roman" w:hAnsi="Calibri" w:cs="Calibri"/>
                <w:color w:val="000000"/>
                <w:sz w:val="18"/>
                <w:szCs w:val="18"/>
              </w:rPr>
            </w:pPr>
            <w:r w:rsidRPr="009E6F01">
              <w:rPr>
                <w:rFonts w:ascii="Calibri" w:eastAsia="Times New Roman" w:hAnsi="Calibri" w:cs="Calibri"/>
                <w:color w:val="000000"/>
                <w:sz w:val="18"/>
                <w:szCs w:val="18"/>
              </w:rPr>
              <w:t>-163.875</w:t>
            </w:r>
          </w:p>
        </w:tc>
      </w:tr>
    </w:tbl>
    <w:p w14:paraId="0833AE55" w14:textId="316366B3" w:rsidR="005F6247" w:rsidRPr="00166D32" w:rsidRDefault="00CA3D1E" w:rsidP="00166D32">
      <w:pPr>
        <w:pStyle w:val="ListParagraph"/>
        <w:ind w:left="0"/>
        <w:rPr>
          <w:rFonts w:cstheme="minorHAnsi"/>
          <w:b/>
          <w:bCs/>
        </w:rPr>
      </w:pPr>
      <w:r>
        <w:rPr>
          <w:rFonts w:cstheme="minorHAnsi"/>
        </w:rPr>
        <w:t>*</w:t>
      </w:r>
      <w:proofErr w:type="spellStart"/>
      <w:r w:rsidR="00585A3A">
        <w:rPr>
          <w:rFonts w:cstheme="minorHAnsi"/>
        </w:rPr>
        <w:t>Covs</w:t>
      </w:r>
      <w:proofErr w:type="spellEnd"/>
      <w:r w:rsidR="00585A3A">
        <w:rPr>
          <w:rFonts w:cstheme="minorHAnsi"/>
        </w:rPr>
        <w:t xml:space="preserve">: Covariates; </w:t>
      </w:r>
      <w:r>
        <w:rPr>
          <w:rFonts w:cstheme="minorHAnsi"/>
        </w:rPr>
        <w:t>“</w:t>
      </w:r>
      <w:proofErr w:type="spellStart"/>
      <w:r>
        <w:rPr>
          <w:rFonts w:cstheme="minorHAnsi"/>
        </w:rPr>
        <w:t>Covs</w:t>
      </w:r>
      <w:proofErr w:type="spellEnd"/>
      <w:r>
        <w:rPr>
          <w:rFonts w:cstheme="minorHAnsi"/>
        </w:rPr>
        <w:t xml:space="preserve"> (for </w:t>
      </w:r>
      <w:proofErr w:type="gramStart"/>
      <w:r>
        <w:rPr>
          <w:rFonts w:cstheme="minorHAnsi"/>
        </w:rPr>
        <w:t>RVI)“</w:t>
      </w:r>
      <w:proofErr w:type="gramEnd"/>
      <w:r>
        <w:rPr>
          <w:rFonts w:cstheme="minorHAnsi"/>
        </w:rPr>
        <w:t xml:space="preserve"> models do not include the 15 genetic principal components and genotype plate number that were included in the “</w:t>
      </w:r>
      <w:proofErr w:type="spellStart"/>
      <w:r>
        <w:rPr>
          <w:rFonts w:cstheme="minorHAnsi"/>
        </w:rPr>
        <w:t>Covs</w:t>
      </w:r>
      <w:proofErr w:type="spellEnd"/>
      <w:r>
        <w:rPr>
          <w:rFonts w:cstheme="minorHAnsi"/>
        </w:rPr>
        <w:t>” models</w:t>
      </w:r>
      <w:r w:rsidRPr="00166D32">
        <w:rPr>
          <w:rFonts w:cstheme="minorHAnsi"/>
          <w:b/>
          <w:bCs/>
        </w:rPr>
        <w:t xml:space="preserve"> </w:t>
      </w:r>
      <w:r w:rsidR="005F6247" w:rsidRPr="00166D32">
        <w:rPr>
          <w:rFonts w:cstheme="minorHAnsi"/>
          <w:b/>
          <w:bCs/>
        </w:rPr>
        <w:br w:type="page"/>
      </w:r>
    </w:p>
    <w:p w14:paraId="12560E38" w14:textId="77777777" w:rsidR="002A1442" w:rsidRDefault="002A1442">
      <w:pPr>
        <w:rPr>
          <w:rFonts w:cstheme="minorHAnsi"/>
          <w:b/>
          <w:bCs/>
        </w:rPr>
        <w:sectPr w:rsidR="002A1442" w:rsidSect="002A1442">
          <w:pgSz w:w="16838" w:h="11906" w:orient="landscape"/>
          <w:pgMar w:top="1440" w:right="1440" w:bottom="1440" w:left="1440" w:header="708" w:footer="708" w:gutter="0"/>
          <w:cols w:space="708"/>
          <w:docGrid w:linePitch="360"/>
        </w:sectPr>
      </w:pPr>
    </w:p>
    <w:p w14:paraId="56F5FF33" w14:textId="4E0A9CF1" w:rsidR="005F6247" w:rsidRDefault="005F6247">
      <w:pPr>
        <w:rPr>
          <w:rFonts w:cstheme="minorHAnsi"/>
          <w:b/>
          <w:bCs/>
        </w:rPr>
      </w:pPr>
    </w:p>
    <w:p w14:paraId="739DCAB7" w14:textId="344DCBF9" w:rsidR="00BE2BE5" w:rsidRDefault="00BE2BE5" w:rsidP="00BE2BE5">
      <w:pPr>
        <w:spacing w:line="276" w:lineRule="auto"/>
        <w:rPr>
          <w:rFonts w:cstheme="minorHAnsi"/>
        </w:rPr>
      </w:pPr>
      <w:r w:rsidRPr="00D63037">
        <w:rPr>
          <w:rFonts w:cstheme="minorHAnsi"/>
          <w:b/>
          <w:bCs/>
        </w:rPr>
        <w:t xml:space="preserve">Table </w:t>
      </w:r>
      <w:r>
        <w:rPr>
          <w:rFonts w:cstheme="minorHAnsi"/>
          <w:b/>
          <w:bCs/>
        </w:rPr>
        <w:t>S</w:t>
      </w:r>
      <w:r w:rsidR="00E209BB">
        <w:rPr>
          <w:rFonts w:cstheme="minorHAnsi"/>
          <w:b/>
          <w:bCs/>
        </w:rPr>
        <w:t>8</w:t>
      </w:r>
      <w:r w:rsidRPr="00D63037">
        <w:rPr>
          <w:rFonts w:cstheme="minorHAnsi"/>
          <w:b/>
          <w:bCs/>
        </w:rPr>
        <w:t>.</w:t>
      </w:r>
      <w:r>
        <w:rPr>
          <w:rFonts w:cstheme="minorHAnsi"/>
        </w:rPr>
        <w:t xml:space="preserve"> </w:t>
      </w:r>
      <w:r w:rsidRPr="0021738A">
        <w:rPr>
          <w:rFonts w:cstheme="minorHAnsi"/>
        </w:rPr>
        <w:t xml:space="preserve">Association between baseline </w:t>
      </w:r>
      <w:r w:rsidR="00A91AA1">
        <w:rPr>
          <w:rFonts w:cstheme="minorHAnsi"/>
        </w:rPr>
        <w:t>MDD-</w:t>
      </w:r>
      <w:r w:rsidRPr="0021738A">
        <w:rPr>
          <w:rFonts w:cstheme="minorHAnsi"/>
        </w:rPr>
        <w:t xml:space="preserve">RVIs and MDD-PRS with </w:t>
      </w:r>
      <w:r>
        <w:rPr>
          <w:rFonts w:cstheme="minorHAnsi"/>
        </w:rPr>
        <w:t xml:space="preserve">the </w:t>
      </w:r>
      <w:proofErr w:type="spellStart"/>
      <w:r>
        <w:rPr>
          <w:rFonts w:cstheme="minorHAnsi"/>
        </w:rPr>
        <w:t>residualised</w:t>
      </w:r>
      <w:proofErr w:type="spellEnd"/>
      <w:r>
        <w:rPr>
          <w:rFonts w:cstheme="minorHAnsi"/>
        </w:rPr>
        <w:t xml:space="preserve"> </w:t>
      </w:r>
      <w:r w:rsidRPr="0021738A">
        <w:rPr>
          <w:rFonts w:cstheme="minorHAnsi"/>
        </w:rPr>
        <w:t>CBCL-</w:t>
      </w:r>
      <w:r>
        <w:rPr>
          <w:rFonts w:cstheme="minorHAnsi"/>
        </w:rPr>
        <w:t>DSM-</w:t>
      </w:r>
      <w:r w:rsidRPr="0021738A">
        <w:rPr>
          <w:rFonts w:cstheme="minorHAnsi"/>
        </w:rPr>
        <w:t xml:space="preserve">Depressed </w:t>
      </w:r>
      <w:r>
        <w:rPr>
          <w:rFonts w:cstheme="minorHAnsi"/>
        </w:rPr>
        <w:t>scores</w:t>
      </w:r>
      <w:r w:rsidRPr="0021738A">
        <w:rPr>
          <w:rFonts w:cstheme="minorHAnsi"/>
        </w:rPr>
        <w:t xml:space="preserve"> from baseline to two-year follow up</w:t>
      </w:r>
      <w:r>
        <w:rPr>
          <w:rFonts w:cstheme="minorHAnsi"/>
        </w:rPr>
        <w:t xml:space="preserve"> for all RVI types and p-value thresholds. </w:t>
      </w:r>
    </w:p>
    <w:p w14:paraId="0776D129" w14:textId="77777777" w:rsidR="00BE2BE5" w:rsidRPr="001B2B09" w:rsidRDefault="00BE2BE5" w:rsidP="00BE2BE5">
      <w:pPr>
        <w:spacing w:line="276" w:lineRule="auto"/>
        <w:rPr>
          <w:rFonts w:cstheme="minorHAnsi"/>
          <w:b/>
          <w:bCs/>
        </w:rPr>
      </w:pPr>
    </w:p>
    <w:tbl>
      <w:tblPr>
        <w:tblpPr w:leftFromText="180" w:rightFromText="180" w:vertAnchor="page" w:horzAnchor="margin" w:tblpY="2881"/>
        <w:tblW w:w="8646" w:type="dxa"/>
        <w:tblLook w:val="04A0" w:firstRow="1" w:lastRow="0" w:firstColumn="1" w:lastColumn="0" w:noHBand="0" w:noVBand="1"/>
      </w:tblPr>
      <w:tblGrid>
        <w:gridCol w:w="2160"/>
        <w:gridCol w:w="2180"/>
        <w:gridCol w:w="1100"/>
        <w:gridCol w:w="1053"/>
        <w:gridCol w:w="1100"/>
        <w:gridCol w:w="1053"/>
      </w:tblGrid>
      <w:tr w:rsidR="003F3F1E" w:rsidRPr="00ED3A67" w14:paraId="7F3D6782" w14:textId="77777777" w:rsidTr="003F3F1E">
        <w:trPr>
          <w:trHeight w:val="312"/>
        </w:trPr>
        <w:tc>
          <w:tcPr>
            <w:tcW w:w="2160" w:type="dxa"/>
            <w:tcBorders>
              <w:top w:val="single" w:sz="12" w:space="0" w:color="auto"/>
              <w:left w:val="nil"/>
              <w:bottom w:val="single" w:sz="12" w:space="0" w:color="auto"/>
              <w:right w:val="nil"/>
            </w:tcBorders>
            <w:shd w:val="clear" w:color="000000" w:fill="FFFFFF"/>
            <w:noWrap/>
            <w:vAlign w:val="bottom"/>
            <w:hideMark/>
          </w:tcPr>
          <w:p w14:paraId="03F9D553" w14:textId="77777777" w:rsidR="003F3F1E" w:rsidRPr="00ED3A67" w:rsidRDefault="003F3F1E" w:rsidP="003F3F1E">
            <w:pPr>
              <w:spacing w:line="276" w:lineRule="auto"/>
              <w:jc w:val="center"/>
              <w:rPr>
                <w:rFonts w:ascii="Calibri" w:eastAsia="Times New Roman" w:hAnsi="Calibri" w:cs="Calibri"/>
                <w:b/>
                <w:bCs/>
                <w:color w:val="000000"/>
              </w:rPr>
            </w:pPr>
            <w:r w:rsidRPr="00ED3A67">
              <w:rPr>
                <w:rFonts w:ascii="Calibri" w:eastAsia="Times New Roman" w:hAnsi="Calibri" w:cs="Calibri"/>
                <w:b/>
                <w:bCs/>
                <w:color w:val="000000"/>
              </w:rPr>
              <w:t>Dependent variable</w:t>
            </w:r>
          </w:p>
        </w:tc>
        <w:tc>
          <w:tcPr>
            <w:tcW w:w="2180" w:type="dxa"/>
            <w:tcBorders>
              <w:top w:val="single" w:sz="12" w:space="0" w:color="auto"/>
              <w:left w:val="nil"/>
              <w:bottom w:val="single" w:sz="12" w:space="0" w:color="auto"/>
              <w:right w:val="nil"/>
            </w:tcBorders>
            <w:shd w:val="clear" w:color="000000" w:fill="FFFFFF"/>
            <w:noWrap/>
            <w:vAlign w:val="bottom"/>
            <w:hideMark/>
          </w:tcPr>
          <w:p w14:paraId="22799557" w14:textId="77777777" w:rsidR="003F3F1E" w:rsidRPr="00ED3A67" w:rsidRDefault="003F3F1E" w:rsidP="003F3F1E">
            <w:pPr>
              <w:spacing w:line="276" w:lineRule="auto"/>
              <w:rPr>
                <w:rFonts w:ascii="Calibri" w:eastAsia="Times New Roman" w:hAnsi="Calibri" w:cs="Calibri"/>
                <w:b/>
                <w:bCs/>
                <w:color w:val="000000"/>
              </w:rPr>
            </w:pPr>
            <w:r w:rsidRPr="00ED3A67">
              <w:rPr>
                <w:rFonts w:ascii="Calibri" w:eastAsia="Times New Roman" w:hAnsi="Calibri" w:cs="Calibri"/>
                <w:b/>
                <w:bCs/>
                <w:color w:val="000000"/>
              </w:rPr>
              <w:t>Predictor</w:t>
            </w:r>
          </w:p>
        </w:tc>
        <w:tc>
          <w:tcPr>
            <w:tcW w:w="1100" w:type="dxa"/>
            <w:tcBorders>
              <w:top w:val="single" w:sz="12" w:space="0" w:color="auto"/>
              <w:left w:val="nil"/>
              <w:bottom w:val="single" w:sz="12" w:space="0" w:color="auto"/>
              <w:right w:val="nil"/>
            </w:tcBorders>
            <w:shd w:val="clear" w:color="000000" w:fill="FFFFFF"/>
            <w:noWrap/>
            <w:vAlign w:val="bottom"/>
            <w:hideMark/>
          </w:tcPr>
          <w:p w14:paraId="2D630051" w14:textId="77777777" w:rsidR="003F3F1E" w:rsidRPr="00ED3A67" w:rsidRDefault="003F3F1E" w:rsidP="003F3F1E">
            <w:pPr>
              <w:spacing w:line="276" w:lineRule="auto"/>
              <w:jc w:val="center"/>
              <w:rPr>
                <w:rFonts w:ascii="Calibri" w:eastAsia="Times New Roman" w:hAnsi="Calibri" w:cs="Calibri"/>
                <w:b/>
                <w:bCs/>
                <w:i/>
                <w:iCs/>
                <w:color w:val="000000"/>
              </w:rPr>
            </w:pPr>
            <w:r w:rsidRPr="00ED3A67">
              <w:rPr>
                <w:rFonts w:ascii="Calibri" w:eastAsia="Times New Roman" w:hAnsi="Calibri" w:cs="Calibri"/>
                <w:b/>
                <w:bCs/>
                <w:i/>
                <w:iCs/>
                <w:color w:val="000000"/>
              </w:rPr>
              <w:t>B</w:t>
            </w:r>
          </w:p>
        </w:tc>
        <w:tc>
          <w:tcPr>
            <w:tcW w:w="1053" w:type="dxa"/>
            <w:tcBorders>
              <w:top w:val="single" w:sz="12" w:space="0" w:color="auto"/>
              <w:left w:val="nil"/>
              <w:bottom w:val="single" w:sz="12" w:space="0" w:color="auto"/>
              <w:right w:val="nil"/>
            </w:tcBorders>
            <w:shd w:val="clear" w:color="000000" w:fill="FFFFFF"/>
            <w:noWrap/>
            <w:vAlign w:val="bottom"/>
            <w:hideMark/>
          </w:tcPr>
          <w:p w14:paraId="4A0FE639" w14:textId="77777777" w:rsidR="003F3F1E" w:rsidRPr="00ED3A67" w:rsidRDefault="003F3F1E" w:rsidP="003F3F1E">
            <w:pPr>
              <w:spacing w:line="276" w:lineRule="auto"/>
              <w:jc w:val="center"/>
              <w:rPr>
                <w:rFonts w:ascii="Calibri" w:eastAsia="Times New Roman" w:hAnsi="Calibri" w:cs="Calibri"/>
                <w:b/>
                <w:bCs/>
                <w:color w:val="000000"/>
              </w:rPr>
            </w:pPr>
            <w:r w:rsidRPr="00ED3A67">
              <w:rPr>
                <w:rFonts w:ascii="Calibri" w:eastAsia="Times New Roman" w:hAnsi="Calibri" w:cs="Calibri"/>
                <w:b/>
                <w:bCs/>
                <w:color w:val="000000"/>
              </w:rPr>
              <w:t>SD</w:t>
            </w:r>
          </w:p>
        </w:tc>
        <w:tc>
          <w:tcPr>
            <w:tcW w:w="1100" w:type="dxa"/>
            <w:tcBorders>
              <w:top w:val="single" w:sz="12" w:space="0" w:color="auto"/>
              <w:left w:val="nil"/>
              <w:bottom w:val="single" w:sz="12" w:space="0" w:color="auto"/>
              <w:right w:val="nil"/>
            </w:tcBorders>
            <w:shd w:val="clear" w:color="000000" w:fill="FFFFFF"/>
            <w:noWrap/>
            <w:vAlign w:val="bottom"/>
            <w:hideMark/>
          </w:tcPr>
          <w:p w14:paraId="5F000324" w14:textId="77777777" w:rsidR="003F3F1E" w:rsidRPr="00ED3A67" w:rsidRDefault="003F3F1E" w:rsidP="003F3F1E">
            <w:pPr>
              <w:spacing w:line="276" w:lineRule="auto"/>
              <w:jc w:val="center"/>
              <w:rPr>
                <w:rFonts w:ascii="Calibri" w:eastAsia="Times New Roman" w:hAnsi="Calibri" w:cs="Calibri"/>
                <w:b/>
                <w:bCs/>
                <w:color w:val="000000"/>
              </w:rPr>
            </w:pPr>
            <w:r w:rsidRPr="00ED3A67">
              <w:rPr>
                <w:rFonts w:ascii="Calibri" w:eastAsia="Times New Roman" w:hAnsi="Calibri" w:cs="Calibri"/>
                <w:b/>
                <w:bCs/>
                <w:color w:val="000000"/>
              </w:rPr>
              <w:t>t-value</w:t>
            </w:r>
          </w:p>
        </w:tc>
        <w:tc>
          <w:tcPr>
            <w:tcW w:w="1053" w:type="dxa"/>
            <w:tcBorders>
              <w:top w:val="single" w:sz="12" w:space="0" w:color="auto"/>
              <w:left w:val="nil"/>
              <w:bottom w:val="single" w:sz="12" w:space="0" w:color="auto"/>
              <w:right w:val="nil"/>
            </w:tcBorders>
            <w:shd w:val="clear" w:color="000000" w:fill="FFFFFF"/>
            <w:noWrap/>
            <w:vAlign w:val="bottom"/>
            <w:hideMark/>
          </w:tcPr>
          <w:p w14:paraId="1E8569ED" w14:textId="77777777" w:rsidR="003F3F1E" w:rsidRPr="00ED3A67" w:rsidRDefault="003F3F1E" w:rsidP="003F3F1E">
            <w:pPr>
              <w:spacing w:line="276" w:lineRule="auto"/>
              <w:jc w:val="center"/>
              <w:rPr>
                <w:rFonts w:ascii="Calibri" w:eastAsia="Times New Roman" w:hAnsi="Calibri" w:cs="Calibri"/>
                <w:b/>
                <w:bCs/>
                <w:color w:val="000000"/>
              </w:rPr>
            </w:pPr>
            <w:r w:rsidRPr="00ED3A67">
              <w:rPr>
                <w:rFonts w:ascii="Calibri" w:eastAsia="Times New Roman" w:hAnsi="Calibri" w:cs="Calibri"/>
                <w:b/>
                <w:bCs/>
                <w:color w:val="000000"/>
              </w:rPr>
              <w:t>p-value</w:t>
            </w:r>
          </w:p>
        </w:tc>
      </w:tr>
      <w:tr w:rsidR="003F3F1E" w:rsidRPr="00ED3A67" w14:paraId="639B989B" w14:textId="77777777" w:rsidTr="003F3F1E">
        <w:trPr>
          <w:trHeight w:val="300"/>
        </w:trPr>
        <w:tc>
          <w:tcPr>
            <w:tcW w:w="2160" w:type="dxa"/>
            <w:vMerge w:val="restart"/>
            <w:tcBorders>
              <w:top w:val="single" w:sz="12" w:space="0" w:color="auto"/>
              <w:left w:val="nil"/>
              <w:bottom w:val="single" w:sz="4" w:space="0" w:color="000000"/>
              <w:right w:val="nil"/>
            </w:tcBorders>
            <w:shd w:val="clear" w:color="auto" w:fill="auto"/>
            <w:vAlign w:val="center"/>
            <w:hideMark/>
          </w:tcPr>
          <w:p w14:paraId="71B8F231" w14:textId="77777777" w:rsidR="003F3F1E" w:rsidRPr="00ED3A67" w:rsidRDefault="003F3F1E" w:rsidP="003F3F1E">
            <w:pPr>
              <w:spacing w:line="276" w:lineRule="auto"/>
              <w:jc w:val="center"/>
              <w:rPr>
                <w:rFonts w:ascii="Calibri" w:eastAsia="Times New Roman" w:hAnsi="Calibri" w:cs="Calibri"/>
                <w:color w:val="000000"/>
              </w:rPr>
            </w:pPr>
            <w:r w:rsidRPr="00ED3A67">
              <w:rPr>
                <w:rFonts w:ascii="Calibri" w:eastAsia="Times New Roman" w:hAnsi="Calibri" w:cs="Calibri"/>
                <w:color w:val="000000"/>
              </w:rPr>
              <w:t>CBCL-</w:t>
            </w:r>
            <w:r>
              <w:rPr>
                <w:rFonts w:ascii="Calibri" w:eastAsia="Times New Roman" w:hAnsi="Calibri" w:cs="Calibri"/>
                <w:color w:val="000000"/>
              </w:rPr>
              <w:t>DSM-Depressed (</w:t>
            </w:r>
            <w:proofErr w:type="spellStart"/>
            <w:r>
              <w:rPr>
                <w:rFonts w:ascii="Calibri" w:eastAsia="Times New Roman" w:hAnsi="Calibri" w:cs="Calibri"/>
                <w:color w:val="000000"/>
              </w:rPr>
              <w:t>residualised</w:t>
            </w:r>
            <w:proofErr w:type="spellEnd"/>
            <w:r>
              <w:rPr>
                <w:rFonts w:ascii="Calibri" w:eastAsia="Times New Roman" w:hAnsi="Calibri" w:cs="Calibri"/>
                <w:color w:val="000000"/>
              </w:rPr>
              <w:t>)</w:t>
            </w:r>
          </w:p>
        </w:tc>
        <w:tc>
          <w:tcPr>
            <w:tcW w:w="2180" w:type="dxa"/>
            <w:tcBorders>
              <w:top w:val="single" w:sz="12" w:space="0" w:color="auto"/>
              <w:left w:val="nil"/>
              <w:bottom w:val="nil"/>
              <w:right w:val="nil"/>
            </w:tcBorders>
            <w:shd w:val="clear" w:color="auto" w:fill="auto"/>
            <w:noWrap/>
            <w:vAlign w:val="bottom"/>
            <w:hideMark/>
          </w:tcPr>
          <w:p w14:paraId="5F302754" w14:textId="77777777" w:rsidR="003F3F1E" w:rsidRPr="00ED3A67" w:rsidRDefault="003F3F1E" w:rsidP="003F3F1E">
            <w:pPr>
              <w:spacing w:line="276" w:lineRule="auto"/>
              <w:rPr>
                <w:rFonts w:ascii="Calibri" w:eastAsia="Times New Roman" w:hAnsi="Calibri" w:cs="Calibri"/>
                <w:color w:val="000000"/>
              </w:rPr>
            </w:pPr>
            <w:r>
              <w:rPr>
                <w:rFonts w:ascii="Calibri" w:eastAsia="Times New Roman" w:hAnsi="Calibri" w:cs="Calibri"/>
                <w:color w:val="000000"/>
              </w:rPr>
              <w:t>pT_0.001</w:t>
            </w:r>
          </w:p>
        </w:tc>
        <w:tc>
          <w:tcPr>
            <w:tcW w:w="1100" w:type="dxa"/>
            <w:tcBorders>
              <w:top w:val="single" w:sz="12" w:space="0" w:color="auto"/>
              <w:left w:val="nil"/>
              <w:bottom w:val="nil"/>
              <w:right w:val="nil"/>
            </w:tcBorders>
            <w:shd w:val="clear" w:color="auto" w:fill="auto"/>
            <w:noWrap/>
            <w:vAlign w:val="bottom"/>
            <w:hideMark/>
          </w:tcPr>
          <w:p w14:paraId="5561A026" w14:textId="77777777" w:rsidR="003F3F1E" w:rsidRPr="00ED3A67" w:rsidRDefault="003F3F1E" w:rsidP="003F3F1E">
            <w:pPr>
              <w:spacing w:line="276" w:lineRule="auto"/>
              <w:jc w:val="center"/>
              <w:rPr>
                <w:rFonts w:ascii="Calibri" w:eastAsia="Times New Roman" w:hAnsi="Calibri" w:cs="Calibri"/>
                <w:color w:val="000000"/>
              </w:rPr>
            </w:pPr>
            <w:r>
              <w:rPr>
                <w:rFonts w:ascii="Calibri" w:hAnsi="Calibri" w:cs="Calibri"/>
                <w:color w:val="000000"/>
              </w:rPr>
              <w:t>0.022</w:t>
            </w:r>
          </w:p>
        </w:tc>
        <w:tc>
          <w:tcPr>
            <w:tcW w:w="1053" w:type="dxa"/>
            <w:tcBorders>
              <w:top w:val="single" w:sz="12" w:space="0" w:color="auto"/>
              <w:left w:val="nil"/>
              <w:bottom w:val="nil"/>
              <w:right w:val="nil"/>
            </w:tcBorders>
            <w:shd w:val="clear" w:color="auto" w:fill="auto"/>
            <w:noWrap/>
            <w:vAlign w:val="bottom"/>
            <w:hideMark/>
          </w:tcPr>
          <w:p w14:paraId="1D49BB75" w14:textId="77777777" w:rsidR="003F3F1E" w:rsidRPr="00ED3A67" w:rsidRDefault="003F3F1E" w:rsidP="003F3F1E">
            <w:pPr>
              <w:spacing w:line="276" w:lineRule="auto"/>
              <w:jc w:val="center"/>
              <w:rPr>
                <w:rFonts w:ascii="Calibri" w:eastAsia="Times New Roman" w:hAnsi="Calibri" w:cs="Calibri"/>
                <w:color w:val="000000"/>
              </w:rPr>
            </w:pPr>
            <w:r>
              <w:rPr>
                <w:rFonts w:ascii="Calibri" w:hAnsi="Calibri" w:cs="Calibri"/>
                <w:color w:val="000000"/>
              </w:rPr>
              <w:t>0.028</w:t>
            </w:r>
          </w:p>
        </w:tc>
        <w:tc>
          <w:tcPr>
            <w:tcW w:w="1100" w:type="dxa"/>
            <w:tcBorders>
              <w:top w:val="single" w:sz="12" w:space="0" w:color="auto"/>
              <w:left w:val="nil"/>
              <w:bottom w:val="nil"/>
              <w:right w:val="nil"/>
            </w:tcBorders>
            <w:shd w:val="clear" w:color="auto" w:fill="auto"/>
            <w:noWrap/>
            <w:vAlign w:val="bottom"/>
            <w:hideMark/>
          </w:tcPr>
          <w:p w14:paraId="30A92F54" w14:textId="77777777" w:rsidR="003F3F1E" w:rsidRPr="00ED3A67" w:rsidRDefault="003F3F1E" w:rsidP="003F3F1E">
            <w:pPr>
              <w:spacing w:line="276" w:lineRule="auto"/>
              <w:jc w:val="center"/>
              <w:rPr>
                <w:rFonts w:ascii="Calibri" w:eastAsia="Times New Roman" w:hAnsi="Calibri" w:cs="Calibri"/>
                <w:color w:val="000000"/>
              </w:rPr>
            </w:pPr>
            <w:r>
              <w:rPr>
                <w:rFonts w:ascii="Calibri" w:hAnsi="Calibri" w:cs="Calibri"/>
                <w:color w:val="000000"/>
              </w:rPr>
              <w:t>0.784</w:t>
            </w:r>
          </w:p>
        </w:tc>
        <w:tc>
          <w:tcPr>
            <w:tcW w:w="1053" w:type="dxa"/>
            <w:tcBorders>
              <w:top w:val="single" w:sz="12" w:space="0" w:color="auto"/>
              <w:left w:val="nil"/>
              <w:bottom w:val="nil"/>
              <w:right w:val="nil"/>
            </w:tcBorders>
            <w:shd w:val="clear" w:color="auto" w:fill="auto"/>
            <w:noWrap/>
            <w:vAlign w:val="bottom"/>
            <w:hideMark/>
          </w:tcPr>
          <w:p w14:paraId="6589695A" w14:textId="77777777" w:rsidR="003F3F1E" w:rsidRPr="00ED3A67" w:rsidRDefault="003F3F1E" w:rsidP="003F3F1E">
            <w:pPr>
              <w:spacing w:line="276" w:lineRule="auto"/>
              <w:jc w:val="center"/>
              <w:rPr>
                <w:rFonts w:ascii="Calibri" w:eastAsia="Times New Roman" w:hAnsi="Calibri" w:cs="Calibri"/>
                <w:color w:val="000000"/>
              </w:rPr>
            </w:pPr>
            <w:r>
              <w:rPr>
                <w:rFonts w:ascii="Calibri" w:hAnsi="Calibri" w:cs="Calibri"/>
                <w:color w:val="000000"/>
              </w:rPr>
              <w:t>0.433</w:t>
            </w:r>
          </w:p>
        </w:tc>
      </w:tr>
      <w:tr w:rsidR="003F3F1E" w:rsidRPr="00ED3A67" w14:paraId="685916B2" w14:textId="77777777" w:rsidTr="003F3F1E">
        <w:trPr>
          <w:trHeight w:val="288"/>
        </w:trPr>
        <w:tc>
          <w:tcPr>
            <w:tcW w:w="2160" w:type="dxa"/>
            <w:vMerge/>
            <w:tcBorders>
              <w:top w:val="nil"/>
              <w:left w:val="nil"/>
              <w:bottom w:val="single" w:sz="4" w:space="0" w:color="000000"/>
              <w:right w:val="nil"/>
            </w:tcBorders>
            <w:shd w:val="clear" w:color="auto" w:fill="auto"/>
            <w:vAlign w:val="center"/>
            <w:hideMark/>
          </w:tcPr>
          <w:p w14:paraId="633A5643" w14:textId="77777777" w:rsidR="003F3F1E" w:rsidRPr="00ED3A67" w:rsidRDefault="003F3F1E" w:rsidP="003F3F1E">
            <w:pPr>
              <w:spacing w:line="276" w:lineRule="auto"/>
              <w:rPr>
                <w:rFonts w:ascii="Calibri" w:eastAsia="Times New Roman" w:hAnsi="Calibri" w:cs="Calibri"/>
                <w:color w:val="000000"/>
              </w:rPr>
            </w:pPr>
          </w:p>
        </w:tc>
        <w:tc>
          <w:tcPr>
            <w:tcW w:w="2180" w:type="dxa"/>
            <w:tcBorders>
              <w:top w:val="nil"/>
              <w:left w:val="nil"/>
              <w:bottom w:val="nil"/>
              <w:right w:val="nil"/>
            </w:tcBorders>
            <w:shd w:val="clear" w:color="auto" w:fill="auto"/>
            <w:noWrap/>
            <w:vAlign w:val="bottom"/>
            <w:hideMark/>
          </w:tcPr>
          <w:p w14:paraId="500C2E04" w14:textId="77777777" w:rsidR="003F3F1E" w:rsidRPr="00ED3A67" w:rsidRDefault="003F3F1E" w:rsidP="003F3F1E">
            <w:pPr>
              <w:spacing w:line="276" w:lineRule="auto"/>
              <w:rPr>
                <w:rFonts w:ascii="Calibri" w:eastAsia="Times New Roman" w:hAnsi="Calibri" w:cs="Calibri"/>
                <w:color w:val="000000"/>
              </w:rPr>
            </w:pPr>
            <w:r>
              <w:rPr>
                <w:rFonts w:ascii="Calibri" w:eastAsia="Times New Roman" w:hAnsi="Calibri" w:cs="Calibri"/>
                <w:color w:val="000000"/>
              </w:rPr>
              <w:t>pT_0.01</w:t>
            </w:r>
          </w:p>
        </w:tc>
        <w:tc>
          <w:tcPr>
            <w:tcW w:w="1100" w:type="dxa"/>
            <w:tcBorders>
              <w:top w:val="nil"/>
              <w:left w:val="nil"/>
              <w:bottom w:val="nil"/>
              <w:right w:val="nil"/>
            </w:tcBorders>
            <w:shd w:val="clear" w:color="auto" w:fill="auto"/>
            <w:noWrap/>
            <w:vAlign w:val="bottom"/>
            <w:hideMark/>
          </w:tcPr>
          <w:p w14:paraId="7E4E3BF2" w14:textId="77777777" w:rsidR="003F3F1E" w:rsidRPr="00ED3A67" w:rsidRDefault="003F3F1E" w:rsidP="003F3F1E">
            <w:pPr>
              <w:spacing w:line="276" w:lineRule="auto"/>
              <w:jc w:val="center"/>
              <w:rPr>
                <w:rFonts w:ascii="Calibri" w:eastAsia="Times New Roman" w:hAnsi="Calibri" w:cs="Calibri"/>
                <w:color w:val="000000"/>
              </w:rPr>
            </w:pPr>
            <w:r>
              <w:rPr>
                <w:rFonts w:ascii="Calibri" w:hAnsi="Calibri" w:cs="Calibri"/>
                <w:color w:val="000000"/>
              </w:rPr>
              <w:t>0.034</w:t>
            </w:r>
          </w:p>
        </w:tc>
        <w:tc>
          <w:tcPr>
            <w:tcW w:w="1053" w:type="dxa"/>
            <w:tcBorders>
              <w:top w:val="nil"/>
              <w:left w:val="nil"/>
              <w:bottom w:val="nil"/>
              <w:right w:val="nil"/>
            </w:tcBorders>
            <w:shd w:val="clear" w:color="auto" w:fill="auto"/>
            <w:noWrap/>
            <w:vAlign w:val="bottom"/>
            <w:hideMark/>
          </w:tcPr>
          <w:p w14:paraId="1A5EB3B8" w14:textId="77777777" w:rsidR="003F3F1E" w:rsidRPr="00ED3A67" w:rsidRDefault="003F3F1E" w:rsidP="003F3F1E">
            <w:pPr>
              <w:spacing w:line="276" w:lineRule="auto"/>
              <w:jc w:val="center"/>
              <w:rPr>
                <w:rFonts w:ascii="Calibri" w:eastAsia="Times New Roman" w:hAnsi="Calibri" w:cs="Calibri"/>
                <w:color w:val="000000"/>
              </w:rPr>
            </w:pPr>
            <w:r>
              <w:rPr>
                <w:rFonts w:ascii="Calibri" w:hAnsi="Calibri" w:cs="Calibri"/>
                <w:color w:val="000000"/>
              </w:rPr>
              <w:t>0.028</w:t>
            </w:r>
          </w:p>
        </w:tc>
        <w:tc>
          <w:tcPr>
            <w:tcW w:w="1100" w:type="dxa"/>
            <w:tcBorders>
              <w:top w:val="nil"/>
              <w:left w:val="nil"/>
              <w:bottom w:val="nil"/>
              <w:right w:val="nil"/>
            </w:tcBorders>
            <w:shd w:val="clear" w:color="auto" w:fill="auto"/>
            <w:noWrap/>
            <w:vAlign w:val="bottom"/>
            <w:hideMark/>
          </w:tcPr>
          <w:p w14:paraId="3E21569C" w14:textId="77777777" w:rsidR="003F3F1E" w:rsidRPr="00ED3A67" w:rsidRDefault="003F3F1E" w:rsidP="003F3F1E">
            <w:pPr>
              <w:spacing w:line="276" w:lineRule="auto"/>
              <w:jc w:val="center"/>
              <w:rPr>
                <w:rFonts w:ascii="Calibri" w:eastAsia="Times New Roman" w:hAnsi="Calibri" w:cs="Calibri"/>
                <w:color w:val="000000"/>
              </w:rPr>
            </w:pPr>
            <w:r>
              <w:rPr>
                <w:rFonts w:ascii="Calibri" w:hAnsi="Calibri" w:cs="Calibri"/>
                <w:color w:val="000000"/>
              </w:rPr>
              <w:t>1.201</w:t>
            </w:r>
          </w:p>
        </w:tc>
        <w:tc>
          <w:tcPr>
            <w:tcW w:w="1053" w:type="dxa"/>
            <w:tcBorders>
              <w:top w:val="nil"/>
              <w:left w:val="nil"/>
              <w:bottom w:val="nil"/>
              <w:right w:val="nil"/>
            </w:tcBorders>
            <w:shd w:val="clear" w:color="auto" w:fill="auto"/>
            <w:noWrap/>
            <w:vAlign w:val="bottom"/>
            <w:hideMark/>
          </w:tcPr>
          <w:p w14:paraId="2004846D" w14:textId="77777777" w:rsidR="003F3F1E" w:rsidRPr="00ED3A67" w:rsidRDefault="003F3F1E" w:rsidP="003F3F1E">
            <w:pPr>
              <w:spacing w:line="276" w:lineRule="auto"/>
              <w:jc w:val="center"/>
              <w:rPr>
                <w:rFonts w:ascii="Calibri" w:eastAsia="Times New Roman" w:hAnsi="Calibri" w:cs="Calibri"/>
                <w:color w:val="000000"/>
              </w:rPr>
            </w:pPr>
            <w:r>
              <w:rPr>
                <w:rFonts w:ascii="Calibri" w:hAnsi="Calibri" w:cs="Calibri"/>
                <w:color w:val="000000"/>
              </w:rPr>
              <w:t>0.230</w:t>
            </w:r>
          </w:p>
        </w:tc>
      </w:tr>
      <w:tr w:rsidR="003F3F1E" w:rsidRPr="00ED3A67" w14:paraId="416530D0" w14:textId="77777777" w:rsidTr="003F3F1E">
        <w:trPr>
          <w:trHeight w:val="288"/>
        </w:trPr>
        <w:tc>
          <w:tcPr>
            <w:tcW w:w="2160" w:type="dxa"/>
            <w:vMerge/>
            <w:tcBorders>
              <w:top w:val="nil"/>
              <w:left w:val="nil"/>
              <w:bottom w:val="single" w:sz="4" w:space="0" w:color="000000"/>
              <w:right w:val="nil"/>
            </w:tcBorders>
            <w:shd w:val="clear" w:color="auto" w:fill="auto"/>
            <w:vAlign w:val="center"/>
            <w:hideMark/>
          </w:tcPr>
          <w:p w14:paraId="3CC8A758" w14:textId="77777777" w:rsidR="003F3F1E" w:rsidRPr="00ED3A67" w:rsidRDefault="003F3F1E" w:rsidP="003F3F1E">
            <w:pPr>
              <w:spacing w:line="276" w:lineRule="auto"/>
              <w:rPr>
                <w:rFonts w:ascii="Calibri" w:eastAsia="Times New Roman" w:hAnsi="Calibri" w:cs="Calibri"/>
                <w:color w:val="000000"/>
              </w:rPr>
            </w:pPr>
          </w:p>
        </w:tc>
        <w:tc>
          <w:tcPr>
            <w:tcW w:w="2180" w:type="dxa"/>
            <w:tcBorders>
              <w:top w:val="nil"/>
              <w:left w:val="nil"/>
              <w:bottom w:val="nil"/>
              <w:right w:val="nil"/>
            </w:tcBorders>
            <w:shd w:val="clear" w:color="auto" w:fill="auto"/>
            <w:noWrap/>
            <w:vAlign w:val="bottom"/>
            <w:hideMark/>
          </w:tcPr>
          <w:p w14:paraId="78C8BE65" w14:textId="77777777" w:rsidR="003F3F1E" w:rsidRPr="00ED3A67" w:rsidRDefault="003F3F1E" w:rsidP="003F3F1E">
            <w:pPr>
              <w:spacing w:line="276" w:lineRule="auto"/>
              <w:rPr>
                <w:rFonts w:ascii="Calibri" w:eastAsia="Times New Roman" w:hAnsi="Calibri" w:cs="Calibri"/>
                <w:color w:val="000000"/>
              </w:rPr>
            </w:pPr>
            <w:r>
              <w:rPr>
                <w:rFonts w:ascii="Calibri" w:eastAsia="Times New Roman" w:hAnsi="Calibri" w:cs="Calibri"/>
                <w:color w:val="000000"/>
              </w:rPr>
              <w:t>pT_0.05</w:t>
            </w:r>
          </w:p>
        </w:tc>
        <w:tc>
          <w:tcPr>
            <w:tcW w:w="1100" w:type="dxa"/>
            <w:tcBorders>
              <w:top w:val="nil"/>
              <w:left w:val="nil"/>
              <w:bottom w:val="nil"/>
              <w:right w:val="nil"/>
            </w:tcBorders>
            <w:shd w:val="clear" w:color="auto" w:fill="auto"/>
            <w:noWrap/>
            <w:vAlign w:val="bottom"/>
            <w:hideMark/>
          </w:tcPr>
          <w:p w14:paraId="483D2A51" w14:textId="77777777" w:rsidR="003F3F1E" w:rsidRPr="00ED3A67" w:rsidRDefault="003F3F1E" w:rsidP="003F3F1E">
            <w:pPr>
              <w:spacing w:line="276" w:lineRule="auto"/>
              <w:jc w:val="center"/>
              <w:rPr>
                <w:rFonts w:ascii="Calibri" w:eastAsia="Times New Roman" w:hAnsi="Calibri" w:cs="Calibri"/>
                <w:color w:val="000000"/>
              </w:rPr>
            </w:pPr>
            <w:r>
              <w:rPr>
                <w:rFonts w:ascii="Calibri" w:hAnsi="Calibri" w:cs="Calibri"/>
                <w:color w:val="000000"/>
              </w:rPr>
              <w:t>0.026</w:t>
            </w:r>
          </w:p>
        </w:tc>
        <w:tc>
          <w:tcPr>
            <w:tcW w:w="1053" w:type="dxa"/>
            <w:tcBorders>
              <w:top w:val="nil"/>
              <w:left w:val="nil"/>
              <w:bottom w:val="nil"/>
              <w:right w:val="nil"/>
            </w:tcBorders>
            <w:shd w:val="clear" w:color="auto" w:fill="auto"/>
            <w:noWrap/>
            <w:vAlign w:val="bottom"/>
            <w:hideMark/>
          </w:tcPr>
          <w:p w14:paraId="6D8D488E" w14:textId="77777777" w:rsidR="003F3F1E" w:rsidRPr="00ED3A67" w:rsidRDefault="003F3F1E" w:rsidP="003F3F1E">
            <w:pPr>
              <w:spacing w:line="276" w:lineRule="auto"/>
              <w:jc w:val="center"/>
              <w:rPr>
                <w:rFonts w:ascii="Calibri" w:eastAsia="Times New Roman" w:hAnsi="Calibri" w:cs="Calibri"/>
                <w:color w:val="000000"/>
              </w:rPr>
            </w:pPr>
            <w:r>
              <w:rPr>
                <w:rFonts w:ascii="Calibri" w:hAnsi="Calibri" w:cs="Calibri"/>
                <w:color w:val="000000"/>
              </w:rPr>
              <w:t>0.028</w:t>
            </w:r>
          </w:p>
        </w:tc>
        <w:tc>
          <w:tcPr>
            <w:tcW w:w="1100" w:type="dxa"/>
            <w:tcBorders>
              <w:top w:val="nil"/>
              <w:left w:val="nil"/>
              <w:bottom w:val="nil"/>
              <w:right w:val="nil"/>
            </w:tcBorders>
            <w:shd w:val="clear" w:color="auto" w:fill="auto"/>
            <w:noWrap/>
            <w:vAlign w:val="bottom"/>
            <w:hideMark/>
          </w:tcPr>
          <w:p w14:paraId="60255556" w14:textId="77777777" w:rsidR="003F3F1E" w:rsidRPr="00ED3A67" w:rsidRDefault="003F3F1E" w:rsidP="003F3F1E">
            <w:pPr>
              <w:spacing w:line="276" w:lineRule="auto"/>
              <w:jc w:val="center"/>
              <w:rPr>
                <w:rFonts w:ascii="Calibri" w:eastAsia="Times New Roman" w:hAnsi="Calibri" w:cs="Calibri"/>
                <w:color w:val="000000"/>
              </w:rPr>
            </w:pPr>
            <w:r>
              <w:rPr>
                <w:rFonts w:ascii="Calibri" w:hAnsi="Calibri" w:cs="Calibri"/>
                <w:color w:val="000000"/>
              </w:rPr>
              <w:t>0.914</w:t>
            </w:r>
          </w:p>
        </w:tc>
        <w:tc>
          <w:tcPr>
            <w:tcW w:w="1053" w:type="dxa"/>
            <w:tcBorders>
              <w:top w:val="nil"/>
              <w:left w:val="nil"/>
              <w:bottom w:val="nil"/>
              <w:right w:val="nil"/>
            </w:tcBorders>
            <w:shd w:val="clear" w:color="auto" w:fill="auto"/>
            <w:noWrap/>
            <w:vAlign w:val="bottom"/>
            <w:hideMark/>
          </w:tcPr>
          <w:p w14:paraId="1347B7DC" w14:textId="77777777" w:rsidR="003F3F1E" w:rsidRPr="00ED3A67" w:rsidRDefault="003F3F1E" w:rsidP="003F3F1E">
            <w:pPr>
              <w:spacing w:line="276" w:lineRule="auto"/>
              <w:jc w:val="center"/>
              <w:rPr>
                <w:rFonts w:ascii="Calibri" w:eastAsia="Times New Roman" w:hAnsi="Calibri" w:cs="Calibri"/>
                <w:color w:val="000000"/>
              </w:rPr>
            </w:pPr>
            <w:r>
              <w:rPr>
                <w:rFonts w:ascii="Calibri" w:hAnsi="Calibri" w:cs="Calibri"/>
                <w:color w:val="000000"/>
              </w:rPr>
              <w:t>0.361</w:t>
            </w:r>
          </w:p>
        </w:tc>
      </w:tr>
      <w:tr w:rsidR="003F3F1E" w:rsidRPr="00ED3A67" w14:paraId="3898B216" w14:textId="77777777" w:rsidTr="003F3F1E">
        <w:trPr>
          <w:trHeight w:val="288"/>
        </w:trPr>
        <w:tc>
          <w:tcPr>
            <w:tcW w:w="2160" w:type="dxa"/>
            <w:vMerge/>
            <w:tcBorders>
              <w:top w:val="nil"/>
              <w:left w:val="nil"/>
              <w:bottom w:val="single" w:sz="4" w:space="0" w:color="000000"/>
              <w:right w:val="nil"/>
            </w:tcBorders>
            <w:shd w:val="clear" w:color="auto" w:fill="auto"/>
            <w:vAlign w:val="center"/>
            <w:hideMark/>
          </w:tcPr>
          <w:p w14:paraId="620E76C0" w14:textId="77777777" w:rsidR="003F3F1E" w:rsidRPr="00ED3A67" w:rsidRDefault="003F3F1E" w:rsidP="003F3F1E">
            <w:pPr>
              <w:spacing w:line="276" w:lineRule="auto"/>
              <w:rPr>
                <w:rFonts w:ascii="Calibri" w:eastAsia="Times New Roman" w:hAnsi="Calibri" w:cs="Calibri"/>
                <w:color w:val="000000"/>
              </w:rPr>
            </w:pPr>
          </w:p>
        </w:tc>
        <w:tc>
          <w:tcPr>
            <w:tcW w:w="2180" w:type="dxa"/>
            <w:tcBorders>
              <w:top w:val="nil"/>
              <w:left w:val="nil"/>
              <w:bottom w:val="nil"/>
              <w:right w:val="nil"/>
            </w:tcBorders>
            <w:shd w:val="clear" w:color="auto" w:fill="auto"/>
            <w:noWrap/>
            <w:vAlign w:val="bottom"/>
            <w:hideMark/>
          </w:tcPr>
          <w:p w14:paraId="5FEE7FC3" w14:textId="77777777" w:rsidR="003F3F1E" w:rsidRPr="00ED3A67" w:rsidRDefault="003F3F1E" w:rsidP="003F3F1E">
            <w:pPr>
              <w:spacing w:line="276" w:lineRule="auto"/>
              <w:rPr>
                <w:rFonts w:ascii="Calibri" w:eastAsia="Times New Roman" w:hAnsi="Calibri" w:cs="Calibri"/>
                <w:color w:val="000000"/>
              </w:rPr>
            </w:pPr>
            <w:r>
              <w:rPr>
                <w:rFonts w:ascii="Calibri" w:eastAsia="Times New Roman" w:hAnsi="Calibri" w:cs="Calibri"/>
                <w:color w:val="000000"/>
              </w:rPr>
              <w:t>pT_0.1</w:t>
            </w:r>
          </w:p>
        </w:tc>
        <w:tc>
          <w:tcPr>
            <w:tcW w:w="1100" w:type="dxa"/>
            <w:tcBorders>
              <w:top w:val="nil"/>
              <w:left w:val="nil"/>
              <w:bottom w:val="nil"/>
              <w:right w:val="nil"/>
            </w:tcBorders>
            <w:shd w:val="clear" w:color="auto" w:fill="auto"/>
            <w:noWrap/>
            <w:vAlign w:val="bottom"/>
            <w:hideMark/>
          </w:tcPr>
          <w:p w14:paraId="5BA837C7" w14:textId="77777777" w:rsidR="003F3F1E" w:rsidRPr="00ED3A67" w:rsidRDefault="003F3F1E" w:rsidP="003F3F1E">
            <w:pPr>
              <w:spacing w:line="276" w:lineRule="auto"/>
              <w:jc w:val="center"/>
              <w:rPr>
                <w:rFonts w:ascii="Calibri" w:eastAsia="Times New Roman" w:hAnsi="Calibri" w:cs="Calibri"/>
                <w:color w:val="000000"/>
              </w:rPr>
            </w:pPr>
            <w:r>
              <w:rPr>
                <w:rFonts w:ascii="Calibri" w:hAnsi="Calibri" w:cs="Calibri"/>
                <w:color w:val="000000"/>
              </w:rPr>
              <w:t>0.030</w:t>
            </w:r>
          </w:p>
        </w:tc>
        <w:tc>
          <w:tcPr>
            <w:tcW w:w="1053" w:type="dxa"/>
            <w:tcBorders>
              <w:top w:val="nil"/>
              <w:left w:val="nil"/>
              <w:bottom w:val="nil"/>
              <w:right w:val="nil"/>
            </w:tcBorders>
            <w:shd w:val="clear" w:color="auto" w:fill="auto"/>
            <w:noWrap/>
            <w:vAlign w:val="bottom"/>
            <w:hideMark/>
          </w:tcPr>
          <w:p w14:paraId="5F70A243" w14:textId="77777777" w:rsidR="003F3F1E" w:rsidRPr="00ED3A67" w:rsidRDefault="003F3F1E" w:rsidP="003F3F1E">
            <w:pPr>
              <w:spacing w:line="276" w:lineRule="auto"/>
              <w:jc w:val="center"/>
              <w:rPr>
                <w:rFonts w:ascii="Calibri" w:eastAsia="Times New Roman" w:hAnsi="Calibri" w:cs="Calibri"/>
                <w:color w:val="000000"/>
              </w:rPr>
            </w:pPr>
            <w:r>
              <w:rPr>
                <w:rFonts w:ascii="Calibri" w:hAnsi="Calibri" w:cs="Calibri"/>
                <w:color w:val="000000"/>
              </w:rPr>
              <w:t>0.028</w:t>
            </w:r>
          </w:p>
        </w:tc>
        <w:tc>
          <w:tcPr>
            <w:tcW w:w="1100" w:type="dxa"/>
            <w:tcBorders>
              <w:top w:val="nil"/>
              <w:left w:val="nil"/>
              <w:bottom w:val="nil"/>
              <w:right w:val="nil"/>
            </w:tcBorders>
            <w:shd w:val="clear" w:color="auto" w:fill="auto"/>
            <w:noWrap/>
            <w:vAlign w:val="bottom"/>
            <w:hideMark/>
          </w:tcPr>
          <w:p w14:paraId="7F0DBD6D" w14:textId="77777777" w:rsidR="003F3F1E" w:rsidRPr="00ED3A67" w:rsidRDefault="003F3F1E" w:rsidP="003F3F1E">
            <w:pPr>
              <w:spacing w:line="276" w:lineRule="auto"/>
              <w:jc w:val="center"/>
              <w:rPr>
                <w:rFonts w:ascii="Calibri" w:eastAsia="Times New Roman" w:hAnsi="Calibri" w:cs="Calibri"/>
                <w:color w:val="000000"/>
              </w:rPr>
            </w:pPr>
            <w:r>
              <w:rPr>
                <w:rFonts w:ascii="Calibri" w:hAnsi="Calibri" w:cs="Calibri"/>
                <w:color w:val="000000"/>
              </w:rPr>
              <w:t>1.087</w:t>
            </w:r>
          </w:p>
        </w:tc>
        <w:tc>
          <w:tcPr>
            <w:tcW w:w="1053" w:type="dxa"/>
            <w:tcBorders>
              <w:top w:val="nil"/>
              <w:left w:val="nil"/>
              <w:bottom w:val="nil"/>
              <w:right w:val="nil"/>
            </w:tcBorders>
            <w:shd w:val="clear" w:color="auto" w:fill="auto"/>
            <w:noWrap/>
            <w:vAlign w:val="bottom"/>
            <w:hideMark/>
          </w:tcPr>
          <w:p w14:paraId="4D28FDAD" w14:textId="77777777" w:rsidR="003F3F1E" w:rsidRPr="00ED3A67" w:rsidRDefault="003F3F1E" w:rsidP="003F3F1E">
            <w:pPr>
              <w:spacing w:line="276" w:lineRule="auto"/>
              <w:jc w:val="center"/>
              <w:rPr>
                <w:rFonts w:ascii="Calibri" w:eastAsia="Times New Roman" w:hAnsi="Calibri" w:cs="Calibri"/>
                <w:color w:val="000000"/>
              </w:rPr>
            </w:pPr>
            <w:r>
              <w:rPr>
                <w:rFonts w:ascii="Calibri" w:hAnsi="Calibri" w:cs="Calibri"/>
                <w:color w:val="000000"/>
              </w:rPr>
              <w:t>0.277</w:t>
            </w:r>
          </w:p>
        </w:tc>
      </w:tr>
      <w:tr w:rsidR="003F3F1E" w:rsidRPr="00ED3A67" w14:paraId="06A38463" w14:textId="77777777" w:rsidTr="003F3F1E">
        <w:trPr>
          <w:trHeight w:val="288"/>
        </w:trPr>
        <w:tc>
          <w:tcPr>
            <w:tcW w:w="2160" w:type="dxa"/>
            <w:vMerge/>
            <w:tcBorders>
              <w:top w:val="nil"/>
              <w:left w:val="nil"/>
              <w:bottom w:val="single" w:sz="4" w:space="0" w:color="000000"/>
              <w:right w:val="nil"/>
            </w:tcBorders>
            <w:shd w:val="clear" w:color="auto" w:fill="auto"/>
            <w:vAlign w:val="center"/>
            <w:hideMark/>
          </w:tcPr>
          <w:p w14:paraId="54F4C078" w14:textId="77777777" w:rsidR="003F3F1E" w:rsidRPr="00ED3A67" w:rsidRDefault="003F3F1E" w:rsidP="003F3F1E">
            <w:pPr>
              <w:spacing w:line="276" w:lineRule="auto"/>
              <w:rPr>
                <w:rFonts w:ascii="Calibri" w:eastAsia="Times New Roman" w:hAnsi="Calibri" w:cs="Calibri"/>
                <w:color w:val="000000"/>
              </w:rPr>
            </w:pPr>
          </w:p>
        </w:tc>
        <w:tc>
          <w:tcPr>
            <w:tcW w:w="2180" w:type="dxa"/>
            <w:tcBorders>
              <w:top w:val="nil"/>
              <w:left w:val="nil"/>
              <w:bottom w:val="nil"/>
              <w:right w:val="nil"/>
            </w:tcBorders>
            <w:shd w:val="clear" w:color="auto" w:fill="auto"/>
            <w:noWrap/>
            <w:vAlign w:val="bottom"/>
            <w:hideMark/>
          </w:tcPr>
          <w:p w14:paraId="4C88AA90" w14:textId="77777777" w:rsidR="003F3F1E" w:rsidRPr="00ED3A67" w:rsidRDefault="003F3F1E" w:rsidP="003F3F1E">
            <w:pPr>
              <w:spacing w:line="276" w:lineRule="auto"/>
              <w:rPr>
                <w:rFonts w:ascii="Calibri" w:eastAsia="Times New Roman" w:hAnsi="Calibri" w:cs="Calibri"/>
                <w:color w:val="000000"/>
              </w:rPr>
            </w:pPr>
            <w:r>
              <w:rPr>
                <w:rFonts w:ascii="Calibri" w:eastAsia="Times New Roman" w:hAnsi="Calibri" w:cs="Calibri"/>
                <w:color w:val="000000"/>
              </w:rPr>
              <w:t>pT_0.5</w:t>
            </w:r>
          </w:p>
        </w:tc>
        <w:tc>
          <w:tcPr>
            <w:tcW w:w="1100" w:type="dxa"/>
            <w:tcBorders>
              <w:top w:val="nil"/>
              <w:left w:val="nil"/>
              <w:bottom w:val="nil"/>
              <w:right w:val="nil"/>
            </w:tcBorders>
            <w:shd w:val="clear" w:color="auto" w:fill="auto"/>
            <w:noWrap/>
            <w:vAlign w:val="bottom"/>
            <w:hideMark/>
          </w:tcPr>
          <w:p w14:paraId="32043087" w14:textId="77777777" w:rsidR="003F3F1E" w:rsidRPr="00ED3A67" w:rsidRDefault="003F3F1E" w:rsidP="003F3F1E">
            <w:pPr>
              <w:spacing w:line="276" w:lineRule="auto"/>
              <w:jc w:val="center"/>
              <w:rPr>
                <w:rFonts w:ascii="Calibri" w:eastAsia="Times New Roman" w:hAnsi="Calibri" w:cs="Calibri"/>
                <w:color w:val="000000"/>
              </w:rPr>
            </w:pPr>
            <w:r>
              <w:rPr>
                <w:rFonts w:ascii="Calibri" w:hAnsi="Calibri" w:cs="Calibri"/>
                <w:color w:val="000000"/>
              </w:rPr>
              <w:t>0.004</w:t>
            </w:r>
          </w:p>
        </w:tc>
        <w:tc>
          <w:tcPr>
            <w:tcW w:w="1053" w:type="dxa"/>
            <w:tcBorders>
              <w:top w:val="nil"/>
              <w:left w:val="nil"/>
              <w:bottom w:val="nil"/>
              <w:right w:val="nil"/>
            </w:tcBorders>
            <w:shd w:val="clear" w:color="auto" w:fill="auto"/>
            <w:noWrap/>
            <w:vAlign w:val="bottom"/>
            <w:hideMark/>
          </w:tcPr>
          <w:p w14:paraId="65C67931" w14:textId="77777777" w:rsidR="003F3F1E" w:rsidRPr="00ED3A67" w:rsidRDefault="003F3F1E" w:rsidP="003F3F1E">
            <w:pPr>
              <w:spacing w:line="276" w:lineRule="auto"/>
              <w:jc w:val="center"/>
              <w:rPr>
                <w:rFonts w:ascii="Calibri" w:eastAsia="Times New Roman" w:hAnsi="Calibri" w:cs="Calibri"/>
                <w:color w:val="000000"/>
              </w:rPr>
            </w:pPr>
            <w:r>
              <w:rPr>
                <w:rFonts w:ascii="Calibri" w:hAnsi="Calibri" w:cs="Calibri"/>
                <w:color w:val="000000"/>
              </w:rPr>
              <w:t>0.028</w:t>
            </w:r>
          </w:p>
        </w:tc>
        <w:tc>
          <w:tcPr>
            <w:tcW w:w="1100" w:type="dxa"/>
            <w:tcBorders>
              <w:top w:val="nil"/>
              <w:left w:val="nil"/>
              <w:bottom w:val="nil"/>
              <w:right w:val="nil"/>
            </w:tcBorders>
            <w:shd w:val="clear" w:color="auto" w:fill="auto"/>
            <w:noWrap/>
            <w:vAlign w:val="bottom"/>
            <w:hideMark/>
          </w:tcPr>
          <w:p w14:paraId="0A2437F4" w14:textId="77777777" w:rsidR="003F3F1E" w:rsidRPr="00ED3A67" w:rsidRDefault="003F3F1E" w:rsidP="003F3F1E">
            <w:pPr>
              <w:spacing w:line="276" w:lineRule="auto"/>
              <w:jc w:val="center"/>
              <w:rPr>
                <w:rFonts w:ascii="Calibri" w:eastAsia="Times New Roman" w:hAnsi="Calibri" w:cs="Calibri"/>
                <w:color w:val="000000"/>
              </w:rPr>
            </w:pPr>
            <w:r>
              <w:rPr>
                <w:rFonts w:ascii="Calibri" w:hAnsi="Calibri" w:cs="Calibri"/>
                <w:color w:val="000000"/>
              </w:rPr>
              <w:t>0.146</w:t>
            </w:r>
          </w:p>
        </w:tc>
        <w:tc>
          <w:tcPr>
            <w:tcW w:w="1053" w:type="dxa"/>
            <w:tcBorders>
              <w:top w:val="nil"/>
              <w:left w:val="nil"/>
              <w:bottom w:val="nil"/>
              <w:right w:val="nil"/>
            </w:tcBorders>
            <w:shd w:val="clear" w:color="auto" w:fill="auto"/>
            <w:noWrap/>
            <w:vAlign w:val="bottom"/>
            <w:hideMark/>
          </w:tcPr>
          <w:p w14:paraId="2A833561" w14:textId="77777777" w:rsidR="003F3F1E" w:rsidRPr="00ED3A67" w:rsidRDefault="003F3F1E" w:rsidP="003F3F1E">
            <w:pPr>
              <w:spacing w:line="276" w:lineRule="auto"/>
              <w:jc w:val="center"/>
              <w:rPr>
                <w:rFonts w:ascii="Calibri" w:eastAsia="Times New Roman" w:hAnsi="Calibri" w:cs="Calibri"/>
                <w:color w:val="000000"/>
              </w:rPr>
            </w:pPr>
            <w:r>
              <w:rPr>
                <w:rFonts w:ascii="Calibri" w:hAnsi="Calibri" w:cs="Calibri"/>
                <w:color w:val="000000"/>
              </w:rPr>
              <w:t>0.884</w:t>
            </w:r>
          </w:p>
        </w:tc>
      </w:tr>
      <w:tr w:rsidR="003F3F1E" w:rsidRPr="00ED3A67" w14:paraId="1F6464C7" w14:textId="77777777" w:rsidTr="003F3F1E">
        <w:trPr>
          <w:trHeight w:val="288"/>
        </w:trPr>
        <w:tc>
          <w:tcPr>
            <w:tcW w:w="2160" w:type="dxa"/>
            <w:vMerge/>
            <w:tcBorders>
              <w:top w:val="nil"/>
              <w:left w:val="nil"/>
              <w:bottom w:val="single" w:sz="4" w:space="0" w:color="000000"/>
              <w:right w:val="nil"/>
            </w:tcBorders>
            <w:shd w:val="clear" w:color="auto" w:fill="auto"/>
            <w:vAlign w:val="center"/>
            <w:hideMark/>
          </w:tcPr>
          <w:p w14:paraId="4A1A7BA4" w14:textId="77777777" w:rsidR="003F3F1E" w:rsidRPr="00ED3A67" w:rsidRDefault="003F3F1E" w:rsidP="003F3F1E">
            <w:pPr>
              <w:spacing w:line="276" w:lineRule="auto"/>
              <w:rPr>
                <w:rFonts w:ascii="Calibri" w:eastAsia="Times New Roman" w:hAnsi="Calibri" w:cs="Calibri"/>
                <w:color w:val="000000"/>
              </w:rPr>
            </w:pPr>
          </w:p>
        </w:tc>
        <w:tc>
          <w:tcPr>
            <w:tcW w:w="2180" w:type="dxa"/>
            <w:tcBorders>
              <w:top w:val="nil"/>
              <w:left w:val="nil"/>
              <w:bottom w:val="nil"/>
              <w:right w:val="nil"/>
            </w:tcBorders>
            <w:shd w:val="clear" w:color="auto" w:fill="auto"/>
            <w:noWrap/>
            <w:vAlign w:val="bottom"/>
            <w:hideMark/>
          </w:tcPr>
          <w:p w14:paraId="75062CD3" w14:textId="77777777" w:rsidR="003F3F1E" w:rsidRPr="00ED3A67" w:rsidRDefault="003F3F1E" w:rsidP="003F3F1E">
            <w:pPr>
              <w:spacing w:line="276" w:lineRule="auto"/>
              <w:rPr>
                <w:rFonts w:ascii="Calibri" w:eastAsia="Times New Roman" w:hAnsi="Calibri" w:cs="Calibri"/>
                <w:color w:val="000000"/>
              </w:rPr>
            </w:pPr>
            <w:r w:rsidRPr="00ED3A67">
              <w:rPr>
                <w:rFonts w:ascii="Calibri" w:eastAsia="Times New Roman" w:hAnsi="Calibri" w:cs="Calibri"/>
                <w:color w:val="000000"/>
              </w:rPr>
              <w:t>p</w:t>
            </w:r>
            <w:r>
              <w:rPr>
                <w:rFonts w:ascii="Calibri" w:eastAsia="Times New Roman" w:hAnsi="Calibri" w:cs="Calibri"/>
                <w:color w:val="000000"/>
              </w:rPr>
              <w:t>T</w:t>
            </w:r>
            <w:r w:rsidRPr="00ED3A67">
              <w:rPr>
                <w:rFonts w:ascii="Calibri" w:eastAsia="Times New Roman" w:hAnsi="Calibri" w:cs="Calibri"/>
                <w:color w:val="000000"/>
              </w:rPr>
              <w:t>_1</w:t>
            </w:r>
          </w:p>
        </w:tc>
        <w:tc>
          <w:tcPr>
            <w:tcW w:w="1100" w:type="dxa"/>
            <w:tcBorders>
              <w:top w:val="nil"/>
              <w:left w:val="nil"/>
              <w:bottom w:val="nil"/>
              <w:right w:val="nil"/>
            </w:tcBorders>
            <w:shd w:val="clear" w:color="auto" w:fill="auto"/>
            <w:noWrap/>
            <w:vAlign w:val="bottom"/>
            <w:hideMark/>
          </w:tcPr>
          <w:p w14:paraId="08F28A39" w14:textId="77777777" w:rsidR="003F3F1E" w:rsidRPr="00ED3A67" w:rsidRDefault="003F3F1E" w:rsidP="003F3F1E">
            <w:pPr>
              <w:spacing w:line="276" w:lineRule="auto"/>
              <w:jc w:val="center"/>
              <w:rPr>
                <w:rFonts w:ascii="Calibri" w:eastAsia="Times New Roman" w:hAnsi="Calibri" w:cs="Calibri"/>
                <w:color w:val="000000"/>
              </w:rPr>
            </w:pPr>
            <w:r>
              <w:rPr>
                <w:rFonts w:ascii="Calibri" w:hAnsi="Calibri" w:cs="Calibri"/>
                <w:color w:val="000000"/>
              </w:rPr>
              <w:t>-0.001</w:t>
            </w:r>
          </w:p>
        </w:tc>
        <w:tc>
          <w:tcPr>
            <w:tcW w:w="1053" w:type="dxa"/>
            <w:tcBorders>
              <w:top w:val="nil"/>
              <w:left w:val="nil"/>
              <w:bottom w:val="nil"/>
              <w:right w:val="nil"/>
            </w:tcBorders>
            <w:shd w:val="clear" w:color="auto" w:fill="auto"/>
            <w:noWrap/>
            <w:vAlign w:val="bottom"/>
            <w:hideMark/>
          </w:tcPr>
          <w:p w14:paraId="5BAD7204" w14:textId="77777777" w:rsidR="003F3F1E" w:rsidRPr="00ED3A67" w:rsidRDefault="003F3F1E" w:rsidP="003F3F1E">
            <w:pPr>
              <w:spacing w:line="276" w:lineRule="auto"/>
              <w:jc w:val="center"/>
              <w:rPr>
                <w:rFonts w:ascii="Calibri" w:eastAsia="Times New Roman" w:hAnsi="Calibri" w:cs="Calibri"/>
                <w:color w:val="000000"/>
              </w:rPr>
            </w:pPr>
            <w:r>
              <w:rPr>
                <w:rFonts w:ascii="Calibri" w:hAnsi="Calibri" w:cs="Calibri"/>
                <w:color w:val="000000"/>
              </w:rPr>
              <w:t>0.028</w:t>
            </w:r>
          </w:p>
        </w:tc>
        <w:tc>
          <w:tcPr>
            <w:tcW w:w="1100" w:type="dxa"/>
            <w:tcBorders>
              <w:top w:val="nil"/>
              <w:left w:val="nil"/>
              <w:bottom w:val="nil"/>
              <w:right w:val="nil"/>
            </w:tcBorders>
            <w:shd w:val="clear" w:color="auto" w:fill="auto"/>
            <w:noWrap/>
            <w:vAlign w:val="bottom"/>
            <w:hideMark/>
          </w:tcPr>
          <w:p w14:paraId="27FBDDF8" w14:textId="77777777" w:rsidR="003F3F1E" w:rsidRPr="00ED3A67" w:rsidRDefault="003F3F1E" w:rsidP="003F3F1E">
            <w:pPr>
              <w:spacing w:line="276" w:lineRule="auto"/>
              <w:jc w:val="center"/>
              <w:rPr>
                <w:rFonts w:ascii="Calibri" w:eastAsia="Times New Roman" w:hAnsi="Calibri" w:cs="Calibri"/>
                <w:color w:val="000000"/>
              </w:rPr>
            </w:pPr>
            <w:r>
              <w:rPr>
                <w:rFonts w:ascii="Calibri" w:hAnsi="Calibri" w:cs="Calibri"/>
                <w:color w:val="000000"/>
              </w:rPr>
              <w:t>-0.046</w:t>
            </w:r>
          </w:p>
        </w:tc>
        <w:tc>
          <w:tcPr>
            <w:tcW w:w="1053" w:type="dxa"/>
            <w:tcBorders>
              <w:top w:val="nil"/>
              <w:left w:val="nil"/>
              <w:bottom w:val="nil"/>
              <w:right w:val="nil"/>
            </w:tcBorders>
            <w:shd w:val="clear" w:color="auto" w:fill="auto"/>
            <w:noWrap/>
            <w:vAlign w:val="bottom"/>
            <w:hideMark/>
          </w:tcPr>
          <w:p w14:paraId="047F36C2" w14:textId="77777777" w:rsidR="003F3F1E" w:rsidRPr="00ED3A67" w:rsidRDefault="003F3F1E" w:rsidP="003F3F1E">
            <w:pPr>
              <w:spacing w:line="276" w:lineRule="auto"/>
              <w:jc w:val="center"/>
              <w:rPr>
                <w:rFonts w:ascii="Calibri" w:eastAsia="Times New Roman" w:hAnsi="Calibri" w:cs="Calibri"/>
                <w:color w:val="000000"/>
              </w:rPr>
            </w:pPr>
            <w:r>
              <w:rPr>
                <w:rFonts w:ascii="Calibri" w:hAnsi="Calibri" w:cs="Calibri"/>
                <w:color w:val="000000"/>
              </w:rPr>
              <w:t>0.963</w:t>
            </w:r>
          </w:p>
        </w:tc>
      </w:tr>
      <w:tr w:rsidR="003F3F1E" w:rsidRPr="00ED3A67" w14:paraId="2FB11A94" w14:textId="77777777" w:rsidTr="003F3F1E">
        <w:trPr>
          <w:trHeight w:val="288"/>
        </w:trPr>
        <w:tc>
          <w:tcPr>
            <w:tcW w:w="2160" w:type="dxa"/>
            <w:vMerge/>
            <w:tcBorders>
              <w:top w:val="nil"/>
              <w:left w:val="nil"/>
              <w:bottom w:val="single" w:sz="4" w:space="0" w:color="000000"/>
              <w:right w:val="nil"/>
            </w:tcBorders>
            <w:shd w:val="clear" w:color="auto" w:fill="auto"/>
            <w:vAlign w:val="center"/>
          </w:tcPr>
          <w:p w14:paraId="697AF7E3" w14:textId="77777777" w:rsidR="003F3F1E" w:rsidRPr="00ED3A67" w:rsidRDefault="003F3F1E" w:rsidP="003F3F1E">
            <w:pPr>
              <w:spacing w:line="276" w:lineRule="auto"/>
              <w:rPr>
                <w:rFonts w:ascii="Calibri" w:eastAsia="Times New Roman" w:hAnsi="Calibri" w:cs="Calibri"/>
                <w:color w:val="000000"/>
              </w:rPr>
            </w:pPr>
          </w:p>
        </w:tc>
        <w:tc>
          <w:tcPr>
            <w:tcW w:w="2180" w:type="dxa"/>
            <w:tcBorders>
              <w:top w:val="nil"/>
              <w:left w:val="nil"/>
              <w:bottom w:val="nil"/>
              <w:right w:val="nil"/>
            </w:tcBorders>
            <w:shd w:val="clear" w:color="auto" w:fill="auto"/>
            <w:noWrap/>
            <w:vAlign w:val="bottom"/>
          </w:tcPr>
          <w:p w14:paraId="2D84B840" w14:textId="77777777" w:rsidR="003F3F1E" w:rsidRPr="00ED3A67" w:rsidRDefault="003F3F1E" w:rsidP="003F3F1E">
            <w:pPr>
              <w:spacing w:line="276" w:lineRule="auto"/>
              <w:rPr>
                <w:rFonts w:ascii="Calibri" w:eastAsia="Times New Roman" w:hAnsi="Calibri" w:cs="Calibri"/>
                <w:color w:val="000000"/>
              </w:rPr>
            </w:pPr>
            <w:r w:rsidRPr="00ED3A67">
              <w:rPr>
                <w:rFonts w:ascii="Calibri" w:eastAsia="Times New Roman" w:hAnsi="Calibri" w:cs="Calibri"/>
                <w:color w:val="000000"/>
              </w:rPr>
              <w:t>RVI-Sub</w:t>
            </w:r>
          </w:p>
        </w:tc>
        <w:tc>
          <w:tcPr>
            <w:tcW w:w="1100" w:type="dxa"/>
            <w:tcBorders>
              <w:top w:val="nil"/>
              <w:left w:val="nil"/>
              <w:bottom w:val="nil"/>
              <w:right w:val="nil"/>
            </w:tcBorders>
            <w:shd w:val="clear" w:color="auto" w:fill="auto"/>
            <w:noWrap/>
            <w:vAlign w:val="bottom"/>
          </w:tcPr>
          <w:p w14:paraId="579D4198" w14:textId="77777777" w:rsidR="003F3F1E" w:rsidRPr="00240D93" w:rsidRDefault="003F3F1E" w:rsidP="003F3F1E">
            <w:pPr>
              <w:spacing w:line="276" w:lineRule="auto"/>
              <w:jc w:val="center"/>
            </w:pPr>
            <w:r>
              <w:rPr>
                <w:rFonts w:ascii="Calibri" w:hAnsi="Calibri" w:cs="Calibri"/>
                <w:color w:val="000000"/>
              </w:rPr>
              <w:t>0.009</w:t>
            </w:r>
          </w:p>
        </w:tc>
        <w:tc>
          <w:tcPr>
            <w:tcW w:w="1053" w:type="dxa"/>
            <w:tcBorders>
              <w:top w:val="nil"/>
              <w:left w:val="nil"/>
              <w:bottom w:val="nil"/>
              <w:right w:val="nil"/>
            </w:tcBorders>
            <w:shd w:val="clear" w:color="auto" w:fill="auto"/>
            <w:noWrap/>
            <w:vAlign w:val="bottom"/>
          </w:tcPr>
          <w:p w14:paraId="46EA55F6" w14:textId="77777777" w:rsidR="003F3F1E" w:rsidRPr="00240D93" w:rsidRDefault="003F3F1E" w:rsidP="003F3F1E">
            <w:pPr>
              <w:spacing w:line="276" w:lineRule="auto"/>
              <w:jc w:val="center"/>
            </w:pPr>
            <w:r>
              <w:rPr>
                <w:rFonts w:ascii="Calibri" w:hAnsi="Calibri" w:cs="Calibri"/>
                <w:color w:val="000000"/>
              </w:rPr>
              <w:t>0.026</w:t>
            </w:r>
          </w:p>
        </w:tc>
        <w:tc>
          <w:tcPr>
            <w:tcW w:w="1100" w:type="dxa"/>
            <w:tcBorders>
              <w:top w:val="nil"/>
              <w:left w:val="nil"/>
              <w:bottom w:val="nil"/>
              <w:right w:val="nil"/>
            </w:tcBorders>
            <w:shd w:val="clear" w:color="auto" w:fill="auto"/>
            <w:noWrap/>
            <w:vAlign w:val="bottom"/>
          </w:tcPr>
          <w:p w14:paraId="26F08DDE" w14:textId="77777777" w:rsidR="003F3F1E" w:rsidRPr="00240D93" w:rsidRDefault="003F3F1E" w:rsidP="003F3F1E">
            <w:pPr>
              <w:spacing w:line="276" w:lineRule="auto"/>
              <w:jc w:val="center"/>
            </w:pPr>
            <w:r>
              <w:rPr>
                <w:rFonts w:ascii="Calibri" w:hAnsi="Calibri" w:cs="Calibri"/>
                <w:color w:val="000000"/>
              </w:rPr>
              <w:t>0.331</w:t>
            </w:r>
          </w:p>
        </w:tc>
        <w:tc>
          <w:tcPr>
            <w:tcW w:w="1053" w:type="dxa"/>
            <w:tcBorders>
              <w:top w:val="nil"/>
              <w:left w:val="nil"/>
              <w:bottom w:val="nil"/>
              <w:right w:val="nil"/>
            </w:tcBorders>
            <w:shd w:val="clear" w:color="auto" w:fill="auto"/>
            <w:noWrap/>
            <w:vAlign w:val="bottom"/>
          </w:tcPr>
          <w:p w14:paraId="757F4CC5" w14:textId="77777777" w:rsidR="003F3F1E" w:rsidRPr="00240D93" w:rsidRDefault="003F3F1E" w:rsidP="003F3F1E">
            <w:pPr>
              <w:spacing w:line="276" w:lineRule="auto"/>
              <w:jc w:val="center"/>
            </w:pPr>
            <w:r>
              <w:rPr>
                <w:rFonts w:ascii="Calibri" w:hAnsi="Calibri" w:cs="Calibri"/>
                <w:color w:val="000000"/>
              </w:rPr>
              <w:t>0.741</w:t>
            </w:r>
          </w:p>
        </w:tc>
      </w:tr>
      <w:tr w:rsidR="003F3F1E" w:rsidRPr="00ED3A67" w14:paraId="319A850D" w14:textId="77777777" w:rsidTr="003F3F1E">
        <w:trPr>
          <w:trHeight w:val="288"/>
        </w:trPr>
        <w:tc>
          <w:tcPr>
            <w:tcW w:w="2160" w:type="dxa"/>
            <w:vMerge/>
            <w:tcBorders>
              <w:top w:val="nil"/>
              <w:left w:val="nil"/>
              <w:bottom w:val="single" w:sz="4" w:space="0" w:color="000000"/>
              <w:right w:val="nil"/>
            </w:tcBorders>
            <w:shd w:val="clear" w:color="auto" w:fill="auto"/>
            <w:vAlign w:val="center"/>
          </w:tcPr>
          <w:p w14:paraId="385560BB" w14:textId="77777777" w:rsidR="003F3F1E" w:rsidRPr="00ED3A67" w:rsidRDefault="003F3F1E" w:rsidP="003F3F1E">
            <w:pPr>
              <w:spacing w:line="276" w:lineRule="auto"/>
              <w:rPr>
                <w:rFonts w:ascii="Calibri" w:eastAsia="Times New Roman" w:hAnsi="Calibri" w:cs="Calibri"/>
                <w:color w:val="000000"/>
              </w:rPr>
            </w:pPr>
          </w:p>
        </w:tc>
        <w:tc>
          <w:tcPr>
            <w:tcW w:w="2180" w:type="dxa"/>
            <w:tcBorders>
              <w:top w:val="nil"/>
              <w:left w:val="nil"/>
              <w:bottom w:val="nil"/>
              <w:right w:val="nil"/>
            </w:tcBorders>
            <w:shd w:val="clear" w:color="auto" w:fill="auto"/>
            <w:noWrap/>
            <w:vAlign w:val="bottom"/>
          </w:tcPr>
          <w:p w14:paraId="3E6CABEB" w14:textId="77777777" w:rsidR="003F3F1E" w:rsidRPr="00ED3A67" w:rsidRDefault="003F3F1E" w:rsidP="003F3F1E">
            <w:pPr>
              <w:spacing w:line="276" w:lineRule="auto"/>
              <w:rPr>
                <w:rFonts w:ascii="Calibri" w:eastAsia="Times New Roman" w:hAnsi="Calibri" w:cs="Calibri"/>
                <w:color w:val="000000"/>
              </w:rPr>
            </w:pPr>
            <w:r w:rsidRPr="00ED3A67">
              <w:rPr>
                <w:rFonts w:ascii="Calibri" w:eastAsia="Times New Roman" w:hAnsi="Calibri" w:cs="Calibri"/>
                <w:color w:val="000000"/>
              </w:rPr>
              <w:t>RVI-CorT</w:t>
            </w:r>
            <w:r>
              <w:rPr>
                <w:rFonts w:ascii="Calibri" w:eastAsia="Times New Roman" w:hAnsi="Calibri" w:cs="Calibri"/>
                <w:color w:val="000000"/>
              </w:rPr>
              <w:t>H</w:t>
            </w:r>
          </w:p>
        </w:tc>
        <w:tc>
          <w:tcPr>
            <w:tcW w:w="1100" w:type="dxa"/>
            <w:tcBorders>
              <w:top w:val="nil"/>
              <w:left w:val="nil"/>
              <w:bottom w:val="nil"/>
              <w:right w:val="nil"/>
            </w:tcBorders>
            <w:shd w:val="clear" w:color="auto" w:fill="auto"/>
            <w:noWrap/>
            <w:vAlign w:val="bottom"/>
          </w:tcPr>
          <w:p w14:paraId="6A0C22DF" w14:textId="77777777" w:rsidR="003F3F1E" w:rsidRPr="00240D93" w:rsidRDefault="003F3F1E" w:rsidP="003F3F1E">
            <w:pPr>
              <w:spacing w:line="276" w:lineRule="auto"/>
              <w:jc w:val="center"/>
            </w:pPr>
            <w:r>
              <w:rPr>
                <w:rFonts w:ascii="Calibri" w:hAnsi="Calibri" w:cs="Calibri"/>
                <w:color w:val="000000"/>
              </w:rPr>
              <w:t>-0.024</w:t>
            </w:r>
          </w:p>
        </w:tc>
        <w:tc>
          <w:tcPr>
            <w:tcW w:w="1053" w:type="dxa"/>
            <w:tcBorders>
              <w:top w:val="nil"/>
              <w:left w:val="nil"/>
              <w:bottom w:val="nil"/>
              <w:right w:val="nil"/>
            </w:tcBorders>
            <w:shd w:val="clear" w:color="auto" w:fill="auto"/>
            <w:noWrap/>
            <w:vAlign w:val="bottom"/>
          </w:tcPr>
          <w:p w14:paraId="6EA2B04E" w14:textId="77777777" w:rsidR="003F3F1E" w:rsidRPr="00240D93" w:rsidRDefault="003F3F1E" w:rsidP="003F3F1E">
            <w:pPr>
              <w:spacing w:line="276" w:lineRule="auto"/>
              <w:jc w:val="center"/>
            </w:pPr>
            <w:r>
              <w:rPr>
                <w:rFonts w:ascii="Calibri" w:hAnsi="Calibri" w:cs="Calibri"/>
                <w:color w:val="000000"/>
              </w:rPr>
              <w:t>0.026</w:t>
            </w:r>
          </w:p>
        </w:tc>
        <w:tc>
          <w:tcPr>
            <w:tcW w:w="1100" w:type="dxa"/>
            <w:tcBorders>
              <w:top w:val="nil"/>
              <w:left w:val="nil"/>
              <w:bottom w:val="nil"/>
              <w:right w:val="nil"/>
            </w:tcBorders>
            <w:shd w:val="clear" w:color="auto" w:fill="auto"/>
            <w:noWrap/>
            <w:vAlign w:val="bottom"/>
          </w:tcPr>
          <w:p w14:paraId="7252A4BB" w14:textId="77777777" w:rsidR="003F3F1E" w:rsidRPr="00240D93" w:rsidRDefault="003F3F1E" w:rsidP="003F3F1E">
            <w:pPr>
              <w:spacing w:line="276" w:lineRule="auto"/>
              <w:jc w:val="center"/>
            </w:pPr>
            <w:r>
              <w:rPr>
                <w:rFonts w:ascii="Calibri" w:hAnsi="Calibri" w:cs="Calibri"/>
                <w:color w:val="000000"/>
              </w:rPr>
              <w:t>-0.916</w:t>
            </w:r>
          </w:p>
        </w:tc>
        <w:tc>
          <w:tcPr>
            <w:tcW w:w="1053" w:type="dxa"/>
            <w:tcBorders>
              <w:top w:val="nil"/>
              <w:left w:val="nil"/>
              <w:bottom w:val="nil"/>
              <w:right w:val="nil"/>
            </w:tcBorders>
            <w:shd w:val="clear" w:color="auto" w:fill="auto"/>
            <w:noWrap/>
            <w:vAlign w:val="bottom"/>
          </w:tcPr>
          <w:p w14:paraId="678698A3" w14:textId="77777777" w:rsidR="003F3F1E" w:rsidRPr="00240D93" w:rsidRDefault="003F3F1E" w:rsidP="003F3F1E">
            <w:pPr>
              <w:spacing w:line="276" w:lineRule="auto"/>
              <w:jc w:val="center"/>
            </w:pPr>
            <w:r>
              <w:rPr>
                <w:rFonts w:ascii="Calibri" w:hAnsi="Calibri" w:cs="Calibri"/>
                <w:color w:val="000000"/>
              </w:rPr>
              <w:t>0.360</w:t>
            </w:r>
          </w:p>
        </w:tc>
      </w:tr>
      <w:tr w:rsidR="003F3F1E" w:rsidRPr="00ED3A67" w14:paraId="52B7F567" w14:textId="77777777" w:rsidTr="003F3F1E">
        <w:trPr>
          <w:trHeight w:val="288"/>
        </w:trPr>
        <w:tc>
          <w:tcPr>
            <w:tcW w:w="2160" w:type="dxa"/>
            <w:vMerge/>
            <w:tcBorders>
              <w:top w:val="nil"/>
              <w:left w:val="nil"/>
              <w:bottom w:val="single" w:sz="4" w:space="0" w:color="000000"/>
              <w:right w:val="nil"/>
            </w:tcBorders>
            <w:shd w:val="clear" w:color="auto" w:fill="auto"/>
            <w:vAlign w:val="center"/>
          </w:tcPr>
          <w:p w14:paraId="0FEF036A" w14:textId="77777777" w:rsidR="003F3F1E" w:rsidRPr="00ED3A67" w:rsidRDefault="003F3F1E" w:rsidP="003F3F1E">
            <w:pPr>
              <w:spacing w:line="276" w:lineRule="auto"/>
              <w:rPr>
                <w:rFonts w:ascii="Calibri" w:eastAsia="Times New Roman" w:hAnsi="Calibri" w:cs="Calibri"/>
                <w:color w:val="000000"/>
              </w:rPr>
            </w:pPr>
          </w:p>
        </w:tc>
        <w:tc>
          <w:tcPr>
            <w:tcW w:w="2180" w:type="dxa"/>
            <w:tcBorders>
              <w:top w:val="nil"/>
              <w:left w:val="nil"/>
              <w:bottom w:val="nil"/>
              <w:right w:val="nil"/>
            </w:tcBorders>
            <w:shd w:val="clear" w:color="auto" w:fill="auto"/>
            <w:noWrap/>
            <w:vAlign w:val="bottom"/>
          </w:tcPr>
          <w:p w14:paraId="5F62BC1E" w14:textId="77777777" w:rsidR="003F3F1E" w:rsidRPr="00ED3A67" w:rsidRDefault="003F3F1E" w:rsidP="003F3F1E">
            <w:pPr>
              <w:spacing w:line="276" w:lineRule="auto"/>
              <w:rPr>
                <w:rFonts w:ascii="Calibri" w:eastAsia="Times New Roman" w:hAnsi="Calibri" w:cs="Calibri"/>
                <w:color w:val="000000"/>
              </w:rPr>
            </w:pPr>
            <w:r w:rsidRPr="00ED3A67">
              <w:rPr>
                <w:rFonts w:ascii="Calibri" w:eastAsia="Times New Roman" w:hAnsi="Calibri" w:cs="Calibri"/>
                <w:color w:val="000000"/>
              </w:rPr>
              <w:t>RVI-CorSA</w:t>
            </w:r>
          </w:p>
        </w:tc>
        <w:tc>
          <w:tcPr>
            <w:tcW w:w="1100" w:type="dxa"/>
            <w:tcBorders>
              <w:top w:val="nil"/>
              <w:left w:val="nil"/>
              <w:bottom w:val="nil"/>
              <w:right w:val="nil"/>
            </w:tcBorders>
            <w:shd w:val="clear" w:color="auto" w:fill="auto"/>
            <w:noWrap/>
            <w:vAlign w:val="bottom"/>
          </w:tcPr>
          <w:p w14:paraId="69D7B718" w14:textId="77777777" w:rsidR="003F3F1E" w:rsidRPr="00240D93" w:rsidRDefault="003F3F1E" w:rsidP="003F3F1E">
            <w:pPr>
              <w:spacing w:line="276" w:lineRule="auto"/>
              <w:jc w:val="center"/>
            </w:pPr>
            <w:r>
              <w:rPr>
                <w:rFonts w:ascii="Calibri" w:hAnsi="Calibri" w:cs="Calibri"/>
                <w:color w:val="000000"/>
              </w:rPr>
              <w:t>0.022</w:t>
            </w:r>
          </w:p>
        </w:tc>
        <w:tc>
          <w:tcPr>
            <w:tcW w:w="1053" w:type="dxa"/>
            <w:tcBorders>
              <w:top w:val="nil"/>
              <w:left w:val="nil"/>
              <w:bottom w:val="nil"/>
              <w:right w:val="nil"/>
            </w:tcBorders>
            <w:shd w:val="clear" w:color="auto" w:fill="auto"/>
            <w:noWrap/>
            <w:vAlign w:val="bottom"/>
          </w:tcPr>
          <w:p w14:paraId="1397F8A6" w14:textId="77777777" w:rsidR="003F3F1E" w:rsidRPr="00240D93" w:rsidRDefault="003F3F1E" w:rsidP="003F3F1E">
            <w:pPr>
              <w:spacing w:line="276" w:lineRule="auto"/>
              <w:jc w:val="center"/>
            </w:pPr>
            <w:r>
              <w:rPr>
                <w:rFonts w:ascii="Calibri" w:hAnsi="Calibri" w:cs="Calibri"/>
                <w:color w:val="000000"/>
              </w:rPr>
              <w:t>0.026</w:t>
            </w:r>
          </w:p>
        </w:tc>
        <w:tc>
          <w:tcPr>
            <w:tcW w:w="1100" w:type="dxa"/>
            <w:tcBorders>
              <w:top w:val="nil"/>
              <w:left w:val="nil"/>
              <w:bottom w:val="nil"/>
              <w:right w:val="nil"/>
            </w:tcBorders>
            <w:shd w:val="clear" w:color="auto" w:fill="auto"/>
            <w:noWrap/>
            <w:vAlign w:val="bottom"/>
          </w:tcPr>
          <w:p w14:paraId="482AC57B" w14:textId="77777777" w:rsidR="003F3F1E" w:rsidRPr="00240D93" w:rsidRDefault="003F3F1E" w:rsidP="003F3F1E">
            <w:pPr>
              <w:spacing w:line="276" w:lineRule="auto"/>
              <w:jc w:val="center"/>
            </w:pPr>
            <w:r>
              <w:rPr>
                <w:rFonts w:ascii="Calibri" w:hAnsi="Calibri" w:cs="Calibri"/>
                <w:color w:val="000000"/>
              </w:rPr>
              <w:t>0.842</w:t>
            </w:r>
          </w:p>
        </w:tc>
        <w:tc>
          <w:tcPr>
            <w:tcW w:w="1053" w:type="dxa"/>
            <w:tcBorders>
              <w:top w:val="nil"/>
              <w:left w:val="nil"/>
              <w:bottom w:val="nil"/>
              <w:right w:val="nil"/>
            </w:tcBorders>
            <w:shd w:val="clear" w:color="auto" w:fill="auto"/>
            <w:noWrap/>
            <w:vAlign w:val="bottom"/>
          </w:tcPr>
          <w:p w14:paraId="2BE6DCF9" w14:textId="77777777" w:rsidR="003F3F1E" w:rsidRPr="00240D93" w:rsidRDefault="003F3F1E" w:rsidP="003F3F1E">
            <w:pPr>
              <w:spacing w:line="276" w:lineRule="auto"/>
              <w:jc w:val="center"/>
            </w:pPr>
            <w:r>
              <w:rPr>
                <w:rFonts w:ascii="Calibri" w:hAnsi="Calibri" w:cs="Calibri"/>
                <w:color w:val="000000"/>
              </w:rPr>
              <w:t>0.400</w:t>
            </w:r>
          </w:p>
        </w:tc>
      </w:tr>
      <w:tr w:rsidR="003F3F1E" w:rsidRPr="00ED3A67" w14:paraId="194E7B02" w14:textId="77777777" w:rsidTr="003F3F1E">
        <w:trPr>
          <w:trHeight w:val="288"/>
        </w:trPr>
        <w:tc>
          <w:tcPr>
            <w:tcW w:w="2160" w:type="dxa"/>
            <w:vMerge/>
            <w:tcBorders>
              <w:top w:val="nil"/>
              <w:left w:val="nil"/>
              <w:bottom w:val="single" w:sz="4" w:space="0" w:color="000000"/>
              <w:right w:val="nil"/>
            </w:tcBorders>
            <w:shd w:val="clear" w:color="auto" w:fill="auto"/>
            <w:vAlign w:val="center"/>
          </w:tcPr>
          <w:p w14:paraId="764E4C0D" w14:textId="77777777" w:rsidR="003F3F1E" w:rsidRPr="00ED3A67" w:rsidRDefault="003F3F1E" w:rsidP="003F3F1E">
            <w:pPr>
              <w:spacing w:line="276" w:lineRule="auto"/>
              <w:rPr>
                <w:rFonts w:ascii="Calibri" w:eastAsia="Times New Roman" w:hAnsi="Calibri" w:cs="Calibri"/>
                <w:color w:val="000000"/>
              </w:rPr>
            </w:pPr>
          </w:p>
        </w:tc>
        <w:tc>
          <w:tcPr>
            <w:tcW w:w="2180" w:type="dxa"/>
            <w:tcBorders>
              <w:top w:val="nil"/>
              <w:left w:val="nil"/>
              <w:bottom w:val="nil"/>
              <w:right w:val="nil"/>
            </w:tcBorders>
            <w:shd w:val="clear" w:color="auto" w:fill="auto"/>
            <w:noWrap/>
            <w:vAlign w:val="bottom"/>
          </w:tcPr>
          <w:p w14:paraId="34C8948C" w14:textId="77777777" w:rsidR="003F3F1E" w:rsidRPr="00ED3A67" w:rsidRDefault="003F3F1E" w:rsidP="003F3F1E">
            <w:pPr>
              <w:spacing w:line="276" w:lineRule="auto"/>
              <w:rPr>
                <w:rFonts w:ascii="Calibri" w:eastAsia="Times New Roman" w:hAnsi="Calibri" w:cs="Calibri"/>
                <w:color w:val="000000"/>
              </w:rPr>
            </w:pPr>
            <w:r w:rsidRPr="00ED3A67">
              <w:rPr>
                <w:rFonts w:ascii="Calibri" w:eastAsia="Times New Roman" w:hAnsi="Calibri" w:cs="Calibri"/>
                <w:color w:val="000000"/>
              </w:rPr>
              <w:t>RVI-MD</w:t>
            </w:r>
          </w:p>
        </w:tc>
        <w:tc>
          <w:tcPr>
            <w:tcW w:w="1100" w:type="dxa"/>
            <w:tcBorders>
              <w:top w:val="nil"/>
              <w:left w:val="nil"/>
              <w:bottom w:val="nil"/>
              <w:right w:val="nil"/>
            </w:tcBorders>
            <w:shd w:val="clear" w:color="auto" w:fill="auto"/>
            <w:noWrap/>
            <w:vAlign w:val="bottom"/>
          </w:tcPr>
          <w:p w14:paraId="0DF78239" w14:textId="77777777" w:rsidR="003F3F1E" w:rsidRPr="00240D93" w:rsidRDefault="003F3F1E" w:rsidP="003F3F1E">
            <w:pPr>
              <w:spacing w:line="276" w:lineRule="auto"/>
              <w:jc w:val="center"/>
            </w:pPr>
            <w:r>
              <w:rPr>
                <w:rFonts w:ascii="Calibri" w:hAnsi="Calibri" w:cs="Calibri"/>
                <w:color w:val="000000"/>
              </w:rPr>
              <w:t>-0.003</w:t>
            </w:r>
          </w:p>
        </w:tc>
        <w:tc>
          <w:tcPr>
            <w:tcW w:w="1053" w:type="dxa"/>
            <w:tcBorders>
              <w:top w:val="nil"/>
              <w:left w:val="nil"/>
              <w:bottom w:val="nil"/>
              <w:right w:val="nil"/>
            </w:tcBorders>
            <w:shd w:val="clear" w:color="auto" w:fill="auto"/>
            <w:noWrap/>
            <w:vAlign w:val="bottom"/>
          </w:tcPr>
          <w:p w14:paraId="6B4B837F" w14:textId="77777777" w:rsidR="003F3F1E" w:rsidRPr="00240D93" w:rsidRDefault="003F3F1E" w:rsidP="003F3F1E">
            <w:pPr>
              <w:spacing w:line="276" w:lineRule="auto"/>
              <w:jc w:val="center"/>
            </w:pPr>
            <w:r>
              <w:rPr>
                <w:rFonts w:ascii="Calibri" w:hAnsi="Calibri" w:cs="Calibri"/>
                <w:color w:val="000000"/>
              </w:rPr>
              <w:t>0.027</w:t>
            </w:r>
          </w:p>
        </w:tc>
        <w:tc>
          <w:tcPr>
            <w:tcW w:w="1100" w:type="dxa"/>
            <w:tcBorders>
              <w:top w:val="nil"/>
              <w:left w:val="nil"/>
              <w:bottom w:val="nil"/>
              <w:right w:val="nil"/>
            </w:tcBorders>
            <w:shd w:val="clear" w:color="auto" w:fill="auto"/>
            <w:noWrap/>
            <w:vAlign w:val="bottom"/>
          </w:tcPr>
          <w:p w14:paraId="4B008138" w14:textId="77777777" w:rsidR="003F3F1E" w:rsidRPr="00240D93" w:rsidRDefault="003F3F1E" w:rsidP="003F3F1E">
            <w:pPr>
              <w:spacing w:line="276" w:lineRule="auto"/>
              <w:jc w:val="center"/>
            </w:pPr>
            <w:r>
              <w:rPr>
                <w:rFonts w:ascii="Calibri" w:hAnsi="Calibri" w:cs="Calibri"/>
                <w:color w:val="000000"/>
              </w:rPr>
              <w:t>-0.095</w:t>
            </w:r>
          </w:p>
        </w:tc>
        <w:tc>
          <w:tcPr>
            <w:tcW w:w="1053" w:type="dxa"/>
            <w:tcBorders>
              <w:top w:val="nil"/>
              <w:left w:val="nil"/>
              <w:bottom w:val="nil"/>
              <w:right w:val="nil"/>
            </w:tcBorders>
            <w:shd w:val="clear" w:color="auto" w:fill="auto"/>
            <w:noWrap/>
            <w:vAlign w:val="bottom"/>
          </w:tcPr>
          <w:p w14:paraId="6D6A1257" w14:textId="77777777" w:rsidR="003F3F1E" w:rsidRPr="00240D93" w:rsidRDefault="003F3F1E" w:rsidP="003F3F1E">
            <w:pPr>
              <w:spacing w:line="276" w:lineRule="auto"/>
              <w:jc w:val="center"/>
            </w:pPr>
            <w:r>
              <w:rPr>
                <w:rFonts w:ascii="Calibri" w:hAnsi="Calibri" w:cs="Calibri"/>
                <w:color w:val="000000"/>
              </w:rPr>
              <w:t>0.924</w:t>
            </w:r>
          </w:p>
        </w:tc>
      </w:tr>
      <w:tr w:rsidR="003F3F1E" w:rsidRPr="00ED3A67" w14:paraId="2D0F01AC" w14:textId="77777777" w:rsidTr="003F3F1E">
        <w:trPr>
          <w:trHeight w:val="288"/>
        </w:trPr>
        <w:tc>
          <w:tcPr>
            <w:tcW w:w="2160" w:type="dxa"/>
            <w:vMerge/>
            <w:tcBorders>
              <w:top w:val="nil"/>
              <w:left w:val="nil"/>
              <w:bottom w:val="single" w:sz="4" w:space="0" w:color="000000"/>
              <w:right w:val="nil"/>
            </w:tcBorders>
            <w:shd w:val="clear" w:color="auto" w:fill="auto"/>
            <w:vAlign w:val="center"/>
          </w:tcPr>
          <w:p w14:paraId="72D1C8AD" w14:textId="77777777" w:rsidR="003F3F1E" w:rsidRPr="00ED3A67" w:rsidRDefault="003F3F1E" w:rsidP="003F3F1E">
            <w:pPr>
              <w:spacing w:line="276" w:lineRule="auto"/>
              <w:rPr>
                <w:rFonts w:ascii="Calibri" w:eastAsia="Times New Roman" w:hAnsi="Calibri" w:cs="Calibri"/>
                <w:color w:val="000000"/>
              </w:rPr>
            </w:pPr>
          </w:p>
        </w:tc>
        <w:tc>
          <w:tcPr>
            <w:tcW w:w="2180" w:type="dxa"/>
            <w:tcBorders>
              <w:top w:val="nil"/>
              <w:left w:val="nil"/>
              <w:bottom w:val="nil"/>
              <w:right w:val="nil"/>
            </w:tcBorders>
            <w:shd w:val="clear" w:color="auto" w:fill="auto"/>
            <w:noWrap/>
            <w:vAlign w:val="bottom"/>
          </w:tcPr>
          <w:p w14:paraId="750C8397" w14:textId="77777777" w:rsidR="003F3F1E" w:rsidRPr="00ED3A67" w:rsidRDefault="003F3F1E" w:rsidP="003F3F1E">
            <w:pPr>
              <w:spacing w:line="276" w:lineRule="auto"/>
              <w:rPr>
                <w:rFonts w:ascii="Calibri" w:eastAsia="Times New Roman" w:hAnsi="Calibri" w:cs="Calibri"/>
                <w:color w:val="000000"/>
              </w:rPr>
            </w:pPr>
            <w:r w:rsidRPr="00ED3A67">
              <w:rPr>
                <w:rFonts w:ascii="Calibri" w:eastAsia="Times New Roman" w:hAnsi="Calibri" w:cs="Calibri"/>
                <w:color w:val="000000"/>
              </w:rPr>
              <w:t>RVI-FA</w:t>
            </w:r>
          </w:p>
        </w:tc>
        <w:tc>
          <w:tcPr>
            <w:tcW w:w="1100" w:type="dxa"/>
            <w:tcBorders>
              <w:top w:val="nil"/>
              <w:left w:val="nil"/>
              <w:bottom w:val="nil"/>
              <w:right w:val="nil"/>
            </w:tcBorders>
            <w:shd w:val="clear" w:color="auto" w:fill="auto"/>
            <w:noWrap/>
            <w:vAlign w:val="bottom"/>
          </w:tcPr>
          <w:p w14:paraId="7C2123AD" w14:textId="77777777" w:rsidR="003F3F1E" w:rsidRPr="00240D93" w:rsidRDefault="003F3F1E" w:rsidP="003F3F1E">
            <w:pPr>
              <w:spacing w:line="276" w:lineRule="auto"/>
              <w:jc w:val="center"/>
            </w:pPr>
            <w:r>
              <w:rPr>
                <w:rFonts w:ascii="Calibri" w:hAnsi="Calibri" w:cs="Calibri"/>
                <w:color w:val="000000"/>
              </w:rPr>
              <w:t>-0.007</w:t>
            </w:r>
          </w:p>
        </w:tc>
        <w:tc>
          <w:tcPr>
            <w:tcW w:w="1053" w:type="dxa"/>
            <w:tcBorders>
              <w:top w:val="nil"/>
              <w:left w:val="nil"/>
              <w:bottom w:val="nil"/>
              <w:right w:val="nil"/>
            </w:tcBorders>
            <w:shd w:val="clear" w:color="auto" w:fill="auto"/>
            <w:noWrap/>
            <w:vAlign w:val="bottom"/>
          </w:tcPr>
          <w:p w14:paraId="1E628C60" w14:textId="77777777" w:rsidR="003F3F1E" w:rsidRPr="00240D93" w:rsidRDefault="003F3F1E" w:rsidP="003F3F1E">
            <w:pPr>
              <w:spacing w:line="276" w:lineRule="auto"/>
              <w:jc w:val="center"/>
            </w:pPr>
            <w:r>
              <w:rPr>
                <w:rFonts w:ascii="Calibri" w:hAnsi="Calibri" w:cs="Calibri"/>
                <w:color w:val="000000"/>
              </w:rPr>
              <w:t>0.027</w:t>
            </w:r>
          </w:p>
        </w:tc>
        <w:tc>
          <w:tcPr>
            <w:tcW w:w="1100" w:type="dxa"/>
            <w:tcBorders>
              <w:top w:val="nil"/>
              <w:left w:val="nil"/>
              <w:bottom w:val="nil"/>
              <w:right w:val="nil"/>
            </w:tcBorders>
            <w:shd w:val="clear" w:color="auto" w:fill="auto"/>
            <w:noWrap/>
            <w:vAlign w:val="bottom"/>
          </w:tcPr>
          <w:p w14:paraId="45B00156" w14:textId="77777777" w:rsidR="003F3F1E" w:rsidRPr="00240D93" w:rsidRDefault="003F3F1E" w:rsidP="003F3F1E">
            <w:pPr>
              <w:spacing w:line="276" w:lineRule="auto"/>
              <w:jc w:val="center"/>
            </w:pPr>
            <w:r>
              <w:rPr>
                <w:rFonts w:ascii="Calibri" w:hAnsi="Calibri" w:cs="Calibri"/>
                <w:color w:val="000000"/>
              </w:rPr>
              <w:t>-0.248</w:t>
            </w:r>
          </w:p>
        </w:tc>
        <w:tc>
          <w:tcPr>
            <w:tcW w:w="1053" w:type="dxa"/>
            <w:tcBorders>
              <w:top w:val="nil"/>
              <w:left w:val="nil"/>
              <w:bottom w:val="nil"/>
              <w:right w:val="nil"/>
            </w:tcBorders>
            <w:shd w:val="clear" w:color="auto" w:fill="auto"/>
            <w:noWrap/>
            <w:vAlign w:val="bottom"/>
          </w:tcPr>
          <w:p w14:paraId="0C301E81" w14:textId="77777777" w:rsidR="003F3F1E" w:rsidRPr="00240D93" w:rsidRDefault="003F3F1E" w:rsidP="003F3F1E">
            <w:pPr>
              <w:spacing w:line="276" w:lineRule="auto"/>
              <w:jc w:val="center"/>
            </w:pPr>
            <w:r>
              <w:rPr>
                <w:rFonts w:ascii="Calibri" w:hAnsi="Calibri" w:cs="Calibri"/>
                <w:color w:val="000000"/>
              </w:rPr>
              <w:t>0.804</w:t>
            </w:r>
          </w:p>
        </w:tc>
      </w:tr>
      <w:tr w:rsidR="003F3F1E" w:rsidRPr="00ED3A67" w14:paraId="6802D9B3" w14:textId="77777777" w:rsidTr="003F3F1E">
        <w:trPr>
          <w:trHeight w:val="288"/>
        </w:trPr>
        <w:tc>
          <w:tcPr>
            <w:tcW w:w="2160" w:type="dxa"/>
            <w:vMerge/>
            <w:tcBorders>
              <w:top w:val="nil"/>
              <w:left w:val="nil"/>
              <w:bottom w:val="single" w:sz="12" w:space="0" w:color="auto"/>
              <w:right w:val="nil"/>
            </w:tcBorders>
            <w:shd w:val="clear" w:color="auto" w:fill="auto"/>
            <w:vAlign w:val="center"/>
            <w:hideMark/>
          </w:tcPr>
          <w:p w14:paraId="33BFEFEA" w14:textId="77777777" w:rsidR="003F3F1E" w:rsidRPr="00ED3A67" w:rsidRDefault="003F3F1E" w:rsidP="003F3F1E">
            <w:pPr>
              <w:spacing w:line="276" w:lineRule="auto"/>
              <w:rPr>
                <w:rFonts w:ascii="Calibri" w:eastAsia="Times New Roman" w:hAnsi="Calibri" w:cs="Calibri"/>
                <w:color w:val="000000"/>
              </w:rPr>
            </w:pPr>
          </w:p>
        </w:tc>
        <w:tc>
          <w:tcPr>
            <w:tcW w:w="2180" w:type="dxa"/>
            <w:tcBorders>
              <w:top w:val="nil"/>
              <w:left w:val="nil"/>
              <w:bottom w:val="single" w:sz="12" w:space="0" w:color="auto"/>
              <w:right w:val="nil"/>
            </w:tcBorders>
            <w:shd w:val="clear" w:color="auto" w:fill="auto"/>
            <w:noWrap/>
            <w:vAlign w:val="bottom"/>
            <w:hideMark/>
          </w:tcPr>
          <w:p w14:paraId="6563A1F9" w14:textId="77777777" w:rsidR="003F3F1E" w:rsidRPr="00ED3A67" w:rsidRDefault="003F3F1E" w:rsidP="003F3F1E">
            <w:pPr>
              <w:spacing w:line="276" w:lineRule="auto"/>
              <w:rPr>
                <w:rFonts w:ascii="Calibri" w:eastAsia="Times New Roman" w:hAnsi="Calibri" w:cs="Calibri"/>
                <w:color w:val="000000"/>
              </w:rPr>
            </w:pPr>
            <w:r>
              <w:rPr>
                <w:rFonts w:ascii="Calibri" w:eastAsia="Times New Roman" w:hAnsi="Calibri" w:cs="Calibri"/>
                <w:color w:val="000000"/>
              </w:rPr>
              <w:t>RVI-Multi</w:t>
            </w:r>
          </w:p>
        </w:tc>
        <w:tc>
          <w:tcPr>
            <w:tcW w:w="1100" w:type="dxa"/>
            <w:tcBorders>
              <w:top w:val="nil"/>
              <w:left w:val="nil"/>
              <w:bottom w:val="single" w:sz="12" w:space="0" w:color="auto"/>
              <w:right w:val="nil"/>
            </w:tcBorders>
            <w:shd w:val="clear" w:color="auto" w:fill="auto"/>
            <w:noWrap/>
            <w:vAlign w:val="bottom"/>
            <w:hideMark/>
          </w:tcPr>
          <w:p w14:paraId="3A49AF9D" w14:textId="77777777" w:rsidR="003F3F1E" w:rsidRPr="00ED3A67" w:rsidRDefault="003F3F1E" w:rsidP="003F3F1E">
            <w:pPr>
              <w:spacing w:line="276" w:lineRule="auto"/>
              <w:jc w:val="center"/>
              <w:rPr>
                <w:rFonts w:ascii="Calibri" w:eastAsia="Times New Roman" w:hAnsi="Calibri" w:cs="Calibri"/>
                <w:color w:val="000000"/>
              </w:rPr>
            </w:pPr>
            <w:r>
              <w:rPr>
                <w:rFonts w:ascii="Calibri" w:hAnsi="Calibri" w:cs="Calibri"/>
                <w:color w:val="000000"/>
              </w:rPr>
              <w:t>-0.008</w:t>
            </w:r>
          </w:p>
        </w:tc>
        <w:tc>
          <w:tcPr>
            <w:tcW w:w="1053" w:type="dxa"/>
            <w:tcBorders>
              <w:top w:val="nil"/>
              <w:left w:val="nil"/>
              <w:bottom w:val="single" w:sz="12" w:space="0" w:color="auto"/>
              <w:right w:val="nil"/>
            </w:tcBorders>
            <w:shd w:val="clear" w:color="auto" w:fill="auto"/>
            <w:noWrap/>
            <w:vAlign w:val="bottom"/>
            <w:hideMark/>
          </w:tcPr>
          <w:p w14:paraId="37E2F1ED" w14:textId="77777777" w:rsidR="003F3F1E" w:rsidRPr="00ED3A67" w:rsidRDefault="003F3F1E" w:rsidP="003F3F1E">
            <w:pPr>
              <w:spacing w:line="276" w:lineRule="auto"/>
              <w:jc w:val="center"/>
              <w:rPr>
                <w:rFonts w:ascii="Calibri" w:eastAsia="Times New Roman" w:hAnsi="Calibri" w:cs="Calibri"/>
                <w:color w:val="000000"/>
              </w:rPr>
            </w:pPr>
            <w:r>
              <w:rPr>
                <w:rFonts w:ascii="Calibri" w:hAnsi="Calibri" w:cs="Calibri"/>
                <w:color w:val="000000"/>
              </w:rPr>
              <w:t>0.026</w:t>
            </w:r>
          </w:p>
        </w:tc>
        <w:tc>
          <w:tcPr>
            <w:tcW w:w="1100" w:type="dxa"/>
            <w:tcBorders>
              <w:top w:val="nil"/>
              <w:left w:val="nil"/>
              <w:bottom w:val="single" w:sz="12" w:space="0" w:color="auto"/>
              <w:right w:val="nil"/>
            </w:tcBorders>
            <w:shd w:val="clear" w:color="auto" w:fill="auto"/>
            <w:noWrap/>
            <w:vAlign w:val="bottom"/>
            <w:hideMark/>
          </w:tcPr>
          <w:p w14:paraId="1867ED69" w14:textId="77777777" w:rsidR="003F3F1E" w:rsidRPr="00ED3A67" w:rsidRDefault="003F3F1E" w:rsidP="003F3F1E">
            <w:pPr>
              <w:spacing w:line="276" w:lineRule="auto"/>
              <w:jc w:val="center"/>
              <w:rPr>
                <w:rFonts w:ascii="Calibri" w:eastAsia="Times New Roman" w:hAnsi="Calibri" w:cs="Calibri"/>
                <w:color w:val="000000"/>
              </w:rPr>
            </w:pPr>
            <w:r>
              <w:rPr>
                <w:rFonts w:ascii="Calibri" w:hAnsi="Calibri" w:cs="Calibri"/>
                <w:color w:val="000000"/>
              </w:rPr>
              <w:t>-0.284</w:t>
            </w:r>
          </w:p>
        </w:tc>
        <w:tc>
          <w:tcPr>
            <w:tcW w:w="1053" w:type="dxa"/>
            <w:tcBorders>
              <w:top w:val="nil"/>
              <w:left w:val="nil"/>
              <w:bottom w:val="single" w:sz="12" w:space="0" w:color="auto"/>
              <w:right w:val="nil"/>
            </w:tcBorders>
            <w:shd w:val="clear" w:color="auto" w:fill="auto"/>
            <w:noWrap/>
            <w:vAlign w:val="bottom"/>
            <w:hideMark/>
          </w:tcPr>
          <w:p w14:paraId="660BA697" w14:textId="77777777" w:rsidR="003F3F1E" w:rsidRPr="00ED3A67" w:rsidRDefault="003F3F1E" w:rsidP="003F3F1E">
            <w:pPr>
              <w:spacing w:line="276" w:lineRule="auto"/>
              <w:jc w:val="center"/>
              <w:rPr>
                <w:rFonts w:ascii="Calibri" w:eastAsia="Times New Roman" w:hAnsi="Calibri" w:cs="Calibri"/>
                <w:color w:val="000000"/>
              </w:rPr>
            </w:pPr>
            <w:r>
              <w:rPr>
                <w:rFonts w:ascii="Calibri" w:hAnsi="Calibri" w:cs="Calibri"/>
                <w:color w:val="000000"/>
              </w:rPr>
              <w:t>0.777</w:t>
            </w:r>
          </w:p>
        </w:tc>
      </w:tr>
    </w:tbl>
    <w:p w14:paraId="26491FE6" w14:textId="77777777" w:rsidR="00BE2BE5" w:rsidRPr="00A246EF" w:rsidRDefault="00BE2BE5" w:rsidP="00BE2BE5">
      <w:pPr>
        <w:tabs>
          <w:tab w:val="left" w:pos="3200"/>
        </w:tabs>
        <w:spacing w:line="276" w:lineRule="auto"/>
        <w:rPr>
          <w:lang w:val="en-GB"/>
        </w:rPr>
      </w:pPr>
    </w:p>
    <w:p w14:paraId="5E598D46" w14:textId="77777777" w:rsidR="00BE2BE5" w:rsidRPr="00A246EF" w:rsidRDefault="00BE2BE5" w:rsidP="00BE2BE5">
      <w:pPr>
        <w:spacing w:line="276" w:lineRule="auto"/>
        <w:rPr>
          <w:lang w:val="en-GB"/>
        </w:rPr>
      </w:pPr>
    </w:p>
    <w:p w14:paraId="0AF025E8" w14:textId="77777777" w:rsidR="00D24FE5" w:rsidRDefault="00D24FE5">
      <w:pPr>
        <w:rPr>
          <w:lang w:val="en-GB"/>
        </w:rPr>
      </w:pPr>
      <w:r>
        <w:rPr>
          <w:lang w:val="en-GB"/>
        </w:rPr>
        <w:br w:type="page"/>
      </w:r>
    </w:p>
    <w:p w14:paraId="6790A2A4" w14:textId="77777777" w:rsidR="00D24FE5" w:rsidRDefault="00D24FE5" w:rsidP="00BE2BE5">
      <w:pPr>
        <w:spacing w:line="276" w:lineRule="auto"/>
        <w:rPr>
          <w:lang w:val="en-GB"/>
        </w:rPr>
      </w:pPr>
    </w:p>
    <w:p w14:paraId="50F25590" w14:textId="77777777" w:rsidR="00BE2BE5" w:rsidRPr="004C39D0" w:rsidRDefault="00BE2BE5" w:rsidP="00BE2BE5">
      <w:pPr>
        <w:spacing w:line="276" w:lineRule="auto"/>
        <w:rPr>
          <w:b/>
          <w:bCs/>
          <w:sz w:val="28"/>
          <w:szCs w:val="28"/>
          <w:lang w:val="en-GB"/>
        </w:rPr>
      </w:pPr>
      <w:r w:rsidRPr="004C39D0">
        <w:rPr>
          <w:b/>
          <w:bCs/>
          <w:sz w:val="28"/>
          <w:szCs w:val="28"/>
          <w:lang w:val="en-GB"/>
        </w:rPr>
        <w:t>References</w:t>
      </w:r>
    </w:p>
    <w:p w14:paraId="7BC9464F" w14:textId="77777777" w:rsidR="00BE2BE5" w:rsidRDefault="00BE2BE5" w:rsidP="00BE2BE5">
      <w:pPr>
        <w:spacing w:line="276" w:lineRule="auto"/>
        <w:rPr>
          <w:lang w:val="en-GB"/>
        </w:rPr>
      </w:pPr>
    </w:p>
    <w:p w14:paraId="63055DDC" w14:textId="77777777" w:rsidR="003A6825" w:rsidRPr="00DA5C56" w:rsidRDefault="003A6825" w:rsidP="003A6825">
      <w:pPr>
        <w:pStyle w:val="ng-binding"/>
        <w:numPr>
          <w:ilvl w:val="0"/>
          <w:numId w:val="4"/>
        </w:numPr>
        <w:shd w:val="clear" w:color="auto" w:fill="FFFFFF"/>
        <w:spacing w:before="0" w:beforeAutospacing="0" w:after="0" w:afterAutospacing="0" w:line="480" w:lineRule="auto"/>
        <w:rPr>
          <w:rStyle w:val="Hyperlink"/>
          <w:rFonts w:asciiTheme="minorHAnsi" w:hAnsiTheme="minorHAnsi" w:cstheme="minorHAnsi"/>
          <w:color w:val="auto"/>
          <w:sz w:val="22"/>
          <w:szCs w:val="22"/>
        </w:rPr>
      </w:pPr>
      <w:r w:rsidRPr="00F771E1">
        <w:rPr>
          <w:rFonts w:asciiTheme="minorHAnsi" w:hAnsiTheme="minorHAnsi" w:cstheme="minorHAnsi"/>
          <w:sz w:val="22"/>
          <w:szCs w:val="22"/>
        </w:rPr>
        <w:t>The 1000 Genomes Project Consortium. A global reference for human genetic variation.</w:t>
      </w:r>
      <w:r w:rsidRPr="00F771E1">
        <w:rPr>
          <w:rFonts w:asciiTheme="minorHAnsi" w:hAnsiTheme="minorHAnsi" w:cstheme="minorHAnsi"/>
          <w:i/>
          <w:iCs/>
          <w:sz w:val="22"/>
          <w:szCs w:val="22"/>
        </w:rPr>
        <w:t xml:space="preserve"> Nature </w:t>
      </w:r>
      <w:r w:rsidRPr="00F771E1">
        <w:rPr>
          <w:rFonts w:asciiTheme="minorHAnsi" w:hAnsiTheme="minorHAnsi" w:cstheme="minorHAnsi"/>
          <w:sz w:val="22"/>
          <w:szCs w:val="22"/>
        </w:rPr>
        <w:t>2015; 526: 68-74. </w:t>
      </w:r>
      <w:r w:rsidRPr="00F771E1">
        <w:rPr>
          <w:rStyle w:val="Hyperlink"/>
          <w:rFonts w:asciiTheme="minorHAnsi" w:hAnsiTheme="minorHAnsi" w:cstheme="minorHAnsi"/>
          <w:sz w:val="22"/>
          <w:szCs w:val="22"/>
        </w:rPr>
        <w:t xml:space="preserve">  </w:t>
      </w:r>
    </w:p>
    <w:p w14:paraId="5FEEA64C" w14:textId="77777777" w:rsidR="003A6825" w:rsidRPr="00F771E1" w:rsidRDefault="003A6825" w:rsidP="003A6825">
      <w:pPr>
        <w:pStyle w:val="ListParagraph"/>
        <w:numPr>
          <w:ilvl w:val="0"/>
          <w:numId w:val="4"/>
        </w:numPr>
        <w:spacing w:after="0" w:line="480" w:lineRule="auto"/>
        <w:rPr>
          <w:rFonts w:cstheme="minorHAnsi"/>
          <w:color w:val="212121"/>
          <w:shd w:val="clear" w:color="auto" w:fill="FFFFFF"/>
        </w:rPr>
      </w:pPr>
      <w:r w:rsidRPr="00F771E1">
        <w:rPr>
          <w:rFonts w:cstheme="minorHAnsi"/>
          <w:shd w:val="clear" w:color="auto" w:fill="FFFFFF"/>
        </w:rPr>
        <w:t xml:space="preserve">Lam M, </w:t>
      </w:r>
      <w:proofErr w:type="spellStart"/>
      <w:r w:rsidRPr="00F771E1">
        <w:rPr>
          <w:rFonts w:cstheme="minorHAnsi"/>
          <w:shd w:val="clear" w:color="auto" w:fill="FFFFFF"/>
        </w:rPr>
        <w:t>Awsasthi</w:t>
      </w:r>
      <w:proofErr w:type="spellEnd"/>
      <w:r w:rsidRPr="00F771E1">
        <w:rPr>
          <w:rFonts w:cstheme="minorHAnsi"/>
          <w:shd w:val="clear" w:color="auto" w:fill="FFFFFF"/>
        </w:rPr>
        <w:t xml:space="preserve"> S, Watson HJ, Goldstein J, </w:t>
      </w:r>
      <w:proofErr w:type="spellStart"/>
      <w:r w:rsidRPr="00F771E1">
        <w:rPr>
          <w:rFonts w:cstheme="minorHAnsi"/>
          <w:shd w:val="clear" w:color="auto" w:fill="FFFFFF"/>
        </w:rPr>
        <w:t>Panagiotaropoulou</w:t>
      </w:r>
      <w:proofErr w:type="spellEnd"/>
      <w:r w:rsidRPr="00F771E1">
        <w:rPr>
          <w:rFonts w:cstheme="minorHAnsi"/>
          <w:shd w:val="clear" w:color="auto" w:fill="FFFFFF"/>
        </w:rPr>
        <w:t xml:space="preserve"> G, </w:t>
      </w:r>
      <w:proofErr w:type="spellStart"/>
      <w:r w:rsidRPr="00F771E1">
        <w:rPr>
          <w:rFonts w:cstheme="minorHAnsi"/>
          <w:shd w:val="clear" w:color="auto" w:fill="FFFFFF"/>
        </w:rPr>
        <w:t>Trubetskoy</w:t>
      </w:r>
      <w:proofErr w:type="spellEnd"/>
      <w:r w:rsidRPr="00F771E1">
        <w:rPr>
          <w:rFonts w:cstheme="minorHAnsi"/>
          <w:shd w:val="clear" w:color="auto" w:fill="FFFFFF"/>
        </w:rPr>
        <w:t xml:space="preserve"> V, et al. RICOPILI: Rapid Imputation for </w:t>
      </w:r>
      <w:proofErr w:type="spellStart"/>
      <w:r w:rsidRPr="00F771E1">
        <w:rPr>
          <w:rFonts w:cstheme="minorHAnsi"/>
          <w:shd w:val="clear" w:color="auto" w:fill="FFFFFF"/>
        </w:rPr>
        <w:t>COnsortias</w:t>
      </w:r>
      <w:proofErr w:type="spellEnd"/>
      <w:r w:rsidRPr="00F771E1">
        <w:rPr>
          <w:rFonts w:cstheme="minorHAnsi"/>
          <w:shd w:val="clear" w:color="auto" w:fill="FFFFFF"/>
        </w:rPr>
        <w:t xml:space="preserve"> </w:t>
      </w:r>
      <w:proofErr w:type="spellStart"/>
      <w:r w:rsidRPr="00F771E1">
        <w:rPr>
          <w:rFonts w:cstheme="minorHAnsi"/>
          <w:shd w:val="clear" w:color="auto" w:fill="FFFFFF"/>
        </w:rPr>
        <w:t>PIpeLIne</w:t>
      </w:r>
      <w:proofErr w:type="spellEnd"/>
      <w:r w:rsidRPr="00F771E1">
        <w:rPr>
          <w:rFonts w:cstheme="minorHAnsi"/>
          <w:shd w:val="clear" w:color="auto" w:fill="FFFFFF"/>
        </w:rPr>
        <w:t>. </w:t>
      </w:r>
      <w:r w:rsidRPr="00F771E1">
        <w:rPr>
          <w:rFonts w:cstheme="minorHAnsi"/>
          <w:i/>
          <w:iCs/>
          <w:shd w:val="clear" w:color="auto" w:fill="FFFFFF"/>
        </w:rPr>
        <w:t xml:space="preserve">Bioinformatics </w:t>
      </w:r>
      <w:r w:rsidRPr="00F771E1">
        <w:rPr>
          <w:rFonts w:cstheme="minorHAnsi"/>
          <w:shd w:val="clear" w:color="auto" w:fill="FFFFFF"/>
        </w:rPr>
        <w:t xml:space="preserve">2020; 36: 930–933. </w:t>
      </w:r>
    </w:p>
    <w:p w14:paraId="616EA898" w14:textId="77777777" w:rsidR="003A6825" w:rsidRPr="00F771E1" w:rsidRDefault="003A6825" w:rsidP="003A6825">
      <w:pPr>
        <w:pStyle w:val="ng-binding"/>
        <w:numPr>
          <w:ilvl w:val="0"/>
          <w:numId w:val="4"/>
        </w:numPr>
        <w:shd w:val="clear" w:color="auto" w:fill="FFFFFF"/>
        <w:spacing w:before="0" w:beforeAutospacing="0" w:after="0" w:afterAutospacing="0" w:line="480" w:lineRule="auto"/>
        <w:rPr>
          <w:rFonts w:asciiTheme="minorHAnsi" w:hAnsiTheme="minorHAnsi" w:cstheme="minorHAnsi"/>
          <w:sz w:val="22"/>
          <w:szCs w:val="22"/>
        </w:rPr>
      </w:pPr>
      <w:proofErr w:type="spellStart"/>
      <w:r w:rsidRPr="00F771E1">
        <w:rPr>
          <w:rFonts w:asciiTheme="minorHAnsi" w:hAnsiTheme="minorHAnsi" w:cstheme="minorHAnsi"/>
          <w:sz w:val="22"/>
          <w:szCs w:val="22"/>
        </w:rPr>
        <w:t>Habota</w:t>
      </w:r>
      <w:proofErr w:type="spellEnd"/>
      <w:r w:rsidRPr="00F771E1">
        <w:rPr>
          <w:rFonts w:asciiTheme="minorHAnsi" w:hAnsiTheme="minorHAnsi" w:cstheme="minorHAnsi"/>
          <w:sz w:val="22"/>
          <w:szCs w:val="22"/>
        </w:rPr>
        <w:t xml:space="preserve"> T, </w:t>
      </w:r>
      <w:proofErr w:type="spellStart"/>
      <w:r w:rsidRPr="00F771E1">
        <w:rPr>
          <w:rFonts w:asciiTheme="minorHAnsi" w:hAnsiTheme="minorHAnsi" w:cstheme="minorHAnsi"/>
          <w:sz w:val="22"/>
          <w:szCs w:val="22"/>
        </w:rPr>
        <w:t>Sandu</w:t>
      </w:r>
      <w:proofErr w:type="spellEnd"/>
      <w:r w:rsidRPr="00F771E1">
        <w:rPr>
          <w:rFonts w:asciiTheme="minorHAnsi" w:hAnsiTheme="minorHAnsi" w:cstheme="minorHAnsi"/>
          <w:sz w:val="22"/>
          <w:szCs w:val="22"/>
        </w:rPr>
        <w:t xml:space="preserve"> A, Waiter GD, McNeil </w:t>
      </w:r>
      <w:proofErr w:type="gramStart"/>
      <w:r w:rsidRPr="00F771E1">
        <w:rPr>
          <w:rFonts w:asciiTheme="minorHAnsi" w:hAnsiTheme="minorHAnsi" w:cstheme="minorHAnsi"/>
          <w:sz w:val="22"/>
          <w:szCs w:val="22"/>
        </w:rPr>
        <w:t>CJ ,</w:t>
      </w:r>
      <w:proofErr w:type="gramEnd"/>
      <w:r w:rsidRPr="00F771E1">
        <w:rPr>
          <w:rFonts w:asciiTheme="minorHAnsi" w:hAnsiTheme="minorHAnsi" w:cstheme="minorHAnsi"/>
          <w:sz w:val="22"/>
          <w:szCs w:val="22"/>
        </w:rPr>
        <w:t xml:space="preserve"> Steele JD, Macfarlane JA, </w:t>
      </w:r>
      <w:r w:rsidRPr="00F771E1">
        <w:rPr>
          <w:rFonts w:asciiTheme="minorHAnsi" w:hAnsiTheme="minorHAnsi" w:cstheme="minorHAnsi"/>
          <w:i/>
          <w:iCs/>
          <w:sz w:val="22"/>
          <w:szCs w:val="22"/>
        </w:rPr>
        <w:t>et al</w:t>
      </w:r>
      <w:r w:rsidRPr="00F771E1">
        <w:rPr>
          <w:rFonts w:asciiTheme="minorHAnsi" w:hAnsiTheme="minorHAnsi" w:cstheme="minorHAnsi"/>
          <w:sz w:val="22"/>
          <w:szCs w:val="22"/>
        </w:rPr>
        <w:t xml:space="preserve">. Cohort profile for the </w:t>
      </w:r>
      <w:proofErr w:type="spellStart"/>
      <w:r w:rsidRPr="00F771E1">
        <w:rPr>
          <w:rFonts w:asciiTheme="minorHAnsi" w:hAnsiTheme="minorHAnsi" w:cstheme="minorHAnsi"/>
          <w:sz w:val="22"/>
          <w:szCs w:val="22"/>
        </w:rPr>
        <w:t>STratifying</w:t>
      </w:r>
      <w:proofErr w:type="spellEnd"/>
      <w:r w:rsidRPr="00F771E1">
        <w:rPr>
          <w:rFonts w:asciiTheme="minorHAnsi" w:hAnsiTheme="minorHAnsi" w:cstheme="minorHAnsi"/>
          <w:sz w:val="22"/>
          <w:szCs w:val="22"/>
        </w:rPr>
        <w:t xml:space="preserve"> resilience and depression longitudinally (STRADL) study: A depression-focused investigation of generation </w:t>
      </w:r>
      <w:proofErr w:type="spellStart"/>
      <w:r w:rsidRPr="00F771E1">
        <w:rPr>
          <w:rFonts w:asciiTheme="minorHAnsi" w:hAnsiTheme="minorHAnsi" w:cstheme="minorHAnsi"/>
          <w:sz w:val="22"/>
          <w:szCs w:val="22"/>
        </w:rPr>
        <w:t>scotland</w:t>
      </w:r>
      <w:proofErr w:type="spellEnd"/>
      <w:r w:rsidRPr="00F771E1">
        <w:rPr>
          <w:rFonts w:asciiTheme="minorHAnsi" w:hAnsiTheme="minorHAnsi" w:cstheme="minorHAnsi"/>
          <w:sz w:val="22"/>
          <w:szCs w:val="22"/>
        </w:rPr>
        <w:t>, using detailed clinical, cognitive, and neuroimaging assessments.</w:t>
      </w:r>
      <w:r w:rsidRPr="00F771E1">
        <w:rPr>
          <w:rFonts w:asciiTheme="minorHAnsi" w:hAnsiTheme="minorHAnsi" w:cstheme="minorHAnsi"/>
          <w:i/>
          <w:iCs/>
          <w:sz w:val="22"/>
          <w:szCs w:val="22"/>
        </w:rPr>
        <w:t> </w:t>
      </w:r>
      <w:proofErr w:type="spellStart"/>
      <w:r w:rsidRPr="00F771E1">
        <w:rPr>
          <w:rFonts w:asciiTheme="minorHAnsi" w:hAnsiTheme="minorHAnsi" w:cstheme="minorHAnsi"/>
          <w:i/>
          <w:iCs/>
          <w:sz w:val="22"/>
          <w:szCs w:val="22"/>
        </w:rPr>
        <w:t>Wellcome</w:t>
      </w:r>
      <w:proofErr w:type="spellEnd"/>
      <w:r w:rsidRPr="00F771E1">
        <w:rPr>
          <w:rFonts w:asciiTheme="minorHAnsi" w:hAnsiTheme="minorHAnsi" w:cstheme="minorHAnsi"/>
          <w:i/>
          <w:iCs/>
          <w:sz w:val="22"/>
          <w:szCs w:val="22"/>
        </w:rPr>
        <w:t xml:space="preserve"> Open Research </w:t>
      </w:r>
      <w:r w:rsidRPr="00F771E1">
        <w:rPr>
          <w:rFonts w:asciiTheme="minorHAnsi" w:hAnsiTheme="minorHAnsi" w:cstheme="minorHAnsi"/>
          <w:sz w:val="22"/>
          <w:szCs w:val="22"/>
        </w:rPr>
        <w:t xml:space="preserve">2019; 4:185. </w:t>
      </w:r>
    </w:p>
    <w:p w14:paraId="6D46BA24" w14:textId="77777777" w:rsidR="003A6825" w:rsidRPr="00A25F3B" w:rsidRDefault="003A6825" w:rsidP="003A6825">
      <w:pPr>
        <w:pStyle w:val="ng-binding"/>
        <w:numPr>
          <w:ilvl w:val="0"/>
          <w:numId w:val="4"/>
        </w:numPr>
        <w:shd w:val="clear" w:color="auto" w:fill="FFFFFF"/>
        <w:spacing w:line="480" w:lineRule="auto"/>
        <w:rPr>
          <w:rFonts w:asciiTheme="minorHAnsi" w:hAnsiTheme="minorHAnsi"/>
          <w:sz w:val="22"/>
          <w:szCs w:val="22"/>
        </w:rPr>
      </w:pPr>
      <w:r w:rsidRPr="00A25F3B">
        <w:rPr>
          <w:rFonts w:asciiTheme="minorHAnsi" w:hAnsiTheme="minorHAnsi"/>
          <w:sz w:val="22"/>
          <w:szCs w:val="22"/>
        </w:rPr>
        <w:t>Neilson</w:t>
      </w:r>
      <w:r>
        <w:rPr>
          <w:rFonts w:asciiTheme="minorHAnsi" w:hAnsiTheme="minorHAnsi"/>
          <w:sz w:val="22"/>
          <w:szCs w:val="22"/>
        </w:rPr>
        <w:t xml:space="preserve"> </w:t>
      </w:r>
      <w:r w:rsidRPr="00A25F3B">
        <w:rPr>
          <w:rFonts w:asciiTheme="minorHAnsi" w:hAnsiTheme="minorHAnsi"/>
          <w:sz w:val="22"/>
          <w:szCs w:val="22"/>
        </w:rPr>
        <w:t xml:space="preserve">E, Shen X, Cox SR, Clarke T, </w:t>
      </w:r>
      <w:proofErr w:type="spellStart"/>
      <w:r w:rsidRPr="00A25F3B">
        <w:rPr>
          <w:rFonts w:asciiTheme="minorHAnsi" w:hAnsiTheme="minorHAnsi"/>
          <w:sz w:val="22"/>
          <w:szCs w:val="22"/>
        </w:rPr>
        <w:t>Wigmore</w:t>
      </w:r>
      <w:proofErr w:type="spellEnd"/>
      <w:r w:rsidRPr="00A25F3B">
        <w:rPr>
          <w:rFonts w:asciiTheme="minorHAnsi" w:hAnsiTheme="minorHAnsi"/>
          <w:sz w:val="22"/>
          <w:szCs w:val="22"/>
        </w:rPr>
        <w:t xml:space="preserve"> EM, Gibson J, </w:t>
      </w:r>
      <w:r w:rsidRPr="00DA5C56">
        <w:rPr>
          <w:rFonts w:asciiTheme="minorHAnsi" w:hAnsiTheme="minorHAnsi"/>
          <w:i/>
          <w:iCs/>
          <w:sz w:val="22"/>
          <w:szCs w:val="22"/>
        </w:rPr>
        <w:t>et al</w:t>
      </w:r>
      <w:r w:rsidRPr="00A25F3B">
        <w:rPr>
          <w:rFonts w:asciiTheme="minorHAnsi" w:hAnsiTheme="minorHAnsi"/>
          <w:sz w:val="22"/>
          <w:szCs w:val="22"/>
        </w:rPr>
        <w:t>. (2019). Impact of polygenic risk for schizophrenia on cortical structure in UK biobank.</w:t>
      </w:r>
      <w:r w:rsidRPr="00A25F3B">
        <w:rPr>
          <w:rFonts w:asciiTheme="minorHAnsi" w:hAnsiTheme="minorHAnsi"/>
          <w:i/>
          <w:iCs/>
          <w:sz w:val="22"/>
          <w:szCs w:val="22"/>
        </w:rPr>
        <w:t> </w:t>
      </w:r>
      <w:proofErr w:type="spellStart"/>
      <w:r w:rsidRPr="00A25F3B">
        <w:rPr>
          <w:rFonts w:asciiTheme="minorHAnsi" w:hAnsiTheme="minorHAnsi"/>
          <w:i/>
          <w:iCs/>
          <w:sz w:val="22"/>
          <w:szCs w:val="22"/>
        </w:rPr>
        <w:t>Biol</w:t>
      </w:r>
      <w:proofErr w:type="spellEnd"/>
      <w:r w:rsidRPr="00A25F3B">
        <w:rPr>
          <w:rFonts w:asciiTheme="minorHAnsi" w:hAnsiTheme="minorHAnsi"/>
          <w:i/>
          <w:iCs/>
          <w:sz w:val="22"/>
          <w:szCs w:val="22"/>
        </w:rPr>
        <w:t xml:space="preserve"> Psychiatry </w:t>
      </w:r>
      <w:r w:rsidRPr="005D0CD6">
        <w:rPr>
          <w:rFonts w:asciiTheme="minorHAnsi" w:hAnsiTheme="minorHAnsi"/>
          <w:sz w:val="22"/>
          <w:szCs w:val="22"/>
        </w:rPr>
        <w:t>2019; 86</w:t>
      </w:r>
      <w:r>
        <w:rPr>
          <w:rFonts w:asciiTheme="minorHAnsi" w:hAnsiTheme="minorHAnsi"/>
          <w:sz w:val="22"/>
          <w:szCs w:val="22"/>
        </w:rPr>
        <w:t>:</w:t>
      </w:r>
      <w:r w:rsidRPr="00A25F3B">
        <w:rPr>
          <w:rFonts w:asciiTheme="minorHAnsi" w:hAnsiTheme="minorHAnsi"/>
          <w:sz w:val="22"/>
          <w:szCs w:val="22"/>
        </w:rPr>
        <w:t xml:space="preserve"> 536-544. </w:t>
      </w:r>
    </w:p>
    <w:p w14:paraId="4D5FD8A2" w14:textId="77777777" w:rsidR="003A6825" w:rsidRPr="00F771E1" w:rsidRDefault="003A6825" w:rsidP="003A6825">
      <w:pPr>
        <w:pStyle w:val="ng-binding"/>
        <w:numPr>
          <w:ilvl w:val="0"/>
          <w:numId w:val="4"/>
        </w:numPr>
        <w:shd w:val="clear" w:color="auto" w:fill="FFFFFF"/>
        <w:spacing w:before="0" w:beforeAutospacing="0" w:after="0" w:afterAutospacing="0" w:line="480" w:lineRule="auto"/>
        <w:rPr>
          <w:rFonts w:asciiTheme="minorHAnsi" w:hAnsiTheme="minorHAnsi" w:cstheme="minorHAnsi"/>
          <w:sz w:val="22"/>
          <w:szCs w:val="22"/>
        </w:rPr>
      </w:pPr>
      <w:r w:rsidRPr="00F771E1">
        <w:rPr>
          <w:rFonts w:asciiTheme="minorHAnsi" w:hAnsiTheme="minorHAnsi" w:cstheme="minorHAnsi"/>
          <w:sz w:val="22"/>
          <w:szCs w:val="22"/>
        </w:rPr>
        <w:t xml:space="preserve">Green C, Shen X, Stevenson AJ, </w:t>
      </w:r>
      <w:proofErr w:type="spellStart"/>
      <w:r w:rsidRPr="00F771E1">
        <w:rPr>
          <w:rFonts w:asciiTheme="minorHAnsi" w:hAnsiTheme="minorHAnsi" w:cstheme="minorHAnsi"/>
          <w:sz w:val="22"/>
          <w:szCs w:val="22"/>
        </w:rPr>
        <w:t>Conole</w:t>
      </w:r>
      <w:proofErr w:type="spellEnd"/>
      <w:r w:rsidRPr="00F771E1">
        <w:rPr>
          <w:rFonts w:asciiTheme="minorHAnsi" w:hAnsiTheme="minorHAnsi" w:cstheme="minorHAnsi"/>
          <w:sz w:val="22"/>
          <w:szCs w:val="22"/>
        </w:rPr>
        <w:t xml:space="preserve"> ELS, Harris MA, </w:t>
      </w:r>
      <w:proofErr w:type="spellStart"/>
      <w:r w:rsidRPr="00F771E1">
        <w:rPr>
          <w:rFonts w:asciiTheme="minorHAnsi" w:hAnsiTheme="minorHAnsi" w:cstheme="minorHAnsi"/>
          <w:sz w:val="22"/>
          <w:szCs w:val="22"/>
        </w:rPr>
        <w:t>Barbu</w:t>
      </w:r>
      <w:proofErr w:type="spellEnd"/>
      <w:r w:rsidRPr="00F771E1">
        <w:rPr>
          <w:rFonts w:asciiTheme="minorHAnsi" w:hAnsiTheme="minorHAnsi" w:cstheme="minorHAnsi"/>
          <w:sz w:val="22"/>
          <w:szCs w:val="22"/>
        </w:rPr>
        <w:t xml:space="preserve"> MC, et al. Structural brain correlates of serum and epigenetic markers of inflammation in major depressive disorder.</w:t>
      </w:r>
      <w:r w:rsidRPr="00F771E1">
        <w:rPr>
          <w:rFonts w:asciiTheme="minorHAnsi" w:hAnsiTheme="minorHAnsi" w:cstheme="minorHAnsi"/>
          <w:i/>
          <w:iCs/>
          <w:sz w:val="22"/>
          <w:szCs w:val="22"/>
        </w:rPr>
        <w:t xml:space="preserve"> Brain, </w:t>
      </w:r>
      <w:proofErr w:type="spellStart"/>
      <w:r w:rsidRPr="00F771E1">
        <w:rPr>
          <w:rFonts w:asciiTheme="minorHAnsi" w:hAnsiTheme="minorHAnsi" w:cstheme="minorHAnsi"/>
          <w:i/>
          <w:iCs/>
          <w:sz w:val="22"/>
          <w:szCs w:val="22"/>
        </w:rPr>
        <w:t>Behavior</w:t>
      </w:r>
      <w:proofErr w:type="spellEnd"/>
      <w:r w:rsidRPr="00F771E1">
        <w:rPr>
          <w:rFonts w:asciiTheme="minorHAnsi" w:hAnsiTheme="minorHAnsi" w:cstheme="minorHAnsi"/>
          <w:i/>
          <w:iCs/>
          <w:sz w:val="22"/>
          <w:szCs w:val="22"/>
        </w:rPr>
        <w:t xml:space="preserve">, and Immunity </w:t>
      </w:r>
      <w:r w:rsidRPr="00F771E1">
        <w:rPr>
          <w:rFonts w:asciiTheme="minorHAnsi" w:hAnsiTheme="minorHAnsi" w:cstheme="minorHAnsi"/>
          <w:sz w:val="22"/>
          <w:szCs w:val="22"/>
        </w:rPr>
        <w:t xml:space="preserve">2021; 92: 39-48. </w:t>
      </w:r>
    </w:p>
    <w:p w14:paraId="7106ABDF" w14:textId="77777777" w:rsidR="003A6825" w:rsidRPr="00F771E1" w:rsidRDefault="003A6825" w:rsidP="003A6825">
      <w:pPr>
        <w:pStyle w:val="ng-binding"/>
        <w:numPr>
          <w:ilvl w:val="0"/>
          <w:numId w:val="4"/>
        </w:numPr>
        <w:shd w:val="clear" w:color="auto" w:fill="FFFFFF"/>
        <w:spacing w:before="0" w:beforeAutospacing="0" w:after="0" w:afterAutospacing="0" w:line="480" w:lineRule="auto"/>
        <w:rPr>
          <w:rFonts w:asciiTheme="minorHAnsi" w:hAnsiTheme="minorHAnsi" w:cstheme="minorHAnsi"/>
          <w:sz w:val="22"/>
          <w:szCs w:val="22"/>
        </w:rPr>
      </w:pPr>
      <w:proofErr w:type="spellStart"/>
      <w:r w:rsidRPr="00F771E1">
        <w:rPr>
          <w:rFonts w:asciiTheme="minorHAnsi" w:hAnsiTheme="minorHAnsi" w:cstheme="minorHAnsi"/>
          <w:sz w:val="22"/>
          <w:szCs w:val="22"/>
        </w:rPr>
        <w:t>Stolicyn</w:t>
      </w:r>
      <w:proofErr w:type="spellEnd"/>
      <w:r w:rsidRPr="00F771E1">
        <w:rPr>
          <w:rFonts w:asciiTheme="minorHAnsi" w:hAnsiTheme="minorHAnsi" w:cstheme="minorHAnsi"/>
          <w:sz w:val="22"/>
          <w:szCs w:val="22"/>
        </w:rPr>
        <w:t xml:space="preserve"> A, Harris MA, Shen X, </w:t>
      </w:r>
      <w:proofErr w:type="spellStart"/>
      <w:r w:rsidRPr="00F771E1">
        <w:rPr>
          <w:rFonts w:asciiTheme="minorHAnsi" w:hAnsiTheme="minorHAnsi" w:cstheme="minorHAnsi"/>
          <w:sz w:val="22"/>
          <w:szCs w:val="22"/>
        </w:rPr>
        <w:t>Barbu</w:t>
      </w:r>
      <w:proofErr w:type="spellEnd"/>
      <w:r w:rsidRPr="00F771E1">
        <w:rPr>
          <w:rFonts w:asciiTheme="minorHAnsi" w:hAnsiTheme="minorHAnsi" w:cstheme="minorHAnsi"/>
          <w:sz w:val="22"/>
          <w:szCs w:val="22"/>
        </w:rPr>
        <w:t xml:space="preserve"> MC, Adams MJ, Hawkins EL, </w:t>
      </w:r>
      <w:r w:rsidRPr="00F771E1">
        <w:rPr>
          <w:rFonts w:asciiTheme="minorHAnsi" w:hAnsiTheme="minorHAnsi" w:cstheme="minorHAnsi"/>
          <w:i/>
          <w:iCs/>
          <w:sz w:val="22"/>
          <w:szCs w:val="22"/>
        </w:rPr>
        <w:t>et al</w:t>
      </w:r>
      <w:r w:rsidRPr="00F771E1">
        <w:rPr>
          <w:rFonts w:asciiTheme="minorHAnsi" w:hAnsiTheme="minorHAnsi" w:cstheme="minorHAnsi"/>
          <w:sz w:val="22"/>
          <w:szCs w:val="22"/>
        </w:rPr>
        <w:t>.  Automated classification of depression from structural brain measures across two independent community‐based cohorts.</w:t>
      </w:r>
      <w:r w:rsidRPr="00F771E1">
        <w:rPr>
          <w:rFonts w:asciiTheme="minorHAnsi" w:hAnsiTheme="minorHAnsi" w:cstheme="minorHAnsi"/>
          <w:i/>
          <w:iCs/>
          <w:sz w:val="22"/>
          <w:szCs w:val="22"/>
        </w:rPr>
        <w:t xml:space="preserve"> Hum Brain Mapp </w:t>
      </w:r>
      <w:r w:rsidRPr="00F771E1">
        <w:rPr>
          <w:rFonts w:asciiTheme="minorHAnsi" w:hAnsiTheme="minorHAnsi" w:cstheme="minorHAnsi"/>
          <w:sz w:val="22"/>
          <w:szCs w:val="22"/>
        </w:rPr>
        <w:t xml:space="preserve">2020; 41: 3922-3937. </w:t>
      </w:r>
    </w:p>
    <w:p w14:paraId="27FC6EDE" w14:textId="77777777" w:rsidR="003A6825" w:rsidRPr="00F771E1" w:rsidRDefault="003A6825" w:rsidP="003A6825">
      <w:pPr>
        <w:pStyle w:val="ng-binding"/>
        <w:numPr>
          <w:ilvl w:val="0"/>
          <w:numId w:val="4"/>
        </w:numPr>
        <w:shd w:val="clear" w:color="auto" w:fill="FFFFFF"/>
        <w:spacing w:before="0" w:beforeAutospacing="0" w:after="0" w:afterAutospacing="0" w:line="480" w:lineRule="auto"/>
        <w:rPr>
          <w:rFonts w:asciiTheme="minorHAnsi" w:hAnsiTheme="minorHAnsi" w:cstheme="minorHAnsi"/>
          <w:sz w:val="22"/>
          <w:szCs w:val="22"/>
        </w:rPr>
      </w:pPr>
      <w:r w:rsidRPr="00F771E1">
        <w:rPr>
          <w:rFonts w:asciiTheme="minorHAnsi" w:hAnsiTheme="minorHAnsi" w:cstheme="minorHAnsi"/>
          <w:color w:val="212121"/>
          <w:sz w:val="22"/>
          <w:szCs w:val="22"/>
          <w:shd w:val="clear" w:color="auto" w:fill="FFFFFF"/>
        </w:rPr>
        <w:t xml:space="preserve">Hagler DJ Jr, Hatton S, Cornejo MD, Makowski C, Fair DA, Dick AS, </w:t>
      </w:r>
      <w:r w:rsidRPr="00F771E1">
        <w:rPr>
          <w:rFonts w:asciiTheme="minorHAnsi" w:hAnsiTheme="minorHAnsi" w:cstheme="minorHAnsi"/>
          <w:i/>
          <w:iCs/>
          <w:color w:val="212121"/>
          <w:sz w:val="22"/>
          <w:szCs w:val="22"/>
          <w:shd w:val="clear" w:color="auto" w:fill="FFFFFF"/>
        </w:rPr>
        <w:t>et al</w:t>
      </w:r>
      <w:r w:rsidRPr="00F771E1">
        <w:rPr>
          <w:rFonts w:asciiTheme="minorHAnsi" w:hAnsiTheme="minorHAnsi" w:cstheme="minorHAnsi"/>
          <w:color w:val="212121"/>
          <w:sz w:val="22"/>
          <w:szCs w:val="22"/>
          <w:shd w:val="clear" w:color="auto" w:fill="FFFFFF"/>
        </w:rPr>
        <w:t xml:space="preserve">. Image processing and analysis methods for the Adolescent Brain Cognitive Development Study. </w:t>
      </w:r>
      <w:proofErr w:type="spellStart"/>
      <w:r w:rsidRPr="00F771E1">
        <w:rPr>
          <w:rFonts w:asciiTheme="minorHAnsi" w:hAnsiTheme="minorHAnsi" w:cstheme="minorHAnsi"/>
          <w:i/>
          <w:iCs/>
          <w:color w:val="212121"/>
          <w:sz w:val="22"/>
          <w:szCs w:val="22"/>
          <w:shd w:val="clear" w:color="auto" w:fill="FFFFFF"/>
        </w:rPr>
        <w:t>NeuroImage</w:t>
      </w:r>
      <w:proofErr w:type="spellEnd"/>
      <w:r w:rsidRPr="00F771E1">
        <w:rPr>
          <w:rFonts w:asciiTheme="minorHAnsi" w:hAnsiTheme="minorHAnsi" w:cstheme="minorHAnsi"/>
          <w:color w:val="212121"/>
          <w:sz w:val="22"/>
          <w:szCs w:val="22"/>
          <w:shd w:val="clear" w:color="auto" w:fill="FFFFFF"/>
        </w:rPr>
        <w:t xml:space="preserve"> 2019; 202: 116091.</w:t>
      </w:r>
    </w:p>
    <w:p w14:paraId="1A360102" w14:textId="77777777" w:rsidR="003A6825" w:rsidRPr="00BC68AF" w:rsidRDefault="003A6825" w:rsidP="003A6825">
      <w:pPr>
        <w:pStyle w:val="ng-binding"/>
        <w:numPr>
          <w:ilvl w:val="0"/>
          <w:numId w:val="4"/>
        </w:numPr>
        <w:shd w:val="clear" w:color="auto" w:fill="FFFFFF"/>
        <w:spacing w:before="0" w:beforeAutospacing="0" w:after="0" w:afterAutospacing="0" w:line="480" w:lineRule="auto"/>
        <w:rPr>
          <w:rFonts w:asciiTheme="minorHAnsi" w:hAnsiTheme="minorHAnsi" w:cstheme="minorHAnsi"/>
          <w:sz w:val="20"/>
          <w:szCs w:val="20"/>
          <w:u w:val="single"/>
        </w:rPr>
      </w:pPr>
      <w:r w:rsidRPr="00BC68AF">
        <w:rPr>
          <w:rFonts w:asciiTheme="minorHAnsi" w:hAnsiTheme="minorHAnsi" w:cstheme="minorHAnsi"/>
          <w:color w:val="212121"/>
          <w:sz w:val="22"/>
          <w:szCs w:val="22"/>
          <w:shd w:val="clear" w:color="auto" w:fill="FFFFFF"/>
        </w:rPr>
        <w:t xml:space="preserve">Shen X, </w:t>
      </w:r>
      <w:proofErr w:type="spellStart"/>
      <w:r w:rsidRPr="00BC68AF">
        <w:rPr>
          <w:rFonts w:asciiTheme="minorHAnsi" w:hAnsiTheme="minorHAnsi" w:cstheme="minorHAnsi"/>
          <w:color w:val="212121"/>
          <w:sz w:val="22"/>
          <w:szCs w:val="22"/>
          <w:shd w:val="clear" w:color="auto" w:fill="FFFFFF"/>
        </w:rPr>
        <w:t>MacSweeney</w:t>
      </w:r>
      <w:proofErr w:type="spellEnd"/>
      <w:r w:rsidRPr="00BC68AF">
        <w:rPr>
          <w:rFonts w:asciiTheme="minorHAnsi" w:hAnsiTheme="minorHAnsi" w:cstheme="minorHAnsi"/>
          <w:color w:val="212121"/>
          <w:sz w:val="22"/>
          <w:szCs w:val="22"/>
          <w:shd w:val="clear" w:color="auto" w:fill="FFFFFF"/>
        </w:rPr>
        <w:t xml:space="preserve"> N, Chan SWY, </w:t>
      </w:r>
      <w:proofErr w:type="spellStart"/>
      <w:r w:rsidRPr="00BC68AF">
        <w:rPr>
          <w:rFonts w:asciiTheme="minorHAnsi" w:hAnsiTheme="minorHAnsi" w:cstheme="minorHAnsi"/>
          <w:color w:val="212121"/>
          <w:sz w:val="22"/>
          <w:szCs w:val="22"/>
          <w:shd w:val="clear" w:color="auto" w:fill="FFFFFF"/>
        </w:rPr>
        <w:t>Barbu</w:t>
      </w:r>
      <w:proofErr w:type="spellEnd"/>
      <w:r w:rsidRPr="00BC68AF">
        <w:rPr>
          <w:rFonts w:asciiTheme="minorHAnsi" w:hAnsiTheme="minorHAnsi" w:cstheme="minorHAnsi"/>
          <w:color w:val="212121"/>
          <w:sz w:val="22"/>
          <w:szCs w:val="22"/>
          <w:shd w:val="clear" w:color="auto" w:fill="FFFFFF"/>
        </w:rPr>
        <w:t xml:space="preserve"> MC, Adams MJ, Lawrie SM, </w:t>
      </w:r>
      <w:r w:rsidRPr="00BC68AF">
        <w:rPr>
          <w:rFonts w:asciiTheme="minorHAnsi" w:hAnsiTheme="minorHAnsi" w:cstheme="minorHAnsi"/>
          <w:i/>
          <w:iCs/>
          <w:color w:val="212121"/>
          <w:sz w:val="22"/>
          <w:szCs w:val="22"/>
          <w:shd w:val="clear" w:color="auto" w:fill="FFFFFF"/>
        </w:rPr>
        <w:t>et al</w:t>
      </w:r>
      <w:r w:rsidRPr="00BC68AF">
        <w:rPr>
          <w:rFonts w:asciiTheme="minorHAnsi" w:hAnsiTheme="minorHAnsi" w:cstheme="minorHAnsi"/>
          <w:color w:val="212121"/>
          <w:sz w:val="22"/>
          <w:szCs w:val="22"/>
          <w:shd w:val="clear" w:color="auto" w:fill="FFFFFF"/>
        </w:rPr>
        <w:t xml:space="preserve">. Brain structural associations with depression in a large early adolescent sample (the ABCD study®). </w:t>
      </w:r>
      <w:proofErr w:type="spellStart"/>
      <w:r w:rsidRPr="00BC68AF">
        <w:rPr>
          <w:rFonts w:asciiTheme="minorHAnsi" w:hAnsiTheme="minorHAnsi" w:cstheme="minorHAnsi"/>
          <w:i/>
          <w:iCs/>
          <w:color w:val="212121"/>
          <w:sz w:val="22"/>
          <w:szCs w:val="22"/>
          <w:shd w:val="clear" w:color="auto" w:fill="FFFFFF"/>
        </w:rPr>
        <w:t>EClinicalMedicine</w:t>
      </w:r>
      <w:proofErr w:type="spellEnd"/>
      <w:r w:rsidRPr="00BC68AF">
        <w:rPr>
          <w:rFonts w:asciiTheme="minorHAnsi" w:hAnsiTheme="minorHAnsi" w:cstheme="minorHAnsi"/>
          <w:color w:val="212121"/>
          <w:sz w:val="22"/>
          <w:szCs w:val="22"/>
          <w:shd w:val="clear" w:color="auto" w:fill="FFFFFF"/>
        </w:rPr>
        <w:t xml:space="preserve"> 2021</w:t>
      </w:r>
      <w:r>
        <w:rPr>
          <w:rFonts w:asciiTheme="minorHAnsi" w:hAnsiTheme="minorHAnsi" w:cstheme="minorHAnsi"/>
          <w:color w:val="212121"/>
          <w:sz w:val="22"/>
          <w:szCs w:val="22"/>
          <w:shd w:val="clear" w:color="auto" w:fill="FFFFFF"/>
        </w:rPr>
        <w:t xml:space="preserve">; </w:t>
      </w:r>
      <w:r w:rsidRPr="00BC68AF">
        <w:rPr>
          <w:rFonts w:asciiTheme="minorHAnsi" w:hAnsiTheme="minorHAnsi" w:cstheme="minorHAnsi"/>
          <w:color w:val="212121"/>
          <w:sz w:val="22"/>
          <w:szCs w:val="22"/>
          <w:shd w:val="clear" w:color="auto" w:fill="FFFFFF"/>
        </w:rPr>
        <w:t>42:101204.</w:t>
      </w:r>
    </w:p>
    <w:p w14:paraId="24D172B5" w14:textId="77777777" w:rsidR="003A6825" w:rsidRPr="00F771E1" w:rsidRDefault="003A6825" w:rsidP="003A6825">
      <w:pPr>
        <w:pStyle w:val="ng-binding"/>
        <w:numPr>
          <w:ilvl w:val="0"/>
          <w:numId w:val="4"/>
        </w:numPr>
        <w:shd w:val="clear" w:color="auto" w:fill="FFFFFF"/>
        <w:spacing w:before="0" w:beforeAutospacing="0" w:after="0" w:afterAutospacing="0" w:line="480" w:lineRule="auto"/>
        <w:rPr>
          <w:rFonts w:asciiTheme="minorHAnsi" w:hAnsiTheme="minorHAnsi" w:cstheme="minorHAnsi"/>
          <w:sz w:val="22"/>
          <w:szCs w:val="22"/>
        </w:rPr>
      </w:pPr>
      <w:r w:rsidRPr="00F771E1">
        <w:rPr>
          <w:rFonts w:asciiTheme="minorHAnsi" w:hAnsiTheme="minorHAnsi" w:cstheme="minorHAnsi"/>
          <w:color w:val="212121"/>
          <w:sz w:val="22"/>
          <w:szCs w:val="22"/>
          <w:shd w:val="clear" w:color="auto" w:fill="FFFFFF"/>
        </w:rPr>
        <w:lastRenderedPageBreak/>
        <w:t xml:space="preserve">Howard DM, Adams MJ, Clarke TK, </w:t>
      </w:r>
      <w:proofErr w:type="spellStart"/>
      <w:r w:rsidRPr="00F771E1">
        <w:rPr>
          <w:rFonts w:asciiTheme="minorHAnsi" w:hAnsiTheme="minorHAnsi" w:cstheme="minorHAnsi"/>
          <w:color w:val="212121"/>
          <w:sz w:val="22"/>
          <w:szCs w:val="22"/>
          <w:shd w:val="clear" w:color="auto" w:fill="FFFFFF"/>
        </w:rPr>
        <w:t>Hafferty</w:t>
      </w:r>
      <w:proofErr w:type="spellEnd"/>
      <w:r w:rsidRPr="00F771E1">
        <w:rPr>
          <w:rFonts w:asciiTheme="minorHAnsi" w:hAnsiTheme="minorHAnsi" w:cstheme="minorHAnsi"/>
          <w:color w:val="212121"/>
          <w:sz w:val="22"/>
          <w:szCs w:val="22"/>
          <w:shd w:val="clear" w:color="auto" w:fill="FFFFFF"/>
        </w:rPr>
        <w:t xml:space="preserve"> JD, Gibson J, </w:t>
      </w:r>
      <w:proofErr w:type="spellStart"/>
      <w:r w:rsidRPr="00F771E1">
        <w:rPr>
          <w:rFonts w:asciiTheme="minorHAnsi" w:hAnsiTheme="minorHAnsi" w:cstheme="minorHAnsi"/>
          <w:color w:val="212121"/>
          <w:sz w:val="22"/>
          <w:szCs w:val="22"/>
          <w:shd w:val="clear" w:color="auto" w:fill="FFFFFF"/>
        </w:rPr>
        <w:t>Shirali</w:t>
      </w:r>
      <w:proofErr w:type="spellEnd"/>
      <w:r w:rsidRPr="00F771E1">
        <w:rPr>
          <w:rFonts w:asciiTheme="minorHAnsi" w:hAnsiTheme="minorHAnsi" w:cstheme="minorHAnsi"/>
          <w:color w:val="212121"/>
          <w:sz w:val="22"/>
          <w:szCs w:val="22"/>
          <w:shd w:val="clear" w:color="auto" w:fill="FFFFFF"/>
        </w:rPr>
        <w:t xml:space="preserve"> M, </w:t>
      </w:r>
      <w:r w:rsidRPr="00F771E1">
        <w:rPr>
          <w:rFonts w:asciiTheme="minorHAnsi" w:hAnsiTheme="minorHAnsi" w:cstheme="minorHAnsi"/>
          <w:i/>
          <w:iCs/>
          <w:color w:val="212121"/>
          <w:sz w:val="22"/>
          <w:szCs w:val="22"/>
          <w:shd w:val="clear" w:color="auto" w:fill="FFFFFF"/>
        </w:rPr>
        <w:t>et al</w:t>
      </w:r>
      <w:r w:rsidRPr="00F771E1">
        <w:rPr>
          <w:rFonts w:asciiTheme="minorHAnsi" w:hAnsiTheme="minorHAnsi" w:cstheme="minorHAnsi"/>
          <w:color w:val="212121"/>
          <w:sz w:val="22"/>
          <w:szCs w:val="22"/>
          <w:shd w:val="clear" w:color="auto" w:fill="FFFFFF"/>
        </w:rPr>
        <w:t xml:space="preserve">. Genome-wide meta-analysis of depression identifies 102 independent variants and highlights the importance of the prefrontal brain regions. </w:t>
      </w:r>
      <w:r w:rsidRPr="00F771E1">
        <w:rPr>
          <w:rFonts w:asciiTheme="minorHAnsi" w:hAnsiTheme="minorHAnsi" w:cstheme="minorHAnsi"/>
          <w:i/>
          <w:iCs/>
          <w:color w:val="212121"/>
          <w:sz w:val="22"/>
          <w:szCs w:val="22"/>
          <w:shd w:val="clear" w:color="auto" w:fill="FFFFFF"/>
        </w:rPr>
        <w:t xml:space="preserve">Nat </w:t>
      </w:r>
      <w:proofErr w:type="spellStart"/>
      <w:r w:rsidRPr="00F771E1">
        <w:rPr>
          <w:rFonts w:asciiTheme="minorHAnsi" w:hAnsiTheme="minorHAnsi" w:cstheme="minorHAnsi"/>
          <w:i/>
          <w:iCs/>
          <w:color w:val="212121"/>
          <w:sz w:val="22"/>
          <w:szCs w:val="22"/>
          <w:shd w:val="clear" w:color="auto" w:fill="FFFFFF"/>
        </w:rPr>
        <w:t>Neurosci</w:t>
      </w:r>
      <w:proofErr w:type="spellEnd"/>
      <w:r w:rsidRPr="00F771E1">
        <w:rPr>
          <w:rFonts w:asciiTheme="minorHAnsi" w:hAnsiTheme="minorHAnsi" w:cstheme="minorHAnsi"/>
          <w:color w:val="212121"/>
          <w:sz w:val="22"/>
          <w:szCs w:val="22"/>
          <w:shd w:val="clear" w:color="auto" w:fill="FFFFFF"/>
        </w:rPr>
        <w:t xml:space="preserve"> 2019; 22: 343-352.</w:t>
      </w:r>
    </w:p>
    <w:p w14:paraId="122A6073" w14:textId="77777777" w:rsidR="003A6825" w:rsidRPr="00F771E1" w:rsidRDefault="003A6825" w:rsidP="003A6825">
      <w:pPr>
        <w:pStyle w:val="ListParagraph"/>
        <w:numPr>
          <w:ilvl w:val="0"/>
          <w:numId w:val="4"/>
        </w:numPr>
        <w:spacing w:after="0" w:line="480" w:lineRule="auto"/>
        <w:rPr>
          <w:rFonts w:cstheme="minorHAnsi"/>
          <w:color w:val="212121"/>
          <w:shd w:val="clear" w:color="auto" w:fill="FFFFFF"/>
        </w:rPr>
      </w:pPr>
      <w:proofErr w:type="spellStart"/>
      <w:r w:rsidRPr="00F771E1">
        <w:rPr>
          <w:rFonts w:cstheme="minorHAnsi"/>
          <w:color w:val="212121"/>
          <w:shd w:val="clear" w:color="auto" w:fill="FFFFFF"/>
        </w:rPr>
        <w:t>Schmaal</w:t>
      </w:r>
      <w:proofErr w:type="spellEnd"/>
      <w:r w:rsidRPr="00F771E1">
        <w:rPr>
          <w:rFonts w:cstheme="minorHAnsi"/>
          <w:color w:val="212121"/>
          <w:shd w:val="clear" w:color="auto" w:fill="FFFFFF"/>
        </w:rPr>
        <w:t xml:space="preserve"> L, </w:t>
      </w:r>
      <w:proofErr w:type="spellStart"/>
      <w:r w:rsidRPr="00F771E1">
        <w:rPr>
          <w:rFonts w:cstheme="minorHAnsi"/>
          <w:color w:val="212121"/>
          <w:shd w:val="clear" w:color="auto" w:fill="FFFFFF"/>
        </w:rPr>
        <w:t>Veltman</w:t>
      </w:r>
      <w:proofErr w:type="spellEnd"/>
      <w:r w:rsidRPr="00F771E1">
        <w:rPr>
          <w:rFonts w:cstheme="minorHAnsi"/>
          <w:color w:val="212121"/>
          <w:shd w:val="clear" w:color="auto" w:fill="FFFFFF"/>
        </w:rPr>
        <w:t xml:space="preserve"> DJ, van </w:t>
      </w:r>
      <w:proofErr w:type="spellStart"/>
      <w:r w:rsidRPr="00F771E1">
        <w:rPr>
          <w:rFonts w:cstheme="minorHAnsi"/>
          <w:color w:val="212121"/>
          <w:shd w:val="clear" w:color="auto" w:fill="FFFFFF"/>
        </w:rPr>
        <w:t>Erp</w:t>
      </w:r>
      <w:proofErr w:type="spellEnd"/>
      <w:r w:rsidRPr="00F771E1">
        <w:rPr>
          <w:rFonts w:cstheme="minorHAnsi"/>
          <w:color w:val="212121"/>
          <w:shd w:val="clear" w:color="auto" w:fill="FFFFFF"/>
        </w:rPr>
        <w:t xml:space="preserve"> TG, </w:t>
      </w:r>
      <w:proofErr w:type="spellStart"/>
      <w:r w:rsidRPr="00F771E1">
        <w:rPr>
          <w:rFonts w:cstheme="minorHAnsi"/>
          <w:color w:val="212121"/>
          <w:shd w:val="clear" w:color="auto" w:fill="FFFFFF"/>
        </w:rPr>
        <w:t>Sämann</w:t>
      </w:r>
      <w:proofErr w:type="spellEnd"/>
      <w:r w:rsidRPr="00F771E1">
        <w:rPr>
          <w:rFonts w:cstheme="minorHAnsi"/>
          <w:color w:val="212121"/>
          <w:shd w:val="clear" w:color="auto" w:fill="FFFFFF"/>
        </w:rPr>
        <w:t xml:space="preserve"> PG, </w:t>
      </w:r>
      <w:proofErr w:type="spellStart"/>
      <w:r w:rsidRPr="00F771E1">
        <w:rPr>
          <w:rFonts w:cstheme="minorHAnsi"/>
          <w:color w:val="212121"/>
          <w:shd w:val="clear" w:color="auto" w:fill="FFFFFF"/>
        </w:rPr>
        <w:t>Frodl</w:t>
      </w:r>
      <w:proofErr w:type="spellEnd"/>
      <w:r w:rsidRPr="00F771E1">
        <w:rPr>
          <w:rFonts w:cstheme="minorHAnsi"/>
          <w:color w:val="212121"/>
          <w:shd w:val="clear" w:color="auto" w:fill="FFFFFF"/>
        </w:rPr>
        <w:t xml:space="preserve"> T, </w:t>
      </w:r>
      <w:proofErr w:type="spellStart"/>
      <w:r w:rsidRPr="00F771E1">
        <w:rPr>
          <w:rFonts w:cstheme="minorHAnsi"/>
          <w:color w:val="212121"/>
          <w:shd w:val="clear" w:color="auto" w:fill="FFFFFF"/>
        </w:rPr>
        <w:t>Jahanshad</w:t>
      </w:r>
      <w:proofErr w:type="spellEnd"/>
      <w:r w:rsidRPr="00F771E1">
        <w:rPr>
          <w:rFonts w:cstheme="minorHAnsi"/>
          <w:color w:val="212121"/>
          <w:shd w:val="clear" w:color="auto" w:fill="FFFFFF"/>
        </w:rPr>
        <w:t xml:space="preserve"> N, </w:t>
      </w:r>
      <w:r w:rsidRPr="00F771E1">
        <w:rPr>
          <w:rFonts w:cstheme="minorHAnsi"/>
          <w:i/>
          <w:iCs/>
          <w:color w:val="212121"/>
          <w:shd w:val="clear" w:color="auto" w:fill="FFFFFF"/>
        </w:rPr>
        <w:t>et al</w:t>
      </w:r>
      <w:r w:rsidRPr="00F771E1">
        <w:rPr>
          <w:rFonts w:cstheme="minorHAnsi"/>
          <w:color w:val="212121"/>
          <w:shd w:val="clear" w:color="auto" w:fill="FFFFFF"/>
        </w:rPr>
        <w:t xml:space="preserve">. Subcortical brain alterations in major depressive disorder: findings from the ENIGMA Major Depressive Disorder working group. </w:t>
      </w:r>
      <w:r w:rsidRPr="00F771E1">
        <w:rPr>
          <w:rFonts w:cstheme="minorHAnsi"/>
          <w:i/>
          <w:iCs/>
          <w:color w:val="212121"/>
          <w:shd w:val="clear" w:color="auto" w:fill="FFFFFF"/>
        </w:rPr>
        <w:t>Mol Psychiatry</w:t>
      </w:r>
      <w:r w:rsidRPr="00F771E1">
        <w:rPr>
          <w:rFonts w:cstheme="minorHAnsi"/>
          <w:color w:val="212121"/>
          <w:shd w:val="clear" w:color="auto" w:fill="FFFFFF"/>
        </w:rPr>
        <w:t xml:space="preserve"> 2016; 21: 806-12.</w:t>
      </w:r>
    </w:p>
    <w:p w14:paraId="7EC2D552" w14:textId="77777777" w:rsidR="003A6825" w:rsidRPr="00F771E1" w:rsidRDefault="003A6825" w:rsidP="003A6825">
      <w:pPr>
        <w:pStyle w:val="ListParagraph"/>
        <w:numPr>
          <w:ilvl w:val="0"/>
          <w:numId w:val="4"/>
        </w:numPr>
        <w:spacing w:after="0" w:line="480" w:lineRule="auto"/>
        <w:rPr>
          <w:rFonts w:cstheme="minorHAnsi"/>
          <w:color w:val="212121"/>
          <w:shd w:val="clear" w:color="auto" w:fill="FFFFFF"/>
        </w:rPr>
      </w:pPr>
      <w:proofErr w:type="spellStart"/>
      <w:r w:rsidRPr="00F771E1">
        <w:rPr>
          <w:rFonts w:cstheme="minorHAnsi"/>
          <w:color w:val="212121"/>
          <w:shd w:val="clear" w:color="auto" w:fill="FFFFFF"/>
        </w:rPr>
        <w:t>Schmaal</w:t>
      </w:r>
      <w:proofErr w:type="spellEnd"/>
      <w:r w:rsidRPr="00F771E1">
        <w:rPr>
          <w:rFonts w:cstheme="minorHAnsi"/>
          <w:color w:val="212121"/>
          <w:shd w:val="clear" w:color="auto" w:fill="FFFFFF"/>
        </w:rPr>
        <w:t xml:space="preserve"> L, </w:t>
      </w:r>
      <w:proofErr w:type="spellStart"/>
      <w:r w:rsidRPr="00F771E1">
        <w:rPr>
          <w:rFonts w:cstheme="minorHAnsi"/>
          <w:color w:val="212121"/>
          <w:shd w:val="clear" w:color="auto" w:fill="FFFFFF"/>
        </w:rPr>
        <w:t>Hibar</w:t>
      </w:r>
      <w:proofErr w:type="spellEnd"/>
      <w:r w:rsidRPr="00F771E1">
        <w:rPr>
          <w:rFonts w:cstheme="minorHAnsi"/>
          <w:color w:val="212121"/>
          <w:shd w:val="clear" w:color="auto" w:fill="FFFFFF"/>
        </w:rPr>
        <w:t xml:space="preserve"> DP, </w:t>
      </w:r>
      <w:proofErr w:type="spellStart"/>
      <w:r w:rsidRPr="00F771E1">
        <w:rPr>
          <w:rFonts w:cstheme="minorHAnsi"/>
          <w:color w:val="212121"/>
          <w:shd w:val="clear" w:color="auto" w:fill="FFFFFF"/>
        </w:rPr>
        <w:t>Sämann</w:t>
      </w:r>
      <w:proofErr w:type="spellEnd"/>
      <w:r w:rsidRPr="00F771E1">
        <w:rPr>
          <w:rFonts w:cstheme="minorHAnsi"/>
          <w:color w:val="212121"/>
          <w:shd w:val="clear" w:color="auto" w:fill="FFFFFF"/>
        </w:rPr>
        <w:t xml:space="preserve"> PG, Hall GB, </w:t>
      </w:r>
      <w:proofErr w:type="spellStart"/>
      <w:r w:rsidRPr="00F771E1">
        <w:rPr>
          <w:rFonts w:cstheme="minorHAnsi"/>
          <w:color w:val="212121"/>
          <w:shd w:val="clear" w:color="auto" w:fill="FFFFFF"/>
        </w:rPr>
        <w:t>Baune</w:t>
      </w:r>
      <w:proofErr w:type="spellEnd"/>
      <w:r w:rsidRPr="00F771E1">
        <w:rPr>
          <w:rFonts w:cstheme="minorHAnsi"/>
          <w:color w:val="212121"/>
          <w:shd w:val="clear" w:color="auto" w:fill="FFFFFF"/>
        </w:rPr>
        <w:t xml:space="preserve"> BT, </w:t>
      </w:r>
      <w:proofErr w:type="spellStart"/>
      <w:r w:rsidRPr="00F771E1">
        <w:rPr>
          <w:rFonts w:cstheme="minorHAnsi"/>
          <w:color w:val="212121"/>
          <w:shd w:val="clear" w:color="auto" w:fill="FFFFFF"/>
        </w:rPr>
        <w:t>Jahanshad</w:t>
      </w:r>
      <w:proofErr w:type="spellEnd"/>
      <w:r w:rsidRPr="00F771E1">
        <w:rPr>
          <w:rFonts w:cstheme="minorHAnsi"/>
          <w:color w:val="212121"/>
          <w:shd w:val="clear" w:color="auto" w:fill="FFFFFF"/>
        </w:rPr>
        <w:t xml:space="preserve"> N, </w:t>
      </w:r>
      <w:r w:rsidRPr="00F771E1">
        <w:rPr>
          <w:rFonts w:cstheme="minorHAnsi"/>
          <w:i/>
          <w:iCs/>
          <w:color w:val="212121"/>
          <w:shd w:val="clear" w:color="auto" w:fill="FFFFFF"/>
        </w:rPr>
        <w:t>et al</w:t>
      </w:r>
      <w:r w:rsidRPr="00F771E1">
        <w:rPr>
          <w:rFonts w:cstheme="minorHAnsi"/>
          <w:color w:val="212121"/>
          <w:shd w:val="clear" w:color="auto" w:fill="FFFFFF"/>
        </w:rPr>
        <w:t xml:space="preserve">. Cortical abnormalities in adults and adolescents with major depression based on brain scans from 20 cohorts worldwide in the ENIGMA Major Depressive Disorder Working Group. </w:t>
      </w:r>
      <w:r w:rsidRPr="00F771E1">
        <w:rPr>
          <w:rFonts w:cstheme="minorHAnsi"/>
          <w:i/>
          <w:iCs/>
          <w:color w:val="212121"/>
          <w:shd w:val="clear" w:color="auto" w:fill="FFFFFF"/>
        </w:rPr>
        <w:t>Mol Psychiatry</w:t>
      </w:r>
      <w:r w:rsidRPr="00F771E1">
        <w:rPr>
          <w:rFonts w:cstheme="minorHAnsi"/>
          <w:color w:val="212121"/>
          <w:shd w:val="clear" w:color="auto" w:fill="FFFFFF"/>
        </w:rPr>
        <w:t xml:space="preserve"> 2017; 22: 900-909. </w:t>
      </w:r>
    </w:p>
    <w:p w14:paraId="137E97D0" w14:textId="77777777" w:rsidR="003A6825" w:rsidRPr="00BC68AF" w:rsidRDefault="003A6825" w:rsidP="003A6825">
      <w:pPr>
        <w:pStyle w:val="ListParagraph"/>
        <w:numPr>
          <w:ilvl w:val="0"/>
          <w:numId w:val="4"/>
        </w:numPr>
        <w:spacing w:after="0" w:line="480" w:lineRule="auto"/>
        <w:rPr>
          <w:rFonts w:cstheme="minorHAnsi"/>
          <w:color w:val="212121"/>
          <w:shd w:val="clear" w:color="auto" w:fill="FFFFFF"/>
        </w:rPr>
      </w:pPr>
      <w:r w:rsidRPr="00F771E1">
        <w:rPr>
          <w:rFonts w:cstheme="minorHAnsi"/>
          <w:color w:val="212121"/>
          <w:shd w:val="clear" w:color="auto" w:fill="FFFFFF"/>
        </w:rPr>
        <w:t xml:space="preserve">van </w:t>
      </w:r>
      <w:proofErr w:type="spellStart"/>
      <w:r w:rsidRPr="00F771E1">
        <w:rPr>
          <w:rFonts w:cstheme="minorHAnsi"/>
          <w:color w:val="212121"/>
          <w:shd w:val="clear" w:color="auto" w:fill="FFFFFF"/>
        </w:rPr>
        <w:t>Velzen</w:t>
      </w:r>
      <w:proofErr w:type="spellEnd"/>
      <w:r w:rsidRPr="00F771E1">
        <w:rPr>
          <w:rFonts w:cstheme="minorHAnsi"/>
          <w:color w:val="212121"/>
          <w:shd w:val="clear" w:color="auto" w:fill="FFFFFF"/>
        </w:rPr>
        <w:t xml:space="preserve"> LS, Kelly S, Isaev D, Aleman A, </w:t>
      </w:r>
      <w:proofErr w:type="spellStart"/>
      <w:r w:rsidRPr="00F771E1">
        <w:rPr>
          <w:rFonts w:cstheme="minorHAnsi"/>
          <w:color w:val="212121"/>
          <w:shd w:val="clear" w:color="auto" w:fill="FFFFFF"/>
        </w:rPr>
        <w:t>Aftanas</w:t>
      </w:r>
      <w:proofErr w:type="spellEnd"/>
      <w:r w:rsidRPr="00F771E1">
        <w:rPr>
          <w:rFonts w:cstheme="minorHAnsi"/>
          <w:color w:val="212121"/>
          <w:shd w:val="clear" w:color="auto" w:fill="FFFFFF"/>
        </w:rPr>
        <w:t xml:space="preserve"> LI, Bauer J, </w:t>
      </w:r>
      <w:r w:rsidRPr="00F771E1">
        <w:rPr>
          <w:rFonts w:cstheme="minorHAnsi"/>
          <w:i/>
          <w:iCs/>
          <w:color w:val="212121"/>
          <w:shd w:val="clear" w:color="auto" w:fill="FFFFFF"/>
        </w:rPr>
        <w:t>et al</w:t>
      </w:r>
      <w:r w:rsidRPr="00F771E1">
        <w:rPr>
          <w:rFonts w:cstheme="minorHAnsi"/>
          <w:color w:val="212121"/>
          <w:shd w:val="clear" w:color="auto" w:fill="FFFFFF"/>
        </w:rPr>
        <w:t xml:space="preserve">. White matter disturbances in major depressive disorder: a coordinated analysis across 20 international cohorts in the ENIGMA MDD working group. </w:t>
      </w:r>
      <w:r w:rsidRPr="00F771E1">
        <w:rPr>
          <w:rFonts w:cstheme="minorHAnsi"/>
          <w:i/>
          <w:iCs/>
          <w:color w:val="212121"/>
          <w:shd w:val="clear" w:color="auto" w:fill="FFFFFF"/>
        </w:rPr>
        <w:t>Mol Psychiatry</w:t>
      </w:r>
      <w:r w:rsidRPr="00F771E1">
        <w:rPr>
          <w:rFonts w:cstheme="minorHAnsi"/>
          <w:color w:val="212121"/>
          <w:shd w:val="clear" w:color="auto" w:fill="FFFFFF"/>
        </w:rPr>
        <w:t xml:space="preserve"> 2020; 25: 1511-1525. </w:t>
      </w:r>
    </w:p>
    <w:p w14:paraId="257B32F2" w14:textId="77777777" w:rsidR="00BE2BE5" w:rsidRDefault="00BE2BE5" w:rsidP="00BE2BE5"/>
    <w:p w14:paraId="025E39D2" w14:textId="77777777" w:rsidR="00841D6F" w:rsidRDefault="00841D6F"/>
    <w:sectPr w:rsidR="00841D6F" w:rsidSect="002A14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A3AA2" w14:textId="77777777" w:rsidR="009C1C92" w:rsidRDefault="009C1C92" w:rsidP="002B54BB">
      <w:r>
        <w:separator/>
      </w:r>
    </w:p>
  </w:endnote>
  <w:endnote w:type="continuationSeparator" w:id="0">
    <w:p w14:paraId="6E2E8F9C" w14:textId="77777777" w:rsidR="009C1C92" w:rsidRDefault="009C1C92" w:rsidP="002B5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408F6" w14:textId="77777777" w:rsidR="009C1C92" w:rsidRDefault="009C1C92" w:rsidP="002B54BB">
      <w:r>
        <w:separator/>
      </w:r>
    </w:p>
  </w:footnote>
  <w:footnote w:type="continuationSeparator" w:id="0">
    <w:p w14:paraId="4EC22168" w14:textId="77777777" w:rsidR="009C1C92" w:rsidRDefault="009C1C92" w:rsidP="002B5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F0CEB"/>
    <w:multiLevelType w:val="hybridMultilevel"/>
    <w:tmpl w:val="16366AF2"/>
    <w:lvl w:ilvl="0" w:tplc="7E32D684">
      <w:start w:val="5631"/>
      <w:numFmt w:val="bullet"/>
      <w:lvlText w:val=""/>
      <w:lvlJc w:val="left"/>
      <w:pPr>
        <w:ind w:left="360" w:hanging="360"/>
      </w:pPr>
      <w:rPr>
        <w:rFonts w:ascii="Symbol" w:eastAsiaTheme="minorEastAsia" w:hAnsi="Symbol" w:cstheme="minorHAnsi"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53FB04F6"/>
    <w:multiLevelType w:val="hybridMultilevel"/>
    <w:tmpl w:val="6D167E1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57482F18"/>
    <w:multiLevelType w:val="hybridMultilevel"/>
    <w:tmpl w:val="B8AC3950"/>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67690561"/>
    <w:multiLevelType w:val="hybridMultilevel"/>
    <w:tmpl w:val="4BC0615C"/>
    <w:lvl w:ilvl="0" w:tplc="04F233B6">
      <w:start w:val="5631"/>
      <w:numFmt w:val="bullet"/>
      <w:lvlText w:val=""/>
      <w:lvlJc w:val="left"/>
      <w:pPr>
        <w:ind w:left="720" w:hanging="360"/>
      </w:pPr>
      <w:rPr>
        <w:rFonts w:ascii="Symbol" w:eastAsiaTheme="minorEastAsia" w:hAnsi="Symbol" w:cstheme="minorHAnsi" w:hint="default"/>
        <w:b w:val="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16cid:durableId="339047610">
    <w:abstractNumId w:val="2"/>
  </w:num>
  <w:num w:numId="2" w16cid:durableId="1542936600">
    <w:abstractNumId w:val="3"/>
  </w:num>
  <w:num w:numId="3" w16cid:durableId="1708988558">
    <w:abstractNumId w:val="0"/>
  </w:num>
  <w:num w:numId="4" w16cid:durableId="4421888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BE5"/>
    <w:rsid w:val="000001F3"/>
    <w:rsid w:val="000B4897"/>
    <w:rsid w:val="000F2EB1"/>
    <w:rsid w:val="001243BD"/>
    <w:rsid w:val="00166D32"/>
    <w:rsid w:val="0017217B"/>
    <w:rsid w:val="00185CB6"/>
    <w:rsid w:val="001A20DA"/>
    <w:rsid w:val="002103DE"/>
    <w:rsid w:val="00232030"/>
    <w:rsid w:val="00273B41"/>
    <w:rsid w:val="0028019D"/>
    <w:rsid w:val="002917E8"/>
    <w:rsid w:val="002A1442"/>
    <w:rsid w:val="002B0D16"/>
    <w:rsid w:val="002B54BB"/>
    <w:rsid w:val="002E1C1C"/>
    <w:rsid w:val="002E5CA9"/>
    <w:rsid w:val="003230EF"/>
    <w:rsid w:val="00327B6C"/>
    <w:rsid w:val="0035787D"/>
    <w:rsid w:val="00361BF3"/>
    <w:rsid w:val="003A1AF2"/>
    <w:rsid w:val="003A6825"/>
    <w:rsid w:val="003D3D8A"/>
    <w:rsid w:val="003E1F68"/>
    <w:rsid w:val="003F3F1E"/>
    <w:rsid w:val="00456D6E"/>
    <w:rsid w:val="004B63AF"/>
    <w:rsid w:val="005019AD"/>
    <w:rsid w:val="005147AC"/>
    <w:rsid w:val="005331CE"/>
    <w:rsid w:val="00585A3A"/>
    <w:rsid w:val="005F6247"/>
    <w:rsid w:val="006A7930"/>
    <w:rsid w:val="0076442B"/>
    <w:rsid w:val="007A351B"/>
    <w:rsid w:val="007B305A"/>
    <w:rsid w:val="007F24E1"/>
    <w:rsid w:val="008245C5"/>
    <w:rsid w:val="00841D6F"/>
    <w:rsid w:val="00873F41"/>
    <w:rsid w:val="008E16F1"/>
    <w:rsid w:val="00946200"/>
    <w:rsid w:val="009A5064"/>
    <w:rsid w:val="009B5275"/>
    <w:rsid w:val="009C1C92"/>
    <w:rsid w:val="009E6F01"/>
    <w:rsid w:val="00A70E4F"/>
    <w:rsid w:val="00A900D6"/>
    <w:rsid w:val="00A91AA1"/>
    <w:rsid w:val="00A97129"/>
    <w:rsid w:val="00AB4F6C"/>
    <w:rsid w:val="00B26D49"/>
    <w:rsid w:val="00BA104C"/>
    <w:rsid w:val="00BE1782"/>
    <w:rsid w:val="00BE2BE5"/>
    <w:rsid w:val="00BE6664"/>
    <w:rsid w:val="00C20632"/>
    <w:rsid w:val="00C55BEF"/>
    <w:rsid w:val="00CA3D1E"/>
    <w:rsid w:val="00CB003E"/>
    <w:rsid w:val="00D155FD"/>
    <w:rsid w:val="00D24FE5"/>
    <w:rsid w:val="00DC6BF3"/>
    <w:rsid w:val="00DD7676"/>
    <w:rsid w:val="00DE6D7B"/>
    <w:rsid w:val="00DF1921"/>
    <w:rsid w:val="00DF5A91"/>
    <w:rsid w:val="00E209BB"/>
    <w:rsid w:val="00E20D42"/>
    <w:rsid w:val="00E35641"/>
    <w:rsid w:val="00EB5E13"/>
    <w:rsid w:val="00ED6874"/>
    <w:rsid w:val="00EF3E70"/>
    <w:rsid w:val="00FB5708"/>
    <w:rsid w:val="00FB610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C3238"/>
  <w15:chartTrackingRefBased/>
  <w15:docId w15:val="{AF9DF04C-A298-4515-B8FD-01A017118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0EF"/>
    <w:pPr>
      <w:spacing w:after="0" w:line="240" w:lineRule="auto"/>
    </w:pPr>
    <w:rPr>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2BE5"/>
    <w:rPr>
      <w:color w:val="0000FF"/>
      <w:u w:val="single"/>
    </w:rPr>
  </w:style>
  <w:style w:type="paragraph" w:styleId="ListParagraph">
    <w:name w:val="List Paragraph"/>
    <w:basedOn w:val="Normal"/>
    <w:uiPriority w:val="34"/>
    <w:qFormat/>
    <w:rsid w:val="00BE2BE5"/>
    <w:pPr>
      <w:spacing w:after="160" w:line="259" w:lineRule="auto"/>
      <w:ind w:left="720"/>
      <w:contextualSpacing/>
    </w:pPr>
    <w:rPr>
      <w:sz w:val="22"/>
      <w:szCs w:val="22"/>
      <w:lang w:val="en-SG" w:eastAsia="zh-CN"/>
    </w:rPr>
  </w:style>
  <w:style w:type="paragraph" w:customStyle="1" w:styleId="ng-binding">
    <w:name w:val="ng-binding"/>
    <w:basedOn w:val="Normal"/>
    <w:rsid w:val="00BE2BE5"/>
    <w:pPr>
      <w:spacing w:before="100" w:beforeAutospacing="1" w:after="100" w:afterAutospacing="1"/>
    </w:pPr>
    <w:rPr>
      <w:rFonts w:ascii="Times New Roman" w:eastAsia="Times New Roman" w:hAnsi="Times New Roman" w:cs="Times New Roman"/>
      <w:lang w:val="en-SG" w:eastAsia="zh-CN"/>
    </w:rPr>
  </w:style>
  <w:style w:type="paragraph" w:styleId="CommentText">
    <w:name w:val="annotation text"/>
    <w:basedOn w:val="Normal"/>
    <w:link w:val="CommentTextChar"/>
    <w:uiPriority w:val="99"/>
    <w:unhideWhenUsed/>
    <w:rsid w:val="00273B41"/>
    <w:pPr>
      <w:spacing w:after="160"/>
    </w:pPr>
    <w:rPr>
      <w:sz w:val="20"/>
      <w:szCs w:val="20"/>
      <w:lang w:val="en-SG" w:eastAsia="zh-CN"/>
    </w:rPr>
  </w:style>
  <w:style w:type="character" w:customStyle="1" w:styleId="CommentTextChar">
    <w:name w:val="Comment Text Char"/>
    <w:basedOn w:val="DefaultParagraphFont"/>
    <w:link w:val="CommentText"/>
    <w:uiPriority w:val="99"/>
    <w:rsid w:val="00273B41"/>
    <w:rPr>
      <w:sz w:val="20"/>
      <w:szCs w:val="20"/>
    </w:rPr>
  </w:style>
  <w:style w:type="paragraph" w:styleId="Header">
    <w:name w:val="header"/>
    <w:basedOn w:val="Normal"/>
    <w:link w:val="HeaderChar"/>
    <w:uiPriority w:val="99"/>
    <w:unhideWhenUsed/>
    <w:rsid w:val="002B54BB"/>
    <w:pPr>
      <w:tabs>
        <w:tab w:val="center" w:pos="4513"/>
        <w:tab w:val="right" w:pos="9026"/>
      </w:tabs>
    </w:pPr>
    <w:rPr>
      <w:sz w:val="22"/>
      <w:szCs w:val="22"/>
      <w:lang w:val="en-SG" w:eastAsia="zh-CN"/>
    </w:rPr>
  </w:style>
  <w:style w:type="character" w:customStyle="1" w:styleId="HeaderChar">
    <w:name w:val="Header Char"/>
    <w:basedOn w:val="DefaultParagraphFont"/>
    <w:link w:val="Header"/>
    <w:uiPriority w:val="99"/>
    <w:rsid w:val="002B54BB"/>
  </w:style>
  <w:style w:type="paragraph" w:styleId="Footer">
    <w:name w:val="footer"/>
    <w:basedOn w:val="Normal"/>
    <w:link w:val="FooterChar"/>
    <w:uiPriority w:val="99"/>
    <w:unhideWhenUsed/>
    <w:rsid w:val="002B54BB"/>
    <w:pPr>
      <w:tabs>
        <w:tab w:val="center" w:pos="4513"/>
        <w:tab w:val="right" w:pos="9026"/>
      </w:tabs>
    </w:pPr>
    <w:rPr>
      <w:sz w:val="22"/>
      <w:szCs w:val="22"/>
      <w:lang w:val="en-SG" w:eastAsia="zh-CN"/>
    </w:rPr>
  </w:style>
  <w:style w:type="character" w:customStyle="1" w:styleId="FooterChar">
    <w:name w:val="Footer Char"/>
    <w:basedOn w:val="DefaultParagraphFont"/>
    <w:link w:val="Footer"/>
    <w:uiPriority w:val="99"/>
    <w:rsid w:val="002B5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88607">
      <w:bodyDiv w:val="1"/>
      <w:marLeft w:val="0"/>
      <w:marRight w:val="0"/>
      <w:marTop w:val="0"/>
      <w:marBottom w:val="0"/>
      <w:divBdr>
        <w:top w:val="none" w:sz="0" w:space="0" w:color="auto"/>
        <w:left w:val="none" w:sz="0" w:space="0" w:color="auto"/>
        <w:bottom w:val="none" w:sz="0" w:space="0" w:color="auto"/>
        <w:right w:val="none" w:sz="0" w:space="0" w:color="auto"/>
      </w:divBdr>
    </w:div>
    <w:div w:id="113718670">
      <w:bodyDiv w:val="1"/>
      <w:marLeft w:val="0"/>
      <w:marRight w:val="0"/>
      <w:marTop w:val="0"/>
      <w:marBottom w:val="0"/>
      <w:divBdr>
        <w:top w:val="none" w:sz="0" w:space="0" w:color="auto"/>
        <w:left w:val="none" w:sz="0" w:space="0" w:color="auto"/>
        <w:bottom w:val="none" w:sz="0" w:space="0" w:color="auto"/>
        <w:right w:val="none" w:sz="0" w:space="0" w:color="auto"/>
      </w:divBdr>
    </w:div>
    <w:div w:id="230894798">
      <w:bodyDiv w:val="1"/>
      <w:marLeft w:val="0"/>
      <w:marRight w:val="0"/>
      <w:marTop w:val="0"/>
      <w:marBottom w:val="0"/>
      <w:divBdr>
        <w:top w:val="none" w:sz="0" w:space="0" w:color="auto"/>
        <w:left w:val="none" w:sz="0" w:space="0" w:color="auto"/>
        <w:bottom w:val="none" w:sz="0" w:space="0" w:color="auto"/>
        <w:right w:val="none" w:sz="0" w:space="0" w:color="auto"/>
      </w:divBdr>
    </w:div>
    <w:div w:id="506091346">
      <w:bodyDiv w:val="1"/>
      <w:marLeft w:val="0"/>
      <w:marRight w:val="0"/>
      <w:marTop w:val="0"/>
      <w:marBottom w:val="0"/>
      <w:divBdr>
        <w:top w:val="none" w:sz="0" w:space="0" w:color="auto"/>
        <w:left w:val="none" w:sz="0" w:space="0" w:color="auto"/>
        <w:bottom w:val="none" w:sz="0" w:space="0" w:color="auto"/>
        <w:right w:val="none" w:sz="0" w:space="0" w:color="auto"/>
      </w:divBdr>
    </w:div>
    <w:div w:id="689919789">
      <w:bodyDiv w:val="1"/>
      <w:marLeft w:val="0"/>
      <w:marRight w:val="0"/>
      <w:marTop w:val="0"/>
      <w:marBottom w:val="0"/>
      <w:divBdr>
        <w:top w:val="none" w:sz="0" w:space="0" w:color="auto"/>
        <w:left w:val="none" w:sz="0" w:space="0" w:color="auto"/>
        <w:bottom w:val="none" w:sz="0" w:space="0" w:color="auto"/>
        <w:right w:val="none" w:sz="0" w:space="0" w:color="auto"/>
      </w:divBdr>
    </w:div>
    <w:div w:id="832530871">
      <w:bodyDiv w:val="1"/>
      <w:marLeft w:val="0"/>
      <w:marRight w:val="0"/>
      <w:marTop w:val="0"/>
      <w:marBottom w:val="0"/>
      <w:divBdr>
        <w:top w:val="none" w:sz="0" w:space="0" w:color="auto"/>
        <w:left w:val="none" w:sz="0" w:space="0" w:color="auto"/>
        <w:bottom w:val="none" w:sz="0" w:space="0" w:color="auto"/>
        <w:right w:val="none" w:sz="0" w:space="0" w:color="auto"/>
      </w:divBdr>
    </w:div>
    <w:div w:id="996032144">
      <w:bodyDiv w:val="1"/>
      <w:marLeft w:val="0"/>
      <w:marRight w:val="0"/>
      <w:marTop w:val="0"/>
      <w:marBottom w:val="0"/>
      <w:divBdr>
        <w:top w:val="none" w:sz="0" w:space="0" w:color="auto"/>
        <w:left w:val="none" w:sz="0" w:space="0" w:color="auto"/>
        <w:bottom w:val="none" w:sz="0" w:space="0" w:color="auto"/>
        <w:right w:val="none" w:sz="0" w:space="0" w:color="auto"/>
      </w:divBdr>
    </w:div>
    <w:div w:id="1105419707">
      <w:bodyDiv w:val="1"/>
      <w:marLeft w:val="0"/>
      <w:marRight w:val="0"/>
      <w:marTop w:val="0"/>
      <w:marBottom w:val="0"/>
      <w:divBdr>
        <w:top w:val="none" w:sz="0" w:space="0" w:color="auto"/>
        <w:left w:val="none" w:sz="0" w:space="0" w:color="auto"/>
        <w:bottom w:val="none" w:sz="0" w:space="0" w:color="auto"/>
        <w:right w:val="none" w:sz="0" w:space="0" w:color="auto"/>
      </w:divBdr>
    </w:div>
    <w:div w:id="176626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medimpute.readthedocs.io/en/latest"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an.r-project.org/web/packages/RVIpkg/RVIpkg.pdf"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enigma.ini.usc.edu/protocols/dti-protoco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ithub.com/sritchie73/liftOverPlink"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170BC-5E5E-41E6-B6D5-51CDB1E99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2234</TotalTime>
  <Pages>20</Pages>
  <Words>3773</Words>
  <Characters>21507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Gladi Thng</dc:creator>
  <cp:keywords/>
  <dc:description/>
  <cp:lastModifiedBy>Gladi Thng</cp:lastModifiedBy>
  <cp:revision>72</cp:revision>
  <dcterms:created xsi:type="dcterms:W3CDTF">2022-01-15T01:48:00Z</dcterms:created>
  <dcterms:modified xsi:type="dcterms:W3CDTF">2022-06-15T20:31:00Z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