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0DBA8" w14:textId="77777777" w:rsidR="00D3535C" w:rsidRPr="00863405" w:rsidRDefault="00D3535C" w:rsidP="00D3535C">
      <w:pPr>
        <w:rPr>
          <w:rFonts w:ascii="Times New Roman" w:hAnsi="Times New Roman"/>
          <w:sz w:val="24"/>
          <w:szCs w:val="24"/>
        </w:rPr>
      </w:pPr>
      <w:r>
        <w:rPr>
          <w:rFonts w:ascii="Times New Roman" w:hAnsi="Times New Roman"/>
          <w:sz w:val="24"/>
          <w:szCs w:val="24"/>
        </w:rPr>
        <w:t xml:space="preserve">S1. </w:t>
      </w:r>
      <w:r>
        <w:rPr>
          <w:rFonts w:ascii="Times New Roman" w:hAnsi="Times New Roman"/>
          <w:noProof/>
          <w:sz w:val="24"/>
          <w:szCs w:val="24"/>
          <w:lang w:val="en-US"/>
        </w:rPr>
        <mc:AlternateContent>
          <mc:Choice Requires="wps">
            <w:drawing>
              <wp:anchor distT="0" distB="0" distL="114300" distR="114300" simplePos="0" relativeHeight="251659264" behindDoc="0" locked="0" layoutInCell="0" allowOverlap="1" wp14:anchorId="395B5C3C" wp14:editId="00EE4357">
                <wp:simplePos x="0" y="0"/>
                <wp:positionH relativeFrom="page">
                  <wp:posOffset>10161905</wp:posOffset>
                </wp:positionH>
                <wp:positionV relativeFrom="page">
                  <wp:posOffset>-182880</wp:posOffset>
                </wp:positionV>
                <wp:extent cx="90805" cy="7922260"/>
                <wp:effectExtent l="1905" t="0" r="8890" b="762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2226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00.15pt;margin-top:-14.35pt;width:7.15pt;height:6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" o:allowincell="f" strokecolor="#31849b">
                <w10:wrap anchorx="page" anchory="page"/>
              </v:rect>
            </w:pict>
          </mc:Fallback>
        </mc:AlternateContent>
      </w:r>
      <w:r w:rsidRPr="00863405">
        <w:rPr>
          <w:rFonts w:ascii="Times New Roman" w:hAnsi="Times New Roman"/>
          <w:sz w:val="24"/>
          <w:szCs w:val="24"/>
        </w:rPr>
        <w:t>Electronic search criteria</w:t>
      </w:r>
    </w:p>
    <w:p w14:paraId="5D47AA8D" w14:textId="77777777" w:rsidR="00D3535C" w:rsidRPr="00863405" w:rsidRDefault="00D3535C" w:rsidP="00D3535C">
      <w:pPr>
        <w:rPr>
          <w:rFonts w:ascii="Times New Roman" w:hAnsi="Times New Roman"/>
          <w:sz w:val="24"/>
          <w:szCs w:val="24"/>
        </w:rPr>
      </w:pPr>
    </w:p>
    <w:p w14:paraId="2166BA11"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 cyclothymi$3.ab,ti.</w:t>
      </w:r>
    </w:p>
    <w:p w14:paraId="7CFCE5A7"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2. (mania or manic or hypomania or hypomanic).ab,ti.</w:t>
      </w:r>
    </w:p>
    <w:p w14:paraId="0D0342D0"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3. (affective adj disorder$1).ab,ti.</w:t>
      </w:r>
    </w:p>
    <w:p w14:paraId="5126E4E0"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4. (mood adj disorder$1).ab,ti.</w:t>
      </w:r>
    </w:p>
    <w:p w14:paraId="5C2751DF"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5. (affective adj psychosis).ab,ti.</w:t>
      </w:r>
    </w:p>
    <w:p w14:paraId="6B7CB273"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6. ((bipolar or (bi adj polar)) adj (disorderS2 or depress$4)).ab,ti.</w:t>
      </w:r>
      <w:bookmarkStart w:id="0" w:name="_GoBack"/>
      <w:bookmarkEnd w:id="0"/>
    </w:p>
    <w:p w14:paraId="29D6C8D6"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7. 1 or 2 or 3 or 4 or 5 or 6</w:t>
      </w:r>
    </w:p>
    <w:p w14:paraId="2FE37250" w14:textId="77777777" w:rsidR="00D3535C" w:rsidRPr="00863405" w:rsidRDefault="00D3535C" w:rsidP="00D3535C">
      <w:pPr>
        <w:spacing w:after="0"/>
        <w:rPr>
          <w:rFonts w:ascii="Times New Roman" w:hAnsi="Times New Roman"/>
          <w:sz w:val="24"/>
          <w:szCs w:val="24"/>
          <w:lang w:val="da-DK"/>
        </w:rPr>
      </w:pPr>
      <w:r w:rsidRPr="00863405">
        <w:rPr>
          <w:rFonts w:ascii="Times New Roman" w:hAnsi="Times New Roman"/>
          <w:sz w:val="24"/>
          <w:szCs w:val="24"/>
          <w:lang w:val="da-DK"/>
        </w:rPr>
        <w:t>8. Alcohol-Induced Disorders.ab,ti.</w:t>
      </w:r>
    </w:p>
    <w:p w14:paraId="43A54639" w14:textId="77777777" w:rsidR="00D3535C" w:rsidRPr="00863405" w:rsidRDefault="00D3535C" w:rsidP="00D3535C">
      <w:pPr>
        <w:spacing w:after="0"/>
        <w:rPr>
          <w:rFonts w:ascii="Times New Roman" w:hAnsi="Times New Roman"/>
          <w:sz w:val="24"/>
          <w:szCs w:val="24"/>
          <w:lang w:val="da-DK"/>
        </w:rPr>
      </w:pPr>
      <w:r w:rsidRPr="00863405">
        <w:rPr>
          <w:rFonts w:ascii="Times New Roman" w:hAnsi="Times New Roman"/>
          <w:sz w:val="24"/>
          <w:szCs w:val="24"/>
          <w:lang w:val="da-DK"/>
        </w:rPr>
        <w:t>9. ALCOHOLISM.ab,ti.</w:t>
      </w:r>
    </w:p>
    <w:p w14:paraId="3683C669"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10. (drink$ and (misuse or abuse)).ab,ti.</w:t>
      </w:r>
    </w:p>
    <w:p w14:paraId="785F6B7B"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11. (alcohol$ and (misuse or abuse)).ab,ti.</w:t>
      </w:r>
    </w:p>
    <w:p w14:paraId="7FAB3681"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12. (alcohol$ and (dependen$ or addicti$)).ab,ti.</w:t>
      </w:r>
    </w:p>
    <w:p w14:paraId="6656F78F" w14:textId="77777777" w:rsidR="00D3535C" w:rsidRPr="00863405" w:rsidRDefault="00D3535C" w:rsidP="00D3535C">
      <w:pPr>
        <w:spacing w:after="0"/>
        <w:rPr>
          <w:rFonts w:ascii="Times New Roman" w:hAnsi="Times New Roman"/>
          <w:sz w:val="24"/>
          <w:szCs w:val="24"/>
          <w:lang w:val="da-DK"/>
        </w:rPr>
      </w:pPr>
      <w:r w:rsidRPr="00863405">
        <w:rPr>
          <w:rFonts w:ascii="Times New Roman" w:hAnsi="Times New Roman"/>
          <w:sz w:val="24"/>
          <w:szCs w:val="24"/>
          <w:lang w:val="da-DK"/>
        </w:rPr>
        <w:t>13. Alcohol-Related Disorders.ab,ti.</w:t>
      </w:r>
    </w:p>
    <w:p w14:paraId="31641D2A"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14. 8 or 9 or 10 or 11 or 12 or 13</w:t>
      </w:r>
    </w:p>
    <w:p w14:paraId="68BFA388"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15. 7 and 14</w:t>
      </w:r>
    </w:p>
    <w:p w14:paraId="1AF178FE"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16. epidemiology.ab,ti.</w:t>
      </w:r>
    </w:p>
    <w:p w14:paraId="3CBB60EB"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17. morbidit$3.ab,ti.</w:t>
      </w:r>
    </w:p>
    <w:p w14:paraId="7B81FD7F"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18. prevalence$1.ab,ti.</w:t>
      </w:r>
    </w:p>
    <w:p w14:paraId="44E6E114"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19. incidence.ab,ti.</w:t>
      </w:r>
    </w:p>
    <w:p w14:paraId="6855A47D"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20. ((co$1 adj occurrence) or cooccurrence).ab,ti.</w:t>
      </w:r>
    </w:p>
    <w:p w14:paraId="389442A7"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21. (comorbidity or (coS1 adj morbidity)).ab,ti.</w:t>
      </w:r>
    </w:p>
    <w:p w14:paraId="2ACDC215"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22. 16 or 17 or 18 or 19 or 20 or 21</w:t>
      </w:r>
    </w:p>
    <w:p w14:paraId="329B690F" w14:textId="77777777" w:rsidR="00D3535C" w:rsidRPr="00863405" w:rsidRDefault="00D3535C" w:rsidP="00D3535C">
      <w:pPr>
        <w:spacing w:after="0"/>
        <w:rPr>
          <w:rFonts w:ascii="Times New Roman" w:hAnsi="Times New Roman"/>
          <w:sz w:val="24"/>
          <w:szCs w:val="24"/>
        </w:rPr>
      </w:pPr>
      <w:r w:rsidRPr="00863405">
        <w:rPr>
          <w:rFonts w:ascii="Times New Roman" w:hAnsi="Times New Roman"/>
          <w:sz w:val="24"/>
          <w:szCs w:val="24"/>
        </w:rPr>
        <w:t>23. 15 and 22</w:t>
      </w:r>
    </w:p>
    <w:p w14:paraId="0F1A3E97" w14:textId="77777777" w:rsidR="00D3535C" w:rsidRDefault="00D3535C" w:rsidP="00D3535C">
      <w:pPr>
        <w:rPr>
          <w:rFonts w:ascii="Times New Roman" w:hAnsi="Times New Roman"/>
          <w:sz w:val="24"/>
          <w:szCs w:val="24"/>
        </w:rPr>
        <w:sectPr w:rsidR="00D3535C" w:rsidSect="000C643A">
          <w:pgSz w:w="11906" w:h="16838"/>
          <w:pgMar w:top="1417" w:right="1134" w:bottom="1134" w:left="1134" w:header="708" w:footer="708" w:gutter="0"/>
          <w:cols w:space="708"/>
          <w:docGrid w:linePitch="360"/>
        </w:sectPr>
      </w:pPr>
    </w:p>
    <w:p w14:paraId="7CDFEE09" w14:textId="77777777" w:rsidR="00D3535C" w:rsidRPr="00863405" w:rsidRDefault="00D3535C" w:rsidP="00D3535C">
      <w:pPr>
        <w:outlineLvl w:val="0"/>
        <w:rPr>
          <w:rFonts w:ascii="Times New Roman" w:hAnsi="Times New Roman"/>
          <w:sz w:val="24"/>
          <w:szCs w:val="24"/>
        </w:rPr>
      </w:pPr>
      <w:r>
        <w:rPr>
          <w:rFonts w:ascii="Times New Roman" w:hAnsi="Times New Roman"/>
          <w:sz w:val="24"/>
          <w:szCs w:val="24"/>
        </w:rPr>
        <w:lastRenderedPageBreak/>
        <w:t>S</w:t>
      </w:r>
      <w:r w:rsidRPr="00863405">
        <w:rPr>
          <w:rFonts w:ascii="Times New Roman" w:hAnsi="Times New Roman"/>
          <w:sz w:val="24"/>
          <w:szCs w:val="24"/>
        </w:rPr>
        <w:t>2. List of parameter extracted from each study</w:t>
      </w:r>
    </w:p>
    <w:p w14:paraId="35BBBE8A"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Sampling procedures:</w:t>
      </w:r>
    </w:p>
    <w:p w14:paraId="7E8983EE"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Epidemiological, population based studies</w:t>
      </w:r>
    </w:p>
    <w:p w14:paraId="7C972C75"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 xml:space="preserve">Clinical </w:t>
      </w:r>
      <w:r>
        <w:rPr>
          <w:rFonts w:ascii="Times New Roman" w:hAnsi="Times New Roman"/>
          <w:sz w:val="24"/>
          <w:szCs w:val="24"/>
        </w:rPr>
        <w:t xml:space="preserve">and register based </w:t>
      </w:r>
      <w:r w:rsidRPr="00863405">
        <w:rPr>
          <w:rFonts w:ascii="Times New Roman" w:hAnsi="Times New Roman"/>
          <w:sz w:val="24"/>
          <w:szCs w:val="24"/>
        </w:rPr>
        <w:t>studies</w:t>
      </w:r>
    </w:p>
    <w:p w14:paraId="4E916D07" w14:textId="77777777" w:rsidR="00D3535C"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Country</w:t>
      </w:r>
    </w:p>
    <w:p w14:paraId="3C108E5E"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Setting</w:t>
      </w:r>
    </w:p>
    <w:p w14:paraId="62328A68"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Academic or tertiary centres</w:t>
      </w:r>
    </w:p>
    <w:p w14:paraId="47F4A4F4"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General psychiatric services</w:t>
      </w:r>
    </w:p>
    <w:p w14:paraId="0F68F112"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Mixed</w:t>
      </w:r>
    </w:p>
    <w:p w14:paraId="47F4FD81"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Sample characteristic</w:t>
      </w:r>
    </w:p>
    <w:p w14:paraId="1CAE2006"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Inpatients</w:t>
      </w:r>
    </w:p>
    <w:p w14:paraId="5F0F37B5"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Outpatients</w:t>
      </w:r>
    </w:p>
    <w:p w14:paraId="65D8F710"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Inpatients and outpatients</w:t>
      </w:r>
    </w:p>
    <w:p w14:paraId="4F8B189F"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Primary diagnosis</w:t>
      </w:r>
    </w:p>
    <w:p w14:paraId="263C769D"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Gender distribution</w:t>
      </w:r>
    </w:p>
    <w:p w14:paraId="789F1942"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Diagnostic instruments, way of ascertainment</w:t>
      </w:r>
    </w:p>
    <w:p w14:paraId="0A98E9F9"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Structured interview</w:t>
      </w:r>
    </w:p>
    <w:p w14:paraId="2754A5A3"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Semi-structured interview</w:t>
      </w:r>
    </w:p>
    <w:p w14:paraId="7563302F"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Unstructured interview</w:t>
      </w:r>
    </w:p>
    <w:p w14:paraId="793C7055"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Chart review</w:t>
      </w:r>
    </w:p>
    <w:p w14:paraId="1EAE776C"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Time window</w:t>
      </w:r>
    </w:p>
    <w:p w14:paraId="26283E88"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 xml:space="preserve">Current </w:t>
      </w:r>
    </w:p>
    <w:p w14:paraId="70F3A824"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 xml:space="preserve">In a specific time-frame (usually 12 months) </w:t>
      </w:r>
    </w:p>
    <w:p w14:paraId="4E866AE2"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Lifetime (over the whole life-span)</w:t>
      </w:r>
    </w:p>
    <w:p w14:paraId="15BF390B" w14:textId="77777777" w:rsidR="00D3535C" w:rsidRPr="00863405" w:rsidRDefault="00D3535C" w:rsidP="00D3535C">
      <w:pPr>
        <w:pStyle w:val="Paragrafoelenco"/>
        <w:numPr>
          <w:ilvl w:val="0"/>
          <w:numId w:val="3"/>
        </w:numPr>
        <w:jc w:val="both"/>
        <w:rPr>
          <w:rFonts w:ascii="Times New Roman" w:hAnsi="Times New Roman"/>
          <w:sz w:val="24"/>
          <w:szCs w:val="24"/>
        </w:rPr>
      </w:pPr>
      <w:r w:rsidRPr="00863405">
        <w:rPr>
          <w:rFonts w:ascii="Times New Roman" w:hAnsi="Times New Roman"/>
          <w:sz w:val="24"/>
          <w:szCs w:val="24"/>
        </w:rPr>
        <w:t>Outco</w:t>
      </w:r>
      <w:r>
        <w:rPr>
          <w:rFonts w:ascii="Times New Roman" w:hAnsi="Times New Roman"/>
          <w:sz w:val="24"/>
          <w:szCs w:val="24"/>
        </w:rPr>
        <w:t>me/Diagnostic criteria employed</w:t>
      </w:r>
      <w:r w:rsidRPr="00863405">
        <w:rPr>
          <w:rFonts w:ascii="Times New Roman" w:hAnsi="Times New Roman"/>
          <w:sz w:val="24"/>
          <w:szCs w:val="24"/>
        </w:rPr>
        <w:t>:</w:t>
      </w:r>
    </w:p>
    <w:p w14:paraId="63FC25C6"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RDC alcoholism (Alc);</w:t>
      </w:r>
    </w:p>
    <w:p w14:paraId="5B420168"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ICD-8 alcoholism (Alc);</w:t>
      </w:r>
    </w:p>
    <w:p w14:paraId="0E3CE2E1" w14:textId="77777777" w:rsidR="00D3535C" w:rsidRPr="00863405" w:rsidRDefault="00D3535C" w:rsidP="00D3535C">
      <w:pPr>
        <w:pStyle w:val="Paragrafoelenco"/>
        <w:numPr>
          <w:ilvl w:val="1"/>
          <w:numId w:val="3"/>
        </w:numPr>
        <w:jc w:val="both"/>
        <w:rPr>
          <w:rFonts w:ascii="Times New Roman" w:hAnsi="Times New Roman"/>
          <w:sz w:val="24"/>
          <w:szCs w:val="24"/>
        </w:rPr>
      </w:pPr>
      <w:r>
        <w:rPr>
          <w:rFonts w:ascii="Times New Roman" w:hAnsi="Times New Roman"/>
          <w:sz w:val="24"/>
          <w:szCs w:val="24"/>
        </w:rPr>
        <w:t xml:space="preserve">ICD-10 </w:t>
      </w:r>
      <w:r w:rsidRPr="00863405">
        <w:rPr>
          <w:rFonts w:ascii="Times New Roman" w:hAnsi="Times New Roman"/>
          <w:sz w:val="24"/>
          <w:szCs w:val="24"/>
        </w:rPr>
        <w:t>alcoholism (Alc);</w:t>
      </w:r>
    </w:p>
    <w:p w14:paraId="50D87B06"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DSM-III alcohol use disorders (AUD): alcohol abuse (AA) or alcohol dependence (AD);</w:t>
      </w:r>
    </w:p>
    <w:p w14:paraId="1BF4723E"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DSM-III-R alcohol use disorders (AUD): alcohol abuse (AA) or alcohol dependence (AD);</w:t>
      </w:r>
    </w:p>
    <w:p w14:paraId="0BCF7EEE" w14:textId="77777777" w:rsidR="00D3535C" w:rsidRPr="00863405" w:rsidRDefault="00D3535C" w:rsidP="00D3535C">
      <w:pPr>
        <w:pStyle w:val="Paragrafoelenco"/>
        <w:numPr>
          <w:ilvl w:val="1"/>
          <w:numId w:val="3"/>
        </w:numPr>
        <w:jc w:val="both"/>
        <w:rPr>
          <w:rFonts w:ascii="Times New Roman" w:hAnsi="Times New Roman"/>
          <w:sz w:val="24"/>
          <w:szCs w:val="24"/>
        </w:rPr>
      </w:pPr>
      <w:r w:rsidRPr="00863405">
        <w:rPr>
          <w:rFonts w:ascii="Times New Roman" w:hAnsi="Times New Roman"/>
          <w:sz w:val="24"/>
          <w:szCs w:val="24"/>
        </w:rPr>
        <w:t xml:space="preserve">DSM-IV alcohol use disorders (AUD): alcohol abuse </w:t>
      </w:r>
      <w:r>
        <w:rPr>
          <w:rFonts w:ascii="Times New Roman" w:hAnsi="Times New Roman"/>
          <w:sz w:val="24"/>
          <w:szCs w:val="24"/>
        </w:rPr>
        <w:t>(AA) or alcohol dependence (AD).</w:t>
      </w:r>
    </w:p>
    <w:p w14:paraId="32453219" w14:textId="77777777" w:rsidR="00D3535C" w:rsidRDefault="00D3535C" w:rsidP="00D3535C">
      <w:pPr>
        <w:spacing w:line="480" w:lineRule="auto"/>
        <w:jc w:val="both"/>
        <w:rPr>
          <w:rFonts w:ascii="Times New Roman" w:hAnsi="Times New Roman"/>
          <w:b/>
          <w:sz w:val="24"/>
          <w:szCs w:val="24"/>
        </w:rPr>
        <w:sectPr w:rsidR="00D3535C" w:rsidSect="000C643A">
          <w:pgSz w:w="11906" w:h="16838"/>
          <w:pgMar w:top="1417" w:right="1134" w:bottom="1134" w:left="1134" w:header="708" w:footer="708" w:gutter="0"/>
          <w:cols w:space="708"/>
          <w:docGrid w:linePitch="360"/>
        </w:sectPr>
      </w:pPr>
    </w:p>
    <w:p w14:paraId="239FC76B" w14:textId="77777777" w:rsidR="00D3535C" w:rsidRDefault="00D3535C" w:rsidP="00D3535C">
      <w:pPr>
        <w:spacing w:line="480" w:lineRule="auto"/>
        <w:jc w:val="both"/>
        <w:rPr>
          <w:rFonts w:ascii="Times New Roman" w:hAnsi="Times New Roman"/>
          <w:b/>
          <w:sz w:val="24"/>
          <w:szCs w:val="24"/>
        </w:rPr>
      </w:pPr>
    </w:p>
    <w:p w14:paraId="43B221A6" w14:textId="77777777" w:rsidR="00D3535C" w:rsidRPr="00750185" w:rsidRDefault="00D3535C" w:rsidP="00D3535C">
      <w:pPr>
        <w:spacing w:line="480" w:lineRule="auto"/>
        <w:jc w:val="both"/>
        <w:rPr>
          <w:rFonts w:ascii="Times New Roman" w:hAnsi="Times New Roman"/>
          <w:b/>
          <w:sz w:val="24"/>
          <w:szCs w:val="24"/>
        </w:rPr>
      </w:pPr>
      <w:r w:rsidRPr="00750185">
        <w:rPr>
          <w:rFonts w:ascii="Times New Roman" w:hAnsi="Times New Roman"/>
          <w:b/>
          <w:sz w:val="24"/>
          <w:szCs w:val="24"/>
        </w:rPr>
        <w:t>S3 Detailed studies description</w:t>
      </w:r>
    </w:p>
    <w:p w14:paraId="23C1A59D" w14:textId="77777777" w:rsidR="00D3535C" w:rsidRDefault="00D3535C" w:rsidP="00D3535C">
      <w:pPr>
        <w:spacing w:line="480" w:lineRule="auto"/>
        <w:jc w:val="both"/>
        <w:rPr>
          <w:rFonts w:ascii="Times New Roman" w:hAnsi="Times New Roman"/>
          <w:b/>
          <w:sz w:val="24"/>
          <w:szCs w:val="24"/>
        </w:rPr>
      </w:pPr>
      <w:r w:rsidRPr="00750185">
        <w:rPr>
          <w:rFonts w:ascii="Times New Roman" w:hAnsi="Times New Roman"/>
          <w:b/>
          <w:sz w:val="24"/>
          <w:szCs w:val="24"/>
        </w:rPr>
        <w:t>Table S3a</w:t>
      </w:r>
    </w:p>
    <w:p w14:paraId="56FB3660" w14:textId="77777777" w:rsidR="00D3535C" w:rsidRDefault="00D3535C" w:rsidP="00D3535C">
      <w:pPr>
        <w:spacing w:line="480" w:lineRule="auto"/>
        <w:jc w:val="both"/>
        <w:rPr>
          <w:rFonts w:ascii="Times New Roman" w:hAnsi="Times New Roman"/>
          <w:b/>
          <w:sz w:val="24"/>
          <w:szCs w:val="24"/>
        </w:rPr>
      </w:pPr>
      <w:r>
        <w:rPr>
          <w:rFonts w:ascii="Times New Roman" w:hAnsi="Times New Roman"/>
          <w:b/>
          <w:sz w:val="24"/>
          <w:szCs w:val="24"/>
        </w:rPr>
        <w:t>Epidemiological studies included in the systematic review</w:t>
      </w:r>
    </w:p>
    <w:tbl>
      <w:tblPr>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89"/>
        <w:gridCol w:w="1114"/>
        <w:gridCol w:w="1437"/>
        <w:gridCol w:w="396"/>
        <w:gridCol w:w="995"/>
        <w:gridCol w:w="945"/>
        <w:gridCol w:w="559"/>
        <w:gridCol w:w="1074"/>
        <w:gridCol w:w="1276"/>
        <w:gridCol w:w="1043"/>
        <w:gridCol w:w="1198"/>
        <w:gridCol w:w="709"/>
        <w:gridCol w:w="1417"/>
        <w:gridCol w:w="877"/>
      </w:tblGrid>
      <w:tr w:rsidR="00D3535C" w:rsidRPr="00694969" w14:paraId="134DD4CF" w14:textId="77777777" w:rsidTr="00927C0A">
        <w:trPr>
          <w:trHeight w:val="1600"/>
        </w:trPr>
        <w:tc>
          <w:tcPr>
            <w:tcW w:w="1418" w:type="dxa"/>
            <w:shd w:val="clear" w:color="auto" w:fill="auto"/>
            <w:vAlign w:val="center"/>
            <w:hideMark/>
          </w:tcPr>
          <w:p w14:paraId="7E61DF8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FIRST AUTHOR</w:t>
            </w:r>
          </w:p>
          <w:p w14:paraId="0BC867E1"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YEAR OF PUBLICATION</w:t>
            </w:r>
          </w:p>
        </w:tc>
        <w:tc>
          <w:tcPr>
            <w:tcW w:w="1089" w:type="dxa"/>
            <w:shd w:val="clear" w:color="auto" w:fill="auto"/>
            <w:vAlign w:val="center"/>
            <w:hideMark/>
          </w:tcPr>
          <w:p w14:paraId="2245DAB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COUNTRY</w:t>
            </w:r>
          </w:p>
        </w:tc>
        <w:tc>
          <w:tcPr>
            <w:tcW w:w="1114" w:type="dxa"/>
            <w:shd w:val="clear" w:color="auto" w:fill="auto"/>
            <w:vAlign w:val="center"/>
            <w:hideMark/>
          </w:tcPr>
          <w:p w14:paraId="6CE445E4"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STUDY NAME</w:t>
            </w:r>
          </w:p>
        </w:tc>
        <w:tc>
          <w:tcPr>
            <w:tcW w:w="1437" w:type="dxa"/>
            <w:shd w:val="clear" w:color="auto" w:fill="auto"/>
            <w:vAlign w:val="center"/>
            <w:hideMark/>
          </w:tcPr>
          <w:p w14:paraId="0C5A2A8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STUDY POPULATION</w:t>
            </w:r>
          </w:p>
        </w:tc>
        <w:tc>
          <w:tcPr>
            <w:tcW w:w="396" w:type="dxa"/>
            <w:shd w:val="clear" w:color="auto" w:fill="auto"/>
            <w:textDirection w:val="btLr"/>
            <w:vAlign w:val="center"/>
            <w:hideMark/>
          </w:tcPr>
          <w:p w14:paraId="7A1D2EE9"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MULTI-CENTRIC</w:t>
            </w:r>
          </w:p>
        </w:tc>
        <w:tc>
          <w:tcPr>
            <w:tcW w:w="995" w:type="dxa"/>
            <w:shd w:val="clear" w:color="auto" w:fill="auto"/>
            <w:vAlign w:val="center"/>
            <w:hideMark/>
          </w:tcPr>
          <w:p w14:paraId="4C9DAC9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AGE (YEARS)</w:t>
            </w:r>
          </w:p>
        </w:tc>
        <w:tc>
          <w:tcPr>
            <w:tcW w:w="945" w:type="dxa"/>
            <w:shd w:val="clear" w:color="auto" w:fill="auto"/>
            <w:vAlign w:val="center"/>
            <w:hideMark/>
          </w:tcPr>
          <w:p w14:paraId="57F3C233"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NUMBER OF SUBJECTS</w:t>
            </w:r>
          </w:p>
        </w:tc>
        <w:tc>
          <w:tcPr>
            <w:tcW w:w="559" w:type="dxa"/>
            <w:shd w:val="clear" w:color="auto" w:fill="auto"/>
            <w:textDirection w:val="btLr"/>
            <w:vAlign w:val="center"/>
            <w:hideMark/>
          </w:tcPr>
          <w:p w14:paraId="3D6DFD1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RESPONSE RATE</w:t>
            </w:r>
          </w:p>
        </w:tc>
        <w:tc>
          <w:tcPr>
            <w:tcW w:w="1074" w:type="dxa"/>
            <w:shd w:val="clear" w:color="auto" w:fill="auto"/>
            <w:textDirection w:val="btLr"/>
            <w:vAlign w:val="center"/>
            <w:hideMark/>
          </w:tcPr>
          <w:p w14:paraId="3F9317A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DIAGNOSTIC CRITERIA</w:t>
            </w:r>
          </w:p>
        </w:tc>
        <w:tc>
          <w:tcPr>
            <w:tcW w:w="1276" w:type="dxa"/>
            <w:shd w:val="clear" w:color="auto" w:fill="auto"/>
            <w:vAlign w:val="center"/>
            <w:hideMark/>
          </w:tcPr>
          <w:p w14:paraId="090003CB"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PRIMARY DIAGNOSIS</w:t>
            </w:r>
          </w:p>
        </w:tc>
        <w:tc>
          <w:tcPr>
            <w:tcW w:w="1043" w:type="dxa"/>
            <w:shd w:val="clear" w:color="auto" w:fill="auto"/>
            <w:textDirection w:val="btLr"/>
            <w:vAlign w:val="center"/>
            <w:hideMark/>
          </w:tcPr>
          <w:p w14:paraId="609E423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DIAGNOSTIC INSTRUMENT</w:t>
            </w:r>
          </w:p>
        </w:tc>
        <w:tc>
          <w:tcPr>
            <w:tcW w:w="1198" w:type="dxa"/>
            <w:shd w:val="clear" w:color="auto" w:fill="auto"/>
            <w:textDirection w:val="btLr"/>
            <w:vAlign w:val="center"/>
            <w:hideMark/>
          </w:tcPr>
          <w:p w14:paraId="325EE5B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TIME WINDOW</w:t>
            </w:r>
          </w:p>
        </w:tc>
        <w:tc>
          <w:tcPr>
            <w:tcW w:w="709" w:type="dxa"/>
            <w:shd w:val="clear" w:color="auto" w:fill="auto"/>
            <w:textDirection w:val="btLr"/>
            <w:vAlign w:val="center"/>
            <w:hideMark/>
          </w:tcPr>
          <w:p w14:paraId="7D9E6321"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OUTCOME</w:t>
            </w:r>
          </w:p>
        </w:tc>
        <w:tc>
          <w:tcPr>
            <w:tcW w:w="1417" w:type="dxa"/>
            <w:shd w:val="clear" w:color="auto" w:fill="auto"/>
            <w:vAlign w:val="center"/>
            <w:hideMark/>
          </w:tcPr>
          <w:p w14:paraId="404DF32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CONTROLLED VARIABLES</w:t>
            </w:r>
          </w:p>
        </w:tc>
        <w:tc>
          <w:tcPr>
            <w:tcW w:w="877" w:type="dxa"/>
            <w:shd w:val="clear" w:color="auto" w:fill="auto"/>
            <w:noWrap/>
            <w:vAlign w:val="center"/>
            <w:hideMark/>
          </w:tcPr>
          <w:p w14:paraId="09761D4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Years</w:t>
            </w:r>
          </w:p>
        </w:tc>
      </w:tr>
      <w:tr w:rsidR="00D3535C" w:rsidRPr="00694969" w14:paraId="30F97B61" w14:textId="77777777" w:rsidTr="00927C0A">
        <w:trPr>
          <w:trHeight w:val="40"/>
        </w:trPr>
        <w:tc>
          <w:tcPr>
            <w:tcW w:w="1418" w:type="dxa"/>
            <w:shd w:val="clear" w:color="auto" w:fill="auto"/>
            <w:vAlign w:val="center"/>
            <w:hideMark/>
          </w:tcPr>
          <w:p w14:paraId="2BE9BC8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Regier, 1990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{"citationID":"1qgkvu8qrq","properties":{"formattedCitation":"(Regier et al., 1990)","plainCitation":"(Regier et al., 1990)"},"citationItems":[{"id":154,"uris":["http://zotero.org/users/991106/items/DBVHW8H3"],"uri":["http://zotero.org/users/991106/items/DBVHW8H3"],"itemData":{"id":154,"type":"article-journal","title":"Comorbidity of mental disorders with alcohol and other drug abuse. Results from the Epidemiologic Catchment Area (ECA) Study","container-title":"JAMA: The Journal of the American Medical Association","page":"2511-2518","volume":"264","issue":"19","abstract":"The prevalence of comorbid alcohol, other drug, and mental disorders in the US total community and institutional population was determined from 20,291 persons interviewed in the National Institute of Mental Health Epidemiologic Catchment Area Program. Estimated US population lifetime prevalence rates were 22.5% for any non-substance abuse mental disorder, 13.5% for alcohol dependence-abuse, and 6.1% for other drug dependence-abuse. Among those with a mental disorder, the odds ratio of having some addictive disorder was 2.7, with a lifetime prevalence of about 29% (including an overlapping 22% with an alcohol and 15% with another drug disorder). For those with either an alcohol or other drug disorder, the odds of having the other addictive disorder were seven times greater than in the rest of the population. Among those with an alcohol disorder, 37% had a comorbid mental disorder. The highest mental-addictive disorder comorbidity rate was found for those with drug (other than alcohol) disorders, among whom more than half (53%) were found to have a mental disorder with an odds ratio of 4.5. Individuals treated in specialty mental health and addictive disorder clinical settings have significantly higher odds of having comorbid disorders. Among the institutional settings, comorbidity of addictive and severe mental disorders was highest in the prison population, most notably with antisocial personality, schizophrenia, and bipolar disorders.","note":"PMID: 2232018","journalAbbreviation":"JAMA","author":[{"family":"Regier","given":"D A"},{"family":"Farmer","given":"M E"},{"family":"Rae","given":"D S"},{"family":"Locke","given":"B Z"},{"family":"Keith","given":"S J"},{"family":"Judd","given":"L L"},{"family":"Goodwin","given":"F K"}],"issued":{"year":1990,"month":11,"day":21},"accessed":{"year":2012,"month":3,"day":26},"page-first":"2511"}}],"schema":"https://github.com/citation-style-language/schema/raw/master/csl-citation.json"}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(Regier et al., 1990)</w:t>
            </w:r>
            <w:r w:rsidRPr="00694969">
              <w:rPr>
                <w:rFonts w:ascii="Times New Roman" w:eastAsia="Times New Roman" w:hAnsi="Times New Roman"/>
                <w:bCs/>
                <w:color w:val="000000"/>
                <w:sz w:val="18"/>
                <w:szCs w:val="18"/>
              </w:rPr>
              <w:fldChar w:fldCharType="end"/>
            </w:r>
          </w:p>
        </w:tc>
        <w:tc>
          <w:tcPr>
            <w:tcW w:w="1089" w:type="dxa"/>
            <w:shd w:val="clear" w:color="auto" w:fill="auto"/>
            <w:vAlign w:val="center"/>
            <w:hideMark/>
          </w:tcPr>
          <w:p w14:paraId="40F24AC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114" w:type="dxa"/>
            <w:shd w:val="clear" w:color="auto" w:fill="auto"/>
            <w:vAlign w:val="center"/>
            <w:hideMark/>
          </w:tcPr>
          <w:p w14:paraId="2A2B95E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NIMH Epidemiologic Catchment Area Program (ECA)</w:t>
            </w:r>
          </w:p>
        </w:tc>
        <w:tc>
          <w:tcPr>
            <w:tcW w:w="1437" w:type="dxa"/>
            <w:shd w:val="clear" w:color="auto" w:fill="auto"/>
            <w:vAlign w:val="center"/>
            <w:hideMark/>
          </w:tcPr>
          <w:p w14:paraId="652372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C+I</w:t>
            </w:r>
          </w:p>
        </w:tc>
        <w:tc>
          <w:tcPr>
            <w:tcW w:w="396" w:type="dxa"/>
            <w:shd w:val="clear" w:color="auto" w:fill="auto"/>
            <w:vAlign w:val="center"/>
            <w:hideMark/>
          </w:tcPr>
          <w:p w14:paraId="1BEF44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shd w:val="clear" w:color="auto" w:fill="auto"/>
            <w:vAlign w:val="center"/>
            <w:hideMark/>
          </w:tcPr>
          <w:p w14:paraId="4518275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945" w:type="dxa"/>
            <w:shd w:val="clear" w:color="auto" w:fill="auto"/>
            <w:vAlign w:val="center"/>
            <w:hideMark/>
          </w:tcPr>
          <w:p w14:paraId="4AAA84D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20291</w:t>
            </w:r>
          </w:p>
        </w:tc>
        <w:tc>
          <w:tcPr>
            <w:tcW w:w="559" w:type="dxa"/>
            <w:shd w:val="clear" w:color="auto" w:fill="auto"/>
            <w:vAlign w:val="center"/>
            <w:hideMark/>
          </w:tcPr>
          <w:p w14:paraId="0AB6B0C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0.76</w:t>
            </w:r>
          </w:p>
        </w:tc>
        <w:tc>
          <w:tcPr>
            <w:tcW w:w="1074" w:type="dxa"/>
            <w:shd w:val="clear" w:color="auto" w:fill="auto"/>
            <w:vAlign w:val="center"/>
            <w:hideMark/>
          </w:tcPr>
          <w:p w14:paraId="1DA799A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w:t>
            </w:r>
          </w:p>
        </w:tc>
        <w:tc>
          <w:tcPr>
            <w:tcW w:w="1276" w:type="dxa"/>
            <w:shd w:val="clear" w:color="auto" w:fill="auto"/>
            <w:vAlign w:val="center"/>
            <w:hideMark/>
          </w:tcPr>
          <w:p w14:paraId="41BD94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1043" w:type="dxa"/>
            <w:shd w:val="clear" w:color="auto" w:fill="auto"/>
            <w:vAlign w:val="center"/>
            <w:hideMark/>
          </w:tcPr>
          <w:p w14:paraId="20EB32C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DIS</w:t>
            </w:r>
          </w:p>
        </w:tc>
        <w:tc>
          <w:tcPr>
            <w:tcW w:w="1198" w:type="dxa"/>
            <w:shd w:val="clear" w:color="auto" w:fill="auto"/>
            <w:vAlign w:val="center"/>
            <w:hideMark/>
          </w:tcPr>
          <w:p w14:paraId="7A07FC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shd w:val="clear" w:color="auto" w:fill="auto"/>
            <w:vAlign w:val="center"/>
            <w:hideMark/>
          </w:tcPr>
          <w:p w14:paraId="1F77056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shd w:val="clear" w:color="auto" w:fill="auto"/>
            <w:vAlign w:val="center"/>
            <w:hideMark/>
          </w:tcPr>
          <w:p w14:paraId="3417CD5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race/ethnicity marital status, socio-economic status</w:t>
            </w:r>
          </w:p>
        </w:tc>
        <w:tc>
          <w:tcPr>
            <w:tcW w:w="877" w:type="dxa"/>
            <w:shd w:val="clear" w:color="auto" w:fill="auto"/>
            <w:noWrap/>
            <w:vAlign w:val="center"/>
            <w:hideMark/>
          </w:tcPr>
          <w:p w14:paraId="102D329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1980-1985</w:t>
            </w:r>
          </w:p>
        </w:tc>
      </w:tr>
      <w:tr w:rsidR="00D3535C" w:rsidRPr="00694969" w14:paraId="4B2781C3" w14:textId="77777777" w:rsidTr="00927C0A">
        <w:trPr>
          <w:trHeight w:val="80"/>
        </w:trPr>
        <w:tc>
          <w:tcPr>
            <w:tcW w:w="1418" w:type="dxa"/>
            <w:shd w:val="clear" w:color="auto" w:fill="auto"/>
            <w:vAlign w:val="center"/>
            <w:hideMark/>
          </w:tcPr>
          <w:p w14:paraId="6DFF138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Fogarty, 1994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{"citationID":"1bbbe8ov39","properties":{"formattedCitation":"(Fogarty et al., 1994)","plainCitation":"(Fogarty et al., 1994)"},"citationItems":[{"id":843,"uris":["http://zotero.org/users/991106/items/78ISEJD2"],"uri":["http://zotero.org/users/991106/items/78ISEJD2"],"itemData":{"id":843,"type":"article-journal","title":"Mania.","container-title":"Acta Psychiatrica Scandinavica","page":"16-23","abstract":"Examined mania in 3,258 randomly selected adults, using the Diagnostic Interview Schedule. The lifetime prevalence of mania was 0.6% for both sexes combined. Lifetime morbidity risk was 1.4% for men and 0.6% for women. The mean age of onset was 20 yrs of age for both men and women. 95% of bipolar Ss had their 1st onset by age 26, and less than 5% had their onset before the age of 10 yrs. The mean number of manic episodes was 23. Comorbidity with other disorders occurred in 92% of the manic Ss. Depression, alcohol abuse, substance abuse, and phobias had an increased lifetime prevalence in Ss with a history of a manic episode. (PsycINFO Database Record (c) 2010 APA, all rights reserved).","DOI":"http://dx.doi.org/10.1111/j.1600-0447.1994.tb05787.x","author":[{"family":"Fogarty","given":"F"},{"family":"Russell","given":"J."},{"family":"Newman","given":"S."},{"family":"Bland","given":"R."}],"issued":{"year":1994},"accessed":{"year":2012,"month":4,"day":16},"page-first":"16"}}],"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(Fogarty et al., 1994)</w:t>
            </w:r>
            <w:r w:rsidRPr="00694969">
              <w:rPr>
                <w:rFonts w:ascii="Times New Roman" w:eastAsia="Times New Roman" w:hAnsi="Times New Roman"/>
                <w:bCs/>
                <w:color w:val="000000"/>
                <w:sz w:val="18"/>
                <w:szCs w:val="18"/>
              </w:rPr>
              <w:fldChar w:fldCharType="end"/>
            </w:r>
          </w:p>
        </w:tc>
        <w:tc>
          <w:tcPr>
            <w:tcW w:w="1089" w:type="dxa"/>
            <w:shd w:val="clear" w:color="auto" w:fill="auto"/>
            <w:vAlign w:val="center"/>
            <w:hideMark/>
          </w:tcPr>
          <w:p w14:paraId="6D9BF87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Canada</w:t>
            </w:r>
          </w:p>
        </w:tc>
        <w:tc>
          <w:tcPr>
            <w:tcW w:w="1114" w:type="dxa"/>
            <w:shd w:val="clear" w:color="auto" w:fill="auto"/>
            <w:vAlign w:val="center"/>
            <w:hideMark/>
          </w:tcPr>
          <w:p w14:paraId="13985E94"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37" w:type="dxa"/>
            <w:shd w:val="clear" w:color="auto" w:fill="auto"/>
            <w:vAlign w:val="center"/>
            <w:hideMark/>
          </w:tcPr>
          <w:p w14:paraId="577109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396" w:type="dxa"/>
            <w:shd w:val="clear" w:color="auto" w:fill="auto"/>
            <w:vAlign w:val="center"/>
            <w:hideMark/>
          </w:tcPr>
          <w:p w14:paraId="269162C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995" w:type="dxa"/>
            <w:shd w:val="clear" w:color="auto" w:fill="auto"/>
            <w:vAlign w:val="center"/>
            <w:hideMark/>
          </w:tcPr>
          <w:p w14:paraId="328812D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945" w:type="dxa"/>
            <w:shd w:val="clear" w:color="auto" w:fill="auto"/>
            <w:vAlign w:val="center"/>
            <w:hideMark/>
          </w:tcPr>
          <w:p w14:paraId="294776B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3258</w:t>
            </w:r>
          </w:p>
        </w:tc>
        <w:tc>
          <w:tcPr>
            <w:tcW w:w="559" w:type="dxa"/>
            <w:shd w:val="clear" w:color="auto" w:fill="auto"/>
            <w:vAlign w:val="center"/>
            <w:hideMark/>
          </w:tcPr>
          <w:p w14:paraId="35A1C4D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0.75</w:t>
            </w:r>
          </w:p>
        </w:tc>
        <w:tc>
          <w:tcPr>
            <w:tcW w:w="1074" w:type="dxa"/>
            <w:shd w:val="clear" w:color="auto" w:fill="auto"/>
            <w:vAlign w:val="center"/>
            <w:hideMark/>
          </w:tcPr>
          <w:p w14:paraId="1A0A14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w:t>
            </w:r>
          </w:p>
        </w:tc>
        <w:tc>
          <w:tcPr>
            <w:tcW w:w="1276" w:type="dxa"/>
            <w:shd w:val="clear" w:color="auto" w:fill="auto"/>
            <w:vAlign w:val="center"/>
            <w:hideMark/>
          </w:tcPr>
          <w:p w14:paraId="0FB6A28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Mania</w:t>
            </w:r>
          </w:p>
        </w:tc>
        <w:tc>
          <w:tcPr>
            <w:tcW w:w="1043" w:type="dxa"/>
            <w:shd w:val="clear" w:color="auto" w:fill="auto"/>
            <w:vAlign w:val="center"/>
            <w:hideMark/>
          </w:tcPr>
          <w:p w14:paraId="6C86DEE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DIS</w:t>
            </w:r>
          </w:p>
        </w:tc>
        <w:tc>
          <w:tcPr>
            <w:tcW w:w="1198" w:type="dxa"/>
            <w:shd w:val="clear" w:color="auto" w:fill="auto"/>
            <w:vAlign w:val="center"/>
            <w:hideMark/>
          </w:tcPr>
          <w:p w14:paraId="0D21278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shd w:val="clear" w:color="auto" w:fill="auto"/>
            <w:vAlign w:val="center"/>
            <w:hideMark/>
          </w:tcPr>
          <w:p w14:paraId="4BF6D63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shd w:val="clear" w:color="auto" w:fill="auto"/>
            <w:vAlign w:val="center"/>
            <w:hideMark/>
          </w:tcPr>
          <w:p w14:paraId="5783CF5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household size</w:t>
            </w:r>
          </w:p>
        </w:tc>
        <w:tc>
          <w:tcPr>
            <w:tcW w:w="877" w:type="dxa"/>
            <w:shd w:val="clear" w:color="auto" w:fill="auto"/>
            <w:noWrap/>
            <w:vAlign w:val="center"/>
            <w:hideMark/>
          </w:tcPr>
          <w:p w14:paraId="76B64FF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1983-1986</w:t>
            </w:r>
          </w:p>
        </w:tc>
      </w:tr>
      <w:tr w:rsidR="00D3535C" w:rsidRPr="00694969" w14:paraId="5CFF6C7B" w14:textId="77777777" w:rsidTr="00927C0A">
        <w:trPr>
          <w:trHeight w:val="80"/>
        </w:trPr>
        <w:tc>
          <w:tcPr>
            <w:tcW w:w="1418" w:type="dxa"/>
            <w:shd w:val="clear" w:color="auto" w:fill="auto"/>
            <w:vAlign w:val="center"/>
            <w:hideMark/>
          </w:tcPr>
          <w:p w14:paraId="45AA029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Kessler, 1997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{"citationID":"1rfv4jqoog","properties":{"formattedCitation":"(Kessler et al., 1997)","plainCitation":"(Kessler et al., 1997)"},"citationItems":[{"id":759,"uris":["http://zotero.org/users/991106/items/F4RTDMWW"],"uri":["http://zotero.org/users/991106/items/F4RTDMWW"],"itemData":{"id":759,"type":"article-journal","title":"Lifetime co-occurrence of DSM-III-R alcohol abuse and dependence with other psychiatric disorders in the National Comorbidity Survey.","container-title":"Archives of General Psychiatry","page":"313-321","volume":"54","issue":"4","abstract":"Examined the lifetime patterns of the co-occurrence of Diagnostic and Statistical Manual of Mental Disorders-III-Revised (DSM-III-R) alcohol abuse and dependence with other psychiatric disorders in a large household sample. Data were drawn from 8,098 National Comorbidity Survey (NCS) respondents (aged 15-54). NCS is a nationally representative household survey designed to study patterns and correlates of psychiatric morbidity and comorbidity. Co-occurrence was stronger among females than males. Anxiety and affective disorders constitute the largest proportion of lifetime co-occurring cases among females. Substance disorders, conduct disorder, and antisocial personality disorder account for the majority of co-occurence among males. The majority of Ss with lifetime co-occurence reported that at least 1 other disorder occurred at an earlier age than their alcohol use disorder. A positive pattern of associations was found between lifetime co-occurence and persistence of alcohol abuse among males and between both alcohol abuse and alcohol dependence among females. (PsycINFO Database Record (c) 2010 APA, all rights reserved).","author":[{"family":"Kessler","given":"Ronald"},{"family":"Crum","given":"Rosa"},{"family":"Warner","given":"Lynn"},{"family":"Nelson","given":"Christopher"},{"family":"et al","given":""}],"issued":{"year":1997},"accessed":{"year":2012,"month":4,"day":16},"page-first":"313"}}],"schema":"https://github.com/citation-style-language/schema/raw/master/csl-citation.json"}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(Kessler et al., 1997)</w:t>
            </w:r>
            <w:r w:rsidRPr="00694969">
              <w:rPr>
                <w:rFonts w:ascii="Times New Roman" w:eastAsia="Times New Roman" w:hAnsi="Times New Roman"/>
                <w:bCs/>
                <w:color w:val="000000"/>
                <w:sz w:val="18"/>
                <w:szCs w:val="18"/>
              </w:rPr>
              <w:fldChar w:fldCharType="end"/>
            </w:r>
          </w:p>
        </w:tc>
        <w:tc>
          <w:tcPr>
            <w:tcW w:w="1089" w:type="dxa"/>
            <w:shd w:val="clear" w:color="auto" w:fill="auto"/>
            <w:vAlign w:val="center"/>
            <w:hideMark/>
          </w:tcPr>
          <w:p w14:paraId="2631174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114" w:type="dxa"/>
            <w:shd w:val="clear" w:color="auto" w:fill="auto"/>
            <w:vAlign w:val="center"/>
            <w:hideMark/>
          </w:tcPr>
          <w:p w14:paraId="44576EF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National comorbidity survey (NCS)</w:t>
            </w:r>
          </w:p>
        </w:tc>
        <w:tc>
          <w:tcPr>
            <w:tcW w:w="1437" w:type="dxa"/>
            <w:shd w:val="clear" w:color="auto" w:fill="auto"/>
            <w:vAlign w:val="center"/>
            <w:hideMark/>
          </w:tcPr>
          <w:p w14:paraId="6947CD1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 + students living in campus group housing</w:t>
            </w:r>
          </w:p>
        </w:tc>
        <w:tc>
          <w:tcPr>
            <w:tcW w:w="396" w:type="dxa"/>
            <w:shd w:val="clear" w:color="auto" w:fill="auto"/>
            <w:vAlign w:val="center"/>
            <w:hideMark/>
          </w:tcPr>
          <w:p w14:paraId="0293FEB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shd w:val="clear" w:color="auto" w:fill="auto"/>
            <w:vAlign w:val="center"/>
            <w:hideMark/>
          </w:tcPr>
          <w:p w14:paraId="02A07D8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15-54</w:t>
            </w:r>
          </w:p>
        </w:tc>
        <w:tc>
          <w:tcPr>
            <w:tcW w:w="945" w:type="dxa"/>
            <w:shd w:val="clear" w:color="auto" w:fill="auto"/>
            <w:vAlign w:val="center"/>
            <w:hideMark/>
          </w:tcPr>
          <w:p w14:paraId="61FBF72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8098</w:t>
            </w:r>
          </w:p>
        </w:tc>
        <w:tc>
          <w:tcPr>
            <w:tcW w:w="559" w:type="dxa"/>
            <w:shd w:val="clear" w:color="auto" w:fill="auto"/>
            <w:vAlign w:val="center"/>
            <w:hideMark/>
          </w:tcPr>
          <w:p w14:paraId="1A45D8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0.82</w:t>
            </w:r>
          </w:p>
        </w:tc>
        <w:tc>
          <w:tcPr>
            <w:tcW w:w="1074" w:type="dxa"/>
            <w:shd w:val="clear" w:color="auto" w:fill="auto"/>
            <w:vAlign w:val="center"/>
            <w:hideMark/>
          </w:tcPr>
          <w:p w14:paraId="0487D03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1276" w:type="dxa"/>
            <w:shd w:val="clear" w:color="auto" w:fill="auto"/>
            <w:vAlign w:val="center"/>
            <w:hideMark/>
          </w:tcPr>
          <w:p w14:paraId="694B004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Mania</w:t>
            </w:r>
          </w:p>
        </w:tc>
        <w:tc>
          <w:tcPr>
            <w:tcW w:w="1043" w:type="dxa"/>
            <w:shd w:val="clear" w:color="auto" w:fill="auto"/>
            <w:vAlign w:val="center"/>
            <w:hideMark/>
          </w:tcPr>
          <w:p w14:paraId="7D56962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Modified CIDI2</w:t>
            </w:r>
          </w:p>
        </w:tc>
        <w:tc>
          <w:tcPr>
            <w:tcW w:w="1198" w:type="dxa"/>
            <w:shd w:val="clear" w:color="auto" w:fill="auto"/>
            <w:vAlign w:val="center"/>
            <w:hideMark/>
          </w:tcPr>
          <w:p w14:paraId="7DCA773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shd w:val="clear" w:color="auto" w:fill="auto"/>
            <w:vAlign w:val="center"/>
            <w:hideMark/>
          </w:tcPr>
          <w:p w14:paraId="5B4D0D6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shd w:val="clear" w:color="auto" w:fill="auto"/>
            <w:vAlign w:val="center"/>
            <w:hideMark/>
          </w:tcPr>
          <w:p w14:paraId="3607920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Several socio-demographic variables</w:t>
            </w:r>
          </w:p>
        </w:tc>
        <w:tc>
          <w:tcPr>
            <w:tcW w:w="877" w:type="dxa"/>
            <w:shd w:val="clear" w:color="auto" w:fill="auto"/>
            <w:noWrap/>
            <w:vAlign w:val="center"/>
            <w:hideMark/>
          </w:tcPr>
          <w:p w14:paraId="5B79716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1990-1992</w:t>
            </w:r>
          </w:p>
        </w:tc>
      </w:tr>
      <w:tr w:rsidR="00D3535C" w:rsidRPr="00694969" w14:paraId="6C7D180E" w14:textId="77777777" w:rsidTr="00927C0A">
        <w:trPr>
          <w:trHeight w:val="399"/>
        </w:trPr>
        <w:tc>
          <w:tcPr>
            <w:tcW w:w="1418" w:type="dxa"/>
            <w:vMerge w:val="restart"/>
            <w:shd w:val="clear" w:color="auto" w:fill="auto"/>
            <w:noWrap/>
            <w:vAlign w:val="center"/>
            <w:hideMark/>
          </w:tcPr>
          <w:p w14:paraId="4DF1872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Merikangas 2008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{"citationID":"1alsk7tu88","properties":{"formattedCitation":"(Merikangas et al., 2008)","plainCitation":"(Merikangas et al., 2008)"},"citationItems":[{"id":157,"uris":["http://zotero.org/users/991106/items/ACPTMRRR"],"uri":["http://zotero.org/users/991106/items/ACPTMRRR"],"itemData":{"id":157,"type":"article-journal","title":"Specificity of bipolar spectrum conditions in the comorbidity of mood and substance use disorders: results from the Zurich cohort study","container-title":"Archives of General Psychiatry","page":"47-52","volume":"65","issue":"1","abstract":"CONTEXT\n\nAlthough an association between mood disorders and substance use disorders has been well established, there is a lack of long-term prospective data on the order of onset and subtypes of mood disorders associated with specific substances and their progression.\n\n\nOBJECTIVE\n\nTo estimate the respective risks posed by subtypes of mood disorders or bipolar spectrum conditions for the subsequent development of substance use disorders.\n\n\nDESIGN\n\nSix waves of direct diagnostic interviews were administered to a sample of young adults during a 20-year period. Mood disorders and syndromes assessed at each interview were used to predict the cumulative incidences of substance use disorders at subsequent interview waves.\n\n\nPARTICIPANTS\n\nWe followed up 591 individuals (292 men and 299 women) who were selected at study enrollment from a representative sample of young adults in Zurich, Switzerland.\n\n\nMAIN OUTCOME MEASURES\n\nStructured Diagnostic Interview for Psychopathologic and Somatic Syndromes, a semistructured clinical interview that collected data on the spectrum of expression of mood disorders and substance use and disorders for DSM-III-R and DSM-IV criteria.\n\n\nRESULTS\n\nIndividuals having manic symptoms were at significantly greater risk for the later onset of alcohol abuse/dependence, cannabis use and abuse/dependence, and benzodiazepine use and abuse/dependence. Bipolar II disorder predicted both alcohol abuse/dependence and benzodiazepine use and abuse/dependence. In contrast, major depression was predictive only of later benzodiazepine abuse/dependence.\n\n\nCONCLUSIONS\n\nIn comparison with major depression, bipolar II disorder was associated with the development of alcohol and benzodiazepine use and disorders. There was less specificity of manic symptoms that tended to predict all levels of the substances investigated herein. The different patterns of association between mood disorders and substance use trajectories have important implications for prevention and provide lacking information about underlying mechanisms.","DOI":"10.1001/archgenpsychiatry.2007.18","note":"PMID: 18180428","shortTitle":"Specificity of bipolar spectrum conditions in the comorbidity of mood and substance use disorders","journalAbbreviation":"Arch. Gen. Psychiatry","author":[{"family":"Merikangas","given":"Kathleen R"},{"family":"Herrell","given":"Richard"},{"family":"Swendsen","given":"Joel"},{"family":"Rössler","given":"Wulf"},{"family":"Ajdacic-Gross","given":"Vladeta"},{"family":"Angst","given":"Jules"}],"issued":{"year":2008,"month":1},"accessed":{"year":2012,"month":3,"day":26},"page-first":"47"}}],"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(Merikangas et al., 2008)</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Angst, 1998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{"citationID":"1fnvmhchtb","properties":{"formattedCitation":"(Angst, 1998)","plainCitation":"(Angst, 1998)"},"citationItems":[{"id":1194,"uris":["http://zotero.org/users/991106/items/ESG7HF9V"],"uri":["http://zotero.org/users/991106/items/ESG7HF9V"],"itemData":{"id":1194,"type":"article-journal","title":"The emerging epidemiology of hypomania and bipolar II disorder","container-title":"Journal of Affective Disorders","page":"143-151","volume":"50","issue":"2–3","abstract":"The literature on the lifetime prevalence of the bipolar spectrum suggests rates of 3–6.5%. The Zurich cohort study identified a prevalence rate up to age 35 of 5.5% of DSM-IV hypomania/mania and a further 2.8% for brief hypomania (recurrent and lasting 1–3 days). The validity of DSM-IV hypomania and brief hypomania was demonstrated by a family history of mood disorders, a history of suicide attempts and treatment for depression. Comorbidity with anxiety disorders and substance abuse was found equally in both subtypes of hypomania. The study suggests that recurrent brief hypomania belongs to the bipolar spectrum. The findings should be verified on larger national cohorts in other epidemiological and clinical studies.","DOI":"10.1016/S0165-0327(98)00142-6","author":[{"family":"Angst","given":"Jules"}],"issued":{"year":1998,"month":9,"day":1},"accessed":{"year":2012,"month":4,"day":27},"page-first":"143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(Angst, 1998)</w:t>
            </w:r>
            <w:r w:rsidRPr="00694969">
              <w:rPr>
                <w:rFonts w:ascii="Times New Roman" w:eastAsia="Times New Roman" w:hAnsi="Times New Roman"/>
                <w:bCs/>
                <w:color w:val="000000"/>
                <w:sz w:val="18"/>
                <w:szCs w:val="18"/>
              </w:rPr>
              <w:fldChar w:fldCharType="end"/>
            </w:r>
          </w:p>
        </w:tc>
        <w:tc>
          <w:tcPr>
            <w:tcW w:w="1089" w:type="dxa"/>
            <w:vMerge w:val="restart"/>
            <w:shd w:val="clear" w:color="auto" w:fill="auto"/>
            <w:vAlign w:val="center"/>
            <w:hideMark/>
          </w:tcPr>
          <w:p w14:paraId="45DA75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Switzerland</w:t>
            </w:r>
          </w:p>
        </w:tc>
        <w:tc>
          <w:tcPr>
            <w:tcW w:w="1114" w:type="dxa"/>
            <w:vMerge w:val="restart"/>
            <w:shd w:val="clear" w:color="auto" w:fill="auto"/>
            <w:vAlign w:val="center"/>
            <w:hideMark/>
          </w:tcPr>
          <w:p w14:paraId="68E702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Zurich Cohort Study</w:t>
            </w:r>
          </w:p>
        </w:tc>
        <w:tc>
          <w:tcPr>
            <w:tcW w:w="1437" w:type="dxa"/>
            <w:vMerge w:val="restart"/>
            <w:shd w:val="clear" w:color="auto" w:fill="auto"/>
            <w:vAlign w:val="center"/>
            <w:hideMark/>
          </w:tcPr>
          <w:p w14:paraId="014E795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396" w:type="dxa"/>
            <w:vMerge w:val="restart"/>
            <w:shd w:val="clear" w:color="auto" w:fill="auto"/>
            <w:vAlign w:val="center"/>
            <w:hideMark/>
          </w:tcPr>
          <w:p w14:paraId="3A90DC0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995" w:type="dxa"/>
            <w:vMerge w:val="restart"/>
            <w:shd w:val="clear" w:color="auto" w:fill="auto"/>
            <w:vAlign w:val="center"/>
            <w:hideMark/>
          </w:tcPr>
          <w:p w14:paraId="625532C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19-38</w:t>
            </w:r>
          </w:p>
        </w:tc>
        <w:tc>
          <w:tcPr>
            <w:tcW w:w="945" w:type="dxa"/>
            <w:vMerge w:val="restart"/>
            <w:shd w:val="clear" w:color="auto" w:fill="auto"/>
            <w:vAlign w:val="center"/>
            <w:hideMark/>
          </w:tcPr>
          <w:p w14:paraId="798A2A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4547</w:t>
            </w:r>
          </w:p>
        </w:tc>
        <w:tc>
          <w:tcPr>
            <w:tcW w:w="559" w:type="dxa"/>
            <w:shd w:val="clear" w:color="auto" w:fill="auto"/>
            <w:vAlign w:val="center"/>
            <w:hideMark/>
          </w:tcPr>
          <w:p w14:paraId="4481D6E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1074" w:type="dxa"/>
            <w:vMerge w:val="restart"/>
            <w:shd w:val="clear" w:color="auto" w:fill="auto"/>
            <w:vAlign w:val="center"/>
            <w:hideMark/>
          </w:tcPr>
          <w:p w14:paraId="441EE0E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1276" w:type="dxa"/>
            <w:vMerge w:val="restart"/>
            <w:shd w:val="clear" w:color="auto" w:fill="auto"/>
            <w:vAlign w:val="center"/>
            <w:hideMark/>
          </w:tcPr>
          <w:p w14:paraId="6FA67DC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 Hypomania</w:t>
            </w:r>
          </w:p>
        </w:tc>
        <w:tc>
          <w:tcPr>
            <w:tcW w:w="1043" w:type="dxa"/>
            <w:vMerge w:val="restart"/>
            <w:shd w:val="clear" w:color="auto" w:fill="auto"/>
            <w:vAlign w:val="center"/>
            <w:hideMark/>
          </w:tcPr>
          <w:p w14:paraId="6133BA7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Non structured + SPIKE3 interview</w:t>
            </w:r>
          </w:p>
        </w:tc>
        <w:tc>
          <w:tcPr>
            <w:tcW w:w="1198" w:type="dxa"/>
            <w:shd w:val="clear" w:color="auto" w:fill="auto"/>
            <w:vAlign w:val="center"/>
            <w:hideMark/>
          </w:tcPr>
          <w:p w14:paraId="1885679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shd w:val="clear" w:color="auto" w:fill="auto"/>
            <w:vAlign w:val="center"/>
            <w:hideMark/>
          </w:tcPr>
          <w:p w14:paraId="50E39EB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vMerge w:val="restart"/>
            <w:shd w:val="clear" w:color="auto" w:fill="auto"/>
            <w:vAlign w:val="center"/>
            <w:hideMark/>
          </w:tcPr>
          <w:p w14:paraId="474D89C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None specified</w:t>
            </w:r>
          </w:p>
        </w:tc>
        <w:tc>
          <w:tcPr>
            <w:tcW w:w="877" w:type="dxa"/>
            <w:vMerge w:val="restart"/>
            <w:shd w:val="clear" w:color="auto" w:fill="auto"/>
            <w:noWrap/>
            <w:vAlign w:val="center"/>
            <w:hideMark/>
          </w:tcPr>
          <w:p w14:paraId="04AC99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1979-1999</w:t>
            </w:r>
          </w:p>
        </w:tc>
      </w:tr>
      <w:tr w:rsidR="00D3535C" w:rsidRPr="00694969" w14:paraId="3F3DC28F" w14:textId="77777777" w:rsidTr="00927C0A">
        <w:trPr>
          <w:trHeight w:val="80"/>
        </w:trPr>
        <w:tc>
          <w:tcPr>
            <w:tcW w:w="1418" w:type="dxa"/>
            <w:vMerge/>
            <w:shd w:val="clear" w:color="auto" w:fill="auto"/>
            <w:noWrap/>
            <w:vAlign w:val="center"/>
            <w:hideMark/>
          </w:tcPr>
          <w:p w14:paraId="1610C095" w14:textId="77777777" w:rsidR="00D3535C" w:rsidRPr="00694969" w:rsidRDefault="00D3535C" w:rsidP="00927C0A">
            <w:pPr>
              <w:spacing w:after="0"/>
              <w:jc w:val="center"/>
              <w:rPr>
                <w:rFonts w:ascii="Times New Roman" w:eastAsia="Times New Roman" w:hAnsi="Times New Roman"/>
                <w:bCs/>
                <w:color w:val="000000"/>
                <w:sz w:val="18"/>
                <w:szCs w:val="18"/>
              </w:rPr>
            </w:pPr>
          </w:p>
        </w:tc>
        <w:tc>
          <w:tcPr>
            <w:tcW w:w="1089" w:type="dxa"/>
            <w:vMerge/>
            <w:shd w:val="clear" w:color="auto" w:fill="auto"/>
            <w:vAlign w:val="center"/>
            <w:hideMark/>
          </w:tcPr>
          <w:p w14:paraId="1BB8D266"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14" w:type="dxa"/>
            <w:vMerge/>
            <w:shd w:val="clear" w:color="auto" w:fill="auto"/>
            <w:vAlign w:val="center"/>
            <w:hideMark/>
          </w:tcPr>
          <w:p w14:paraId="1C6C445C"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37" w:type="dxa"/>
            <w:vMerge/>
            <w:shd w:val="clear" w:color="auto" w:fill="auto"/>
            <w:vAlign w:val="center"/>
            <w:hideMark/>
          </w:tcPr>
          <w:p w14:paraId="008744D5"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96" w:type="dxa"/>
            <w:vMerge/>
            <w:shd w:val="clear" w:color="auto" w:fill="auto"/>
            <w:vAlign w:val="center"/>
            <w:hideMark/>
          </w:tcPr>
          <w:p w14:paraId="606856D3"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95" w:type="dxa"/>
            <w:vMerge/>
            <w:shd w:val="clear" w:color="auto" w:fill="auto"/>
            <w:vAlign w:val="center"/>
            <w:hideMark/>
          </w:tcPr>
          <w:p w14:paraId="1DD7C66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45" w:type="dxa"/>
            <w:vMerge/>
            <w:shd w:val="clear" w:color="auto" w:fill="auto"/>
            <w:vAlign w:val="center"/>
            <w:hideMark/>
          </w:tcPr>
          <w:p w14:paraId="79E2417D"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59" w:type="dxa"/>
            <w:shd w:val="clear" w:color="auto" w:fill="auto"/>
            <w:vAlign w:val="center"/>
            <w:hideMark/>
          </w:tcPr>
          <w:p w14:paraId="77F758D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0.69</w:t>
            </w:r>
          </w:p>
        </w:tc>
        <w:tc>
          <w:tcPr>
            <w:tcW w:w="1074" w:type="dxa"/>
            <w:vMerge/>
            <w:shd w:val="clear" w:color="auto" w:fill="auto"/>
            <w:vAlign w:val="center"/>
            <w:hideMark/>
          </w:tcPr>
          <w:p w14:paraId="6717F078"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276" w:type="dxa"/>
            <w:vMerge/>
            <w:shd w:val="clear" w:color="auto" w:fill="auto"/>
            <w:vAlign w:val="center"/>
            <w:hideMark/>
          </w:tcPr>
          <w:p w14:paraId="1C7106A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043" w:type="dxa"/>
            <w:vMerge/>
            <w:shd w:val="clear" w:color="auto" w:fill="auto"/>
            <w:vAlign w:val="center"/>
            <w:hideMark/>
          </w:tcPr>
          <w:p w14:paraId="371842ED"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98" w:type="dxa"/>
            <w:shd w:val="clear" w:color="auto" w:fill="auto"/>
            <w:vAlign w:val="center"/>
            <w:hideMark/>
          </w:tcPr>
          <w:p w14:paraId="38CC624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 years</w:t>
            </w:r>
          </w:p>
        </w:tc>
        <w:tc>
          <w:tcPr>
            <w:tcW w:w="709" w:type="dxa"/>
            <w:shd w:val="clear" w:color="auto" w:fill="auto"/>
            <w:vAlign w:val="center"/>
            <w:hideMark/>
          </w:tcPr>
          <w:p w14:paraId="13E3120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w:t>
            </w:r>
          </w:p>
        </w:tc>
        <w:tc>
          <w:tcPr>
            <w:tcW w:w="1417" w:type="dxa"/>
            <w:vMerge/>
            <w:shd w:val="clear" w:color="auto" w:fill="auto"/>
            <w:vAlign w:val="center"/>
            <w:hideMark/>
          </w:tcPr>
          <w:p w14:paraId="0936DD3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877" w:type="dxa"/>
            <w:vMerge/>
            <w:shd w:val="clear" w:color="auto" w:fill="auto"/>
            <w:noWrap/>
            <w:vAlign w:val="center"/>
            <w:hideMark/>
          </w:tcPr>
          <w:p w14:paraId="18D1AF46"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610B570B" w14:textId="77777777" w:rsidTr="00927C0A">
        <w:trPr>
          <w:trHeight w:val="653"/>
        </w:trPr>
        <w:tc>
          <w:tcPr>
            <w:tcW w:w="1418" w:type="dxa"/>
            <w:vMerge w:val="restart"/>
            <w:shd w:val="clear" w:color="auto" w:fill="auto"/>
            <w:vAlign w:val="center"/>
            <w:hideMark/>
          </w:tcPr>
          <w:p w14:paraId="3F5DAF4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Grant, 2005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{"citationID":"kfd9rttfe","properties":{"formattedCitation":"(Grant et al., 2005)","plainCitation":"(Grant et al., 2005)"},"citationItems":[{"id":156,"uris":["http://zotero.org/users/991106/items/W4C2BNTX"],"uri":["http://zotero.org/users/991106/items/W4C2BNTX"],"itemData":{"id":156,"type":"article-journal","title":"Prevalence, correlates, and comorbidity of bipolar I disorder and axis I and II disorders: results from the National Epidemiologic Survey on Alcohol and Related Conditions","container-title":"The Journal of Clinical Psychiatry","page":"1205-1215","volume":"66","issue":"10","abstract":"OBJECTIVE\n\nTo present nationally representative data on 12-month and lifetime prevalence, correlates, and comorbidity of bipolar I disorder.\n\n\nMETHOD\n\nThe data were derived from the 2001-2002 National Epidemiologic Survey on Alcohol and Related Conditions (N = 43,093). Prevalences and associations of bipolar I disorder with sociodemographic correlates and Axis I and II disorders were determined.\n\n\nRESULTS\n\nPrevalences of 12-month and lifetime DSM-IV bipolar I disorder were 2.0% (95% CI = 1.82 to 2.18) and 3.3% (95% CI = 2.76 to 3.84), respectively, and no sex differences were observed. The odds of bipolar I disorder were significantly greater among Native Americans, younger adults, and respondents who were widowed/separated/divorced and of lower socioeconomic status and significantly lower among Asians and Hispanics (p &lt; .05). Men were significantly (p &lt; .05) more likely to have unipolar mania and earlier onset and longer duration of manic episodes, while women were more likely to have mixed and major depressive episodes and to be treated for manic, mixed, and major depressive episodes. Bipolar I disorder was found to be highly and significantly related (p &lt; .05) to substance use, anxiety, and personality disorders, but not to alcohol abuse.\n\n\nCONCLUSION\n\nBipolar I disorder is more prevalent in the U.S. population than previously estimated, highlighting the underestimation of the economic costs associated with this illness. Associations between bipolar I disorder and Axis I and II disorders were all significant, underscoring the need for systematic assessment of comorbidity among bipolar I patients.","note":"PMID: 16259532","shortTitle":"Prevalence, correlates, and comorbidity of bipolar I disorder and axis I and II disorders","journalAbbreviation":"J Clin Psychiatry","author":[{"family":"Grant","given":"Bridget F"},{"family":"Stinson","given":"Frederick S"},{"family":"Hasin","given":"Deborah S"},{"family":"Dawson","given":"Deborah A"},{"family":"Chou","given":"S Patricia"},{"family":"Ruan","given":"W June"},{"family":"Huang","given":"Boji"}],"issued":{"year":2005,"month":10},"accessed":{"year":2012,"month":3,"day":26},"page-first":"1205"}}],"schema":"https://github.com/citation-style-language/schema/raw/master/csl-citation.json"}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(Grant et al., 2005)</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Goldstein, 2006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{"citationID":"teipovf1l","properties":{"formattedCitation":"(Goldstein and Levitt, 2006)","plainCitation":"(Goldstein and Levitt, 2006)"},"citationItems":[{"id":185,"uris":["http://zotero.org/users/991106/items/XPDEFMN6"],"uri":["http://zotero.org/users/991106/items/XPDEFMN6"],"itemData":{"id":185,"type":"article-journal","title":"Factors associated with temporal priority in comorbid bipolar I disorder and alcohol use disorders: Results from the national epidemiologic survey on alcohol and related conditions","container-title":"The Journal of Clinical Psychiatry","page":"643-649","volume":"67","issue":"4","abstract":"OBJECTIVE\n\nTo compare illness characteristics, comorbidities, treatment utilization, and family history among individuals with comorbid bipolar I disorder and alcohol use disorders (AUD) based on temporal priority of onset.\n\n\nMETHOD\n\nThe 2001-2002 National Epidemiologic Survey on Alcohol and Related Conditions identified respondents with lifetime comorbid bipolar I disorder and AUD for whom AUD were antecedent (Alcohol First; N = 311), the onset of the 2 conditions occurred in the same year (Same Year; N = 113), or bipolar I disorder was antecedent (Bipolar First; N = 233). Diagnoses were generated using the National Institute on Alcohol Abuse and Alcoholism Alcohol Use Disorder and Associated Disabilities Interview Schedule-DSM-IV Version. This study examined between-group differences in bipolar I- and AUD-related variables.\n\n\nRESULTS\n\nBipolar First respondents were most likely to experience prolonged manic episodes. There were no differences in the 12-month prevalence of bipolar I disorder among respondents with prior history of bipolar I disorder. The 12-month prevalence of AUD among respondents with prior history of AUD was lower among Alcohol First respondents compared to Same Year or Bipolar First respondents. Same Year respondents were most likely to seek AUD treatment and reported comparatively short latency between onset and treatment of both bipolar I disorder and AUD. The prevalence of family history of comorbid depression and AUD was greatest among Same Year respondents. Same Year respondents also showed the lowest prevalence of anxiety disorders. Overall psychosocial functioning was similar across groups.\n\n\nCONCLUSION\n\nTemporal priority in comorbid bipolar I disorder and AUD is associated with several significant between-group differences in features of bipolar I disorder and AUD severity, treatment utilization, other comorbidities, and family history. Same-year onset of bipolar I disorder and AUD may be a marker of a specific subtype of bipolar I-AUD comorbidity. Potential implications of these findings are discussed.","note":"PMID: 16669730","shortTitle":"Factors associated with temporal priority in comorbid bipolar I disorder and alcohol use disorders","journalAbbreviation":"J Clin Psychiatry","author":[{"family":"Goldstein","given":"Benjamin I"},{"family":"Levitt","given":"Anthony J"}],"issued":{"year":2006,"month":4},"accessed":{"year":2012,"month":3,"day":26},"page-first":"643"}}],"schema":"https://github.com/citation-style-language/schema/raw/master/csl-citation.json"}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(Goldstein and Levitt, 2006)</w:t>
            </w:r>
            <w:r w:rsidRPr="00694969">
              <w:rPr>
                <w:rFonts w:ascii="Times New Roman" w:eastAsia="Times New Roman" w:hAnsi="Times New Roman"/>
                <w:bCs/>
                <w:color w:val="000000"/>
                <w:sz w:val="18"/>
                <w:szCs w:val="18"/>
              </w:rPr>
              <w:fldChar w:fldCharType="end"/>
            </w:r>
          </w:p>
        </w:tc>
        <w:tc>
          <w:tcPr>
            <w:tcW w:w="1089" w:type="dxa"/>
            <w:vMerge w:val="restart"/>
            <w:shd w:val="clear" w:color="auto" w:fill="auto"/>
            <w:vAlign w:val="center"/>
            <w:hideMark/>
          </w:tcPr>
          <w:p w14:paraId="081A340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114" w:type="dxa"/>
            <w:vMerge w:val="restart"/>
            <w:shd w:val="clear" w:color="auto" w:fill="auto"/>
            <w:vAlign w:val="center"/>
            <w:hideMark/>
          </w:tcPr>
          <w:p w14:paraId="7049AB7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National epidemiologic survey on alcohol and related conditions (NESARC)</w:t>
            </w:r>
          </w:p>
        </w:tc>
        <w:tc>
          <w:tcPr>
            <w:tcW w:w="1437" w:type="dxa"/>
            <w:vMerge w:val="restart"/>
            <w:shd w:val="clear" w:color="auto" w:fill="auto"/>
            <w:vAlign w:val="center"/>
            <w:hideMark/>
          </w:tcPr>
          <w:p w14:paraId="5544727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 Black and Hispanic oversampled</w:t>
            </w:r>
          </w:p>
        </w:tc>
        <w:tc>
          <w:tcPr>
            <w:tcW w:w="396" w:type="dxa"/>
            <w:vMerge w:val="restart"/>
            <w:shd w:val="clear" w:color="auto" w:fill="auto"/>
            <w:vAlign w:val="center"/>
            <w:hideMark/>
          </w:tcPr>
          <w:p w14:paraId="3DE7FE8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vMerge w:val="restart"/>
            <w:shd w:val="clear" w:color="auto" w:fill="auto"/>
            <w:vAlign w:val="center"/>
            <w:hideMark/>
          </w:tcPr>
          <w:p w14:paraId="081D06F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 aged 18-24 oversampled</w:t>
            </w:r>
          </w:p>
        </w:tc>
        <w:tc>
          <w:tcPr>
            <w:tcW w:w="945" w:type="dxa"/>
            <w:vMerge w:val="restart"/>
            <w:shd w:val="clear" w:color="auto" w:fill="auto"/>
            <w:vAlign w:val="center"/>
            <w:hideMark/>
          </w:tcPr>
          <w:p w14:paraId="5CA218B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43093</w:t>
            </w:r>
          </w:p>
        </w:tc>
        <w:tc>
          <w:tcPr>
            <w:tcW w:w="559" w:type="dxa"/>
            <w:vMerge w:val="restart"/>
            <w:shd w:val="clear" w:color="auto" w:fill="auto"/>
            <w:vAlign w:val="center"/>
            <w:hideMark/>
          </w:tcPr>
          <w:p w14:paraId="519AE12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0.81</w:t>
            </w:r>
          </w:p>
        </w:tc>
        <w:tc>
          <w:tcPr>
            <w:tcW w:w="1074" w:type="dxa"/>
            <w:vMerge w:val="restart"/>
            <w:shd w:val="clear" w:color="auto" w:fill="auto"/>
            <w:vAlign w:val="center"/>
            <w:hideMark/>
          </w:tcPr>
          <w:p w14:paraId="3DBD33C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1276" w:type="dxa"/>
            <w:vMerge w:val="restart"/>
            <w:shd w:val="clear" w:color="auto" w:fill="auto"/>
            <w:vAlign w:val="center"/>
            <w:hideMark/>
          </w:tcPr>
          <w:p w14:paraId="1E77DDC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Mania and hypomania</w:t>
            </w:r>
          </w:p>
        </w:tc>
        <w:tc>
          <w:tcPr>
            <w:tcW w:w="1043" w:type="dxa"/>
            <w:vMerge w:val="restart"/>
            <w:shd w:val="clear" w:color="auto" w:fill="auto"/>
            <w:vAlign w:val="center"/>
            <w:hideMark/>
          </w:tcPr>
          <w:p w14:paraId="7784645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AUDASIS-IV</w:t>
            </w:r>
          </w:p>
        </w:tc>
        <w:tc>
          <w:tcPr>
            <w:tcW w:w="1198" w:type="dxa"/>
            <w:shd w:val="clear" w:color="auto" w:fill="auto"/>
            <w:vAlign w:val="center"/>
            <w:hideMark/>
          </w:tcPr>
          <w:p w14:paraId="2D09AB1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shd w:val="clear" w:color="auto" w:fill="auto"/>
            <w:vAlign w:val="center"/>
            <w:hideMark/>
          </w:tcPr>
          <w:p w14:paraId="66F5F47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vMerge w:val="restart"/>
            <w:shd w:val="clear" w:color="auto" w:fill="auto"/>
            <w:vAlign w:val="center"/>
            <w:hideMark/>
          </w:tcPr>
          <w:p w14:paraId="04B041E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race/ethnicity, region</w:t>
            </w:r>
          </w:p>
        </w:tc>
        <w:tc>
          <w:tcPr>
            <w:tcW w:w="877" w:type="dxa"/>
            <w:vMerge w:val="restart"/>
            <w:shd w:val="clear" w:color="auto" w:fill="auto"/>
            <w:noWrap/>
            <w:vAlign w:val="center"/>
            <w:hideMark/>
          </w:tcPr>
          <w:p w14:paraId="78DD68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2001-2002</w:t>
            </w:r>
          </w:p>
        </w:tc>
      </w:tr>
      <w:tr w:rsidR="00D3535C" w:rsidRPr="00694969" w14:paraId="443F05A3" w14:textId="77777777" w:rsidTr="00927C0A">
        <w:trPr>
          <w:trHeight w:val="400"/>
        </w:trPr>
        <w:tc>
          <w:tcPr>
            <w:tcW w:w="1418" w:type="dxa"/>
            <w:vMerge/>
            <w:shd w:val="clear" w:color="auto" w:fill="auto"/>
            <w:vAlign w:val="center"/>
            <w:hideMark/>
          </w:tcPr>
          <w:p w14:paraId="0B172C86" w14:textId="77777777" w:rsidR="00D3535C" w:rsidRPr="00694969" w:rsidRDefault="00D3535C" w:rsidP="00927C0A">
            <w:pPr>
              <w:spacing w:after="0"/>
              <w:jc w:val="center"/>
              <w:rPr>
                <w:rFonts w:ascii="Times New Roman" w:eastAsia="Times New Roman" w:hAnsi="Times New Roman"/>
                <w:bCs/>
                <w:color w:val="000000"/>
                <w:sz w:val="18"/>
                <w:szCs w:val="18"/>
              </w:rPr>
            </w:pPr>
          </w:p>
        </w:tc>
        <w:tc>
          <w:tcPr>
            <w:tcW w:w="1089" w:type="dxa"/>
            <w:vMerge/>
            <w:shd w:val="clear" w:color="auto" w:fill="auto"/>
            <w:vAlign w:val="center"/>
            <w:hideMark/>
          </w:tcPr>
          <w:p w14:paraId="1313B6E5"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14" w:type="dxa"/>
            <w:vMerge/>
            <w:shd w:val="clear" w:color="auto" w:fill="auto"/>
            <w:vAlign w:val="center"/>
            <w:hideMark/>
          </w:tcPr>
          <w:p w14:paraId="765C3B17"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37" w:type="dxa"/>
            <w:vMerge/>
            <w:shd w:val="clear" w:color="auto" w:fill="auto"/>
            <w:vAlign w:val="center"/>
            <w:hideMark/>
          </w:tcPr>
          <w:p w14:paraId="4B53E1A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96" w:type="dxa"/>
            <w:vMerge/>
            <w:shd w:val="clear" w:color="auto" w:fill="auto"/>
            <w:vAlign w:val="center"/>
            <w:hideMark/>
          </w:tcPr>
          <w:p w14:paraId="6C03DC7D"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95" w:type="dxa"/>
            <w:vMerge/>
            <w:shd w:val="clear" w:color="auto" w:fill="auto"/>
            <w:vAlign w:val="center"/>
            <w:hideMark/>
          </w:tcPr>
          <w:p w14:paraId="6B2EA30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45" w:type="dxa"/>
            <w:vMerge/>
            <w:shd w:val="clear" w:color="auto" w:fill="auto"/>
            <w:vAlign w:val="center"/>
            <w:hideMark/>
          </w:tcPr>
          <w:p w14:paraId="7731ABBE"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59" w:type="dxa"/>
            <w:vMerge/>
            <w:shd w:val="clear" w:color="auto" w:fill="auto"/>
            <w:vAlign w:val="center"/>
            <w:hideMark/>
          </w:tcPr>
          <w:p w14:paraId="479694A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074" w:type="dxa"/>
            <w:vMerge/>
            <w:shd w:val="clear" w:color="auto" w:fill="auto"/>
            <w:vAlign w:val="center"/>
            <w:hideMark/>
          </w:tcPr>
          <w:p w14:paraId="76D0C106"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276" w:type="dxa"/>
            <w:vMerge/>
            <w:shd w:val="clear" w:color="auto" w:fill="auto"/>
            <w:vAlign w:val="center"/>
            <w:hideMark/>
          </w:tcPr>
          <w:p w14:paraId="4189E988"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043" w:type="dxa"/>
            <w:vMerge/>
            <w:shd w:val="clear" w:color="auto" w:fill="auto"/>
            <w:vAlign w:val="center"/>
            <w:hideMark/>
          </w:tcPr>
          <w:p w14:paraId="62D0E50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98" w:type="dxa"/>
            <w:shd w:val="clear" w:color="auto" w:fill="auto"/>
            <w:vAlign w:val="center"/>
            <w:hideMark/>
          </w:tcPr>
          <w:p w14:paraId="02EF9A4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 months</w:t>
            </w:r>
          </w:p>
        </w:tc>
        <w:tc>
          <w:tcPr>
            <w:tcW w:w="709" w:type="dxa"/>
            <w:shd w:val="clear" w:color="auto" w:fill="auto"/>
            <w:vAlign w:val="center"/>
            <w:hideMark/>
          </w:tcPr>
          <w:p w14:paraId="3CFE9A5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w:t>
            </w:r>
          </w:p>
        </w:tc>
        <w:tc>
          <w:tcPr>
            <w:tcW w:w="1417" w:type="dxa"/>
            <w:vMerge/>
            <w:shd w:val="clear" w:color="auto" w:fill="auto"/>
            <w:vAlign w:val="center"/>
            <w:hideMark/>
          </w:tcPr>
          <w:p w14:paraId="0E73E1D0"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877" w:type="dxa"/>
            <w:vMerge/>
            <w:shd w:val="clear" w:color="auto" w:fill="auto"/>
            <w:noWrap/>
            <w:vAlign w:val="center"/>
            <w:hideMark/>
          </w:tcPr>
          <w:p w14:paraId="0EAAA9C1"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3AEE6265" w14:textId="77777777" w:rsidTr="00927C0A">
        <w:trPr>
          <w:trHeight w:val="1380"/>
        </w:trPr>
        <w:tc>
          <w:tcPr>
            <w:tcW w:w="1418" w:type="dxa"/>
            <w:vMerge w:val="restart"/>
            <w:shd w:val="clear" w:color="auto" w:fill="auto"/>
            <w:vAlign w:val="center"/>
            <w:hideMark/>
          </w:tcPr>
          <w:p w14:paraId="40C824B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Glantz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{"citationID":"1cipae2hkk","properties":{"formattedCitation":"(Glantz et al., 2009)","plainCitation":"(Glantz et al., 2009)"},"citationItems":[{"id":1236,"uris":["http://zotero.org/users/991106/items/SX75VTMV"],"uri":["http://zotero.org/users/991106/items/SX75VTMV"],"itemData":{"id":1236,"type":"article-journal","title":"Mental disorders as risk factors for later substance dependence: estimates of optimal prevention and treatment benefits","container-title":"Psychological medicine","page":"1365-1377","volume":"39","issue":"8","abstract":"BACKGROUND\n\nAlthough mental disorders have been shown to predict subsequent substance disorders, it is not known whether substance disorders could be cost-effectively prevented by large-scale interventions aimed at prior mental disorders. Although experimental intervention is the only way to resolve this uncertainty, a logically prior question is whether the associations of mental disorders with subsequent substance disorders are strong enough to justify mounting such an intervention. We investigated this question in this study using simulations to estimate the number of substance disorders that might be prevented under several hypothetical intervention scenarios focused on mental disorders.\n\n\nMETHOD\n\nData came from the National Comorbidity Survey Replication (NCS-R), a nationally representative US household survey that retrospectively assessed lifetime history and age of onset of DSM-IV mental and substance disorders. Survival analysis using retrospective age-of-onset reports was used to estimate associations of mental disorders with subsequent substance dependence. Simulations based on the models estimated effect sizes in several hypothetical intervention scenarios.\n\n\nRESULTS\n\nAlthough successful intervention aimed at mental disorders might prevent some proportion of substance dependence, the number of cases of mental disorder that would have to be treated to prevent a single case of substance dependence is estimated to be so high that this would not be a cost-effective way to prevent substance dependence (in the range 76-177 for anxiety-mood disorders and 40-47 for externalizing disorders).\n\n\nCONCLUSIONS\n\nTreatment of prior mental disorders would not be a cost-effective way to prevent substance dependence. However, prevention of substance dependence might be considered an important secondary outcome of interventions for early-onset mental disorders.","DOI":"10.1017/S0033291708004510","note":"PMID: 19046473","shortTitle":"Mental disorders as risk factors for later substance dependence","journalAbbreviation":"Psychol Med","author":[{"family":"Glantz","given":"M D"},{"family":"Anthony","given":"J C"},{"family":"Berglund","given":"P A"},{"family":"Degenhardt","given":"L"},{"family":"Dierker","given":"L"},{"family":"Kalaydjian","given":"A"},{"family":"Merikangas","given":"K R"},{"family":"Ruscio","given":"A M"},{"family":"Swendsen","given":"J"},{"family":"Kessler","given":"R C"}],"issued":{"year":2009,"month":8},"accessed":{"year":2012,"month":5,"day":11},"page-first":"1365"}}],"schema":"https://github.com/citation-style-language/schema/raw/master/csl-citation.json"}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(Glantz et al., 2009)</w:t>
            </w:r>
            <w:r w:rsidRPr="00694969">
              <w:rPr>
                <w:rFonts w:ascii="Times New Roman" w:eastAsia="Times New Roman" w:hAnsi="Times New Roman"/>
                <w:bCs/>
                <w:color w:val="000000"/>
                <w:sz w:val="18"/>
                <w:szCs w:val="18"/>
              </w:rPr>
              <w:fldChar w:fldCharType="end"/>
            </w:r>
          </w:p>
        </w:tc>
        <w:tc>
          <w:tcPr>
            <w:tcW w:w="1089" w:type="dxa"/>
            <w:vMerge w:val="restart"/>
            <w:shd w:val="clear" w:color="auto" w:fill="auto"/>
            <w:vAlign w:val="center"/>
            <w:hideMark/>
          </w:tcPr>
          <w:p w14:paraId="59356CE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114" w:type="dxa"/>
            <w:vMerge w:val="restart"/>
            <w:shd w:val="clear" w:color="auto" w:fill="auto"/>
            <w:vAlign w:val="center"/>
            <w:hideMark/>
          </w:tcPr>
          <w:p w14:paraId="719FAD6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National comorbidity survey Replication (NCS-R)</w:t>
            </w:r>
          </w:p>
        </w:tc>
        <w:tc>
          <w:tcPr>
            <w:tcW w:w="1437" w:type="dxa"/>
            <w:vMerge w:val="restart"/>
            <w:shd w:val="clear" w:color="auto" w:fill="auto"/>
            <w:vAlign w:val="center"/>
            <w:hideMark/>
          </w:tcPr>
          <w:p w14:paraId="15CB96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 English speaking</w:t>
            </w:r>
          </w:p>
        </w:tc>
        <w:tc>
          <w:tcPr>
            <w:tcW w:w="396" w:type="dxa"/>
            <w:vMerge w:val="restart"/>
            <w:shd w:val="clear" w:color="auto" w:fill="auto"/>
            <w:vAlign w:val="center"/>
            <w:hideMark/>
          </w:tcPr>
          <w:p w14:paraId="3E4BC19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vMerge w:val="restart"/>
            <w:shd w:val="clear" w:color="auto" w:fill="auto"/>
            <w:vAlign w:val="center"/>
            <w:hideMark/>
          </w:tcPr>
          <w:p w14:paraId="7B4D8D05" w14:textId="77777777" w:rsidR="00D3535C" w:rsidRPr="00694969" w:rsidRDefault="00D3535C" w:rsidP="00927C0A">
            <w:pPr>
              <w:spacing w:after="0"/>
              <w:jc w:val="center"/>
              <w:rPr>
                <w:rFonts w:ascii="Times New Roman" w:eastAsia="Times New Roman" w:hAnsi="Times New Roman"/>
                <w:sz w:val="18"/>
                <w:szCs w:val="18"/>
              </w:rPr>
            </w:pPr>
            <w:r w:rsidRPr="00694969">
              <w:rPr>
                <w:rFonts w:ascii="Times New Roman" w:eastAsia="Times New Roman" w:hAnsi="Times New Roman"/>
                <w:sz w:val="18"/>
                <w:szCs w:val="18"/>
              </w:rPr>
              <w:t>18-44</w:t>
            </w:r>
          </w:p>
        </w:tc>
        <w:tc>
          <w:tcPr>
            <w:tcW w:w="945" w:type="dxa"/>
            <w:vMerge w:val="restart"/>
            <w:shd w:val="clear" w:color="auto" w:fill="auto"/>
            <w:vAlign w:val="center"/>
            <w:hideMark/>
          </w:tcPr>
          <w:p w14:paraId="6928059B" w14:textId="77777777" w:rsidR="00D3535C" w:rsidRPr="00694969" w:rsidRDefault="00D3535C" w:rsidP="00927C0A">
            <w:pPr>
              <w:spacing w:after="0"/>
              <w:jc w:val="center"/>
              <w:rPr>
                <w:rFonts w:ascii="Times New Roman" w:eastAsia="Times New Roman" w:hAnsi="Times New Roman"/>
                <w:sz w:val="18"/>
                <w:szCs w:val="18"/>
              </w:rPr>
            </w:pPr>
            <w:r w:rsidRPr="00694969">
              <w:rPr>
                <w:rFonts w:ascii="Times New Roman" w:eastAsia="Times New Roman" w:hAnsi="Times New Roman"/>
                <w:sz w:val="18"/>
                <w:szCs w:val="18"/>
              </w:rPr>
              <w:t>92822, 3199</w:t>
            </w:r>
          </w:p>
        </w:tc>
        <w:tc>
          <w:tcPr>
            <w:tcW w:w="559" w:type="dxa"/>
            <w:vMerge w:val="restart"/>
            <w:shd w:val="clear" w:color="auto" w:fill="auto"/>
            <w:vAlign w:val="center"/>
            <w:hideMark/>
          </w:tcPr>
          <w:p w14:paraId="3F6BF0D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0.71</w:t>
            </w:r>
          </w:p>
        </w:tc>
        <w:tc>
          <w:tcPr>
            <w:tcW w:w="1074" w:type="dxa"/>
            <w:vMerge w:val="restart"/>
            <w:shd w:val="clear" w:color="auto" w:fill="auto"/>
            <w:vAlign w:val="center"/>
            <w:hideMark/>
          </w:tcPr>
          <w:p w14:paraId="2B03204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1276" w:type="dxa"/>
            <w:vMerge w:val="restart"/>
            <w:shd w:val="clear" w:color="auto" w:fill="auto"/>
            <w:vAlign w:val="center"/>
            <w:hideMark/>
          </w:tcPr>
          <w:p w14:paraId="31FB0CA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1043" w:type="dxa"/>
            <w:vMerge w:val="restart"/>
            <w:shd w:val="clear" w:color="auto" w:fill="auto"/>
            <w:vAlign w:val="center"/>
            <w:hideMark/>
          </w:tcPr>
          <w:p w14:paraId="072144F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CIDI3.0</w:t>
            </w:r>
          </w:p>
        </w:tc>
        <w:tc>
          <w:tcPr>
            <w:tcW w:w="1198" w:type="dxa"/>
            <w:shd w:val="clear" w:color="auto" w:fill="auto"/>
            <w:vAlign w:val="center"/>
            <w:hideMark/>
          </w:tcPr>
          <w:p w14:paraId="225FEA4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Lifetime</w:t>
            </w:r>
          </w:p>
        </w:tc>
        <w:tc>
          <w:tcPr>
            <w:tcW w:w="709" w:type="dxa"/>
            <w:vMerge w:val="restart"/>
            <w:shd w:val="clear" w:color="auto" w:fill="auto"/>
            <w:vAlign w:val="center"/>
            <w:hideMark/>
          </w:tcPr>
          <w:p w14:paraId="54ABC69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p w14:paraId="5CEE610D" w14:textId="77777777" w:rsidR="00D3535C" w:rsidRPr="00694969" w:rsidRDefault="00D3535C" w:rsidP="00927C0A">
            <w:pPr>
              <w:jc w:val="center"/>
              <w:rPr>
                <w:rFonts w:ascii="Times New Roman" w:eastAsia="Times New Roman" w:hAnsi="Times New Roman"/>
                <w:color w:val="000000"/>
                <w:sz w:val="18"/>
                <w:szCs w:val="18"/>
              </w:rPr>
            </w:pPr>
          </w:p>
        </w:tc>
        <w:tc>
          <w:tcPr>
            <w:tcW w:w="1417" w:type="dxa"/>
            <w:vMerge w:val="restart"/>
            <w:shd w:val="clear" w:color="auto" w:fill="auto"/>
            <w:vAlign w:val="center"/>
            <w:hideMark/>
          </w:tcPr>
          <w:p w14:paraId="400E138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race/ethnicity, education, occupation for the average expected hours of work per week</w:t>
            </w:r>
          </w:p>
        </w:tc>
        <w:tc>
          <w:tcPr>
            <w:tcW w:w="877" w:type="dxa"/>
            <w:vMerge w:val="restart"/>
            <w:shd w:val="clear" w:color="auto" w:fill="auto"/>
            <w:noWrap/>
            <w:vAlign w:val="center"/>
            <w:hideMark/>
          </w:tcPr>
          <w:p w14:paraId="770FF9C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2001-2003</w:t>
            </w:r>
          </w:p>
        </w:tc>
      </w:tr>
      <w:tr w:rsidR="00D3535C" w:rsidRPr="00694969" w14:paraId="094B9DE4" w14:textId="77777777" w:rsidTr="00927C0A">
        <w:trPr>
          <w:trHeight w:val="80"/>
        </w:trPr>
        <w:tc>
          <w:tcPr>
            <w:tcW w:w="1418" w:type="dxa"/>
            <w:vMerge/>
            <w:shd w:val="clear" w:color="auto" w:fill="auto"/>
            <w:vAlign w:val="center"/>
            <w:hideMark/>
          </w:tcPr>
          <w:p w14:paraId="66419687" w14:textId="77777777" w:rsidR="00D3535C" w:rsidRPr="00694969" w:rsidRDefault="00D3535C" w:rsidP="00927C0A">
            <w:pPr>
              <w:spacing w:after="0"/>
              <w:jc w:val="center"/>
              <w:rPr>
                <w:rFonts w:ascii="Times New Roman" w:eastAsia="Times New Roman" w:hAnsi="Times New Roman"/>
                <w:bCs/>
                <w:color w:val="000000"/>
                <w:sz w:val="18"/>
                <w:szCs w:val="18"/>
              </w:rPr>
            </w:pPr>
          </w:p>
        </w:tc>
        <w:tc>
          <w:tcPr>
            <w:tcW w:w="1089" w:type="dxa"/>
            <w:vMerge/>
            <w:shd w:val="clear" w:color="auto" w:fill="auto"/>
            <w:vAlign w:val="center"/>
            <w:hideMark/>
          </w:tcPr>
          <w:p w14:paraId="7D38B113"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14" w:type="dxa"/>
            <w:vMerge/>
            <w:shd w:val="clear" w:color="auto" w:fill="auto"/>
            <w:vAlign w:val="center"/>
            <w:hideMark/>
          </w:tcPr>
          <w:p w14:paraId="02EE25A9"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37" w:type="dxa"/>
            <w:vMerge/>
            <w:shd w:val="clear" w:color="auto" w:fill="auto"/>
            <w:vAlign w:val="center"/>
            <w:hideMark/>
          </w:tcPr>
          <w:p w14:paraId="05276C56"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96" w:type="dxa"/>
            <w:vMerge/>
            <w:shd w:val="clear" w:color="auto" w:fill="auto"/>
            <w:vAlign w:val="center"/>
            <w:hideMark/>
          </w:tcPr>
          <w:p w14:paraId="5473CB9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95" w:type="dxa"/>
            <w:vMerge/>
            <w:shd w:val="clear" w:color="auto" w:fill="auto"/>
            <w:vAlign w:val="center"/>
            <w:hideMark/>
          </w:tcPr>
          <w:p w14:paraId="7956B1CB"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945" w:type="dxa"/>
            <w:vMerge/>
            <w:shd w:val="clear" w:color="auto" w:fill="auto"/>
            <w:vAlign w:val="center"/>
            <w:hideMark/>
          </w:tcPr>
          <w:p w14:paraId="0DEFA805"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59" w:type="dxa"/>
            <w:vMerge/>
            <w:shd w:val="clear" w:color="auto" w:fill="auto"/>
            <w:vAlign w:val="center"/>
            <w:hideMark/>
          </w:tcPr>
          <w:p w14:paraId="3E0D714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074" w:type="dxa"/>
            <w:vMerge/>
            <w:shd w:val="clear" w:color="auto" w:fill="auto"/>
            <w:vAlign w:val="center"/>
            <w:hideMark/>
          </w:tcPr>
          <w:p w14:paraId="24BE8F40"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276" w:type="dxa"/>
            <w:vMerge/>
            <w:shd w:val="clear" w:color="auto" w:fill="auto"/>
            <w:vAlign w:val="center"/>
            <w:hideMark/>
          </w:tcPr>
          <w:p w14:paraId="3D8A4C6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043" w:type="dxa"/>
            <w:vMerge/>
            <w:shd w:val="clear" w:color="auto" w:fill="auto"/>
            <w:vAlign w:val="center"/>
            <w:hideMark/>
          </w:tcPr>
          <w:p w14:paraId="7DA240E4"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198" w:type="dxa"/>
            <w:shd w:val="clear" w:color="auto" w:fill="auto"/>
            <w:vAlign w:val="center"/>
            <w:hideMark/>
          </w:tcPr>
          <w:p w14:paraId="54A0687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 months</w:t>
            </w:r>
          </w:p>
        </w:tc>
        <w:tc>
          <w:tcPr>
            <w:tcW w:w="709" w:type="dxa"/>
            <w:vMerge/>
            <w:shd w:val="clear" w:color="auto" w:fill="auto"/>
            <w:vAlign w:val="center"/>
            <w:hideMark/>
          </w:tcPr>
          <w:p w14:paraId="28D5280D"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17" w:type="dxa"/>
            <w:vMerge/>
            <w:shd w:val="clear" w:color="auto" w:fill="auto"/>
            <w:vAlign w:val="center"/>
            <w:hideMark/>
          </w:tcPr>
          <w:p w14:paraId="146E4DBF"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877" w:type="dxa"/>
            <w:vMerge/>
            <w:shd w:val="clear" w:color="auto" w:fill="auto"/>
            <w:noWrap/>
            <w:vAlign w:val="center"/>
            <w:hideMark/>
          </w:tcPr>
          <w:p w14:paraId="66A955C0"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2E968308" w14:textId="77777777" w:rsidTr="00927C0A">
        <w:trPr>
          <w:trHeight w:val="960"/>
        </w:trPr>
        <w:tc>
          <w:tcPr>
            <w:tcW w:w="1418" w:type="dxa"/>
            <w:shd w:val="clear" w:color="auto" w:fill="auto"/>
            <w:vAlign w:val="center"/>
            <w:hideMark/>
          </w:tcPr>
          <w:p w14:paraId="34F4DFF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Grant,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{"citationID":"1ttbbl734c","properties":{"formattedCitation":"(Grant et al., 2009)","plainCitation":"(Grant et al., 2009)"},"citationItems":[{"id":168,"uris":["http://zotero.org/users/991106/items/RKAUEG7W"],"uri":["http://zotero.org/users/991106/items/RKAUEG7W"],"itemData":{"id":168,"type":"article-journal","title":"Sociodemographic and psychopathologic predictors of first incidence of DSM-IV substance use, mood and anxiety disorders: results from the Wave 2 National Epidemiologic Survey on Alcohol and Related Conditions","container-title":"Molecular Psychiatry","page":"1051-1066","volume":"14","issue":"11","abstract":"The objective of this study was to present nationally representative findings on sociodemographic and psychopathologic predictors of first incidence of Diagnostic and Statistical Manual of Mental Disorders, 4th edn (DSM-IV) substance, mood and anxiety disorders using the Wave 2 National Epidemiologic Survey on Alcohol and Related Conditions. One-year incidence rates of DSM-IV substance, mood and anxiety disorders were highest for alcohol abuse (1.02), alcohol dependence (1.70), major depressive disorder (MDD; 1.51) and generalized anxiety disorder (GAD; 1.12). Incidence rates were significantly greater (P&lt;0.01) among men for substance use disorders and greater among women for mood and anxiety disorders except bipolar disorders and social phobia. Age was inversely related to all disorders. Black individuals were at decreased risk of incident alcohol abuse and Hispanic individuals were at decreased risk of GAD. Anxiety disorders at baseline more often predicted incidence of other anxiety disorders than mood disorders. Reciprocal temporal relationships were found between alcohol abuse and dependence, MDD and GAD, and GAD and panic disorder. Borderline and schizotypal personality disorders predicted most incident disorders. Incidence rates of substance, mood and anxiety disorders were comparable to or greater than rates of lung cancer, stroke and cardiovascular disease. The greater incidence of all disorders in the youngest cohort underscores the need for increased vigilance in identifying and treating these disorders among young adults. Strong common factors and unique factors appear to underlie associations between alcohol abuse and dependence, MDD and GAD, and GAD and panic disorder. The major results of this study are discussed with regard to prevention and treatment implications.","DOI":"10.1038/mp.2008.41","note":"PMID: 18427559","shortTitle":"Sociodemographic and psychopathologic predictors of first incidence of DSM-IV substance use, mood and anxiety disorders","journalAbbreviation":"Mol. Psychiatry","author":[{"family":"Grant","given":"B F"},{"family":"Goldstein","given":"R B"},{"family":"Chou","given":"S P"},{"family":"Huang","given":"B"},{"family":"Stinson","given":"F S"},{"family":"Dawson","given":"D A"},{"family":"Saha","given":"T D"},{"family":"Smith","given":"S M"},{"family":"Pulay","given":"A J"},{"family":"Pickering","given":"R P"},{"family":"Ruan","given":"W J"},{"family":"Compton","given":"W M"}],"issued":{"year":2009,"month":11},"accessed":{"year":2012,"month":3,"day":26},"page-first":"1051"}}],"schema":"https://github.com/citation-style-language/schema/raw/master/csl-citation.json"}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(Grant et al., 2009)</w:t>
            </w:r>
            <w:r w:rsidRPr="00694969">
              <w:rPr>
                <w:rFonts w:ascii="Times New Roman" w:eastAsia="Times New Roman" w:hAnsi="Times New Roman"/>
                <w:bCs/>
                <w:color w:val="000000"/>
                <w:sz w:val="18"/>
                <w:szCs w:val="18"/>
              </w:rPr>
              <w:fldChar w:fldCharType="end"/>
            </w:r>
          </w:p>
        </w:tc>
        <w:tc>
          <w:tcPr>
            <w:tcW w:w="1089" w:type="dxa"/>
            <w:shd w:val="clear" w:color="auto" w:fill="auto"/>
            <w:vAlign w:val="center"/>
            <w:hideMark/>
          </w:tcPr>
          <w:p w14:paraId="3140B9A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114" w:type="dxa"/>
            <w:shd w:val="clear" w:color="auto" w:fill="auto"/>
            <w:vAlign w:val="center"/>
            <w:hideMark/>
          </w:tcPr>
          <w:p w14:paraId="1B2035D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NESARC, Wave 2</w:t>
            </w:r>
          </w:p>
        </w:tc>
        <w:tc>
          <w:tcPr>
            <w:tcW w:w="1437" w:type="dxa"/>
            <w:shd w:val="clear" w:color="auto" w:fill="auto"/>
            <w:vAlign w:val="center"/>
            <w:hideMark/>
          </w:tcPr>
          <w:p w14:paraId="3DBDFC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 Black and Hispanic oversampled</w:t>
            </w:r>
          </w:p>
        </w:tc>
        <w:tc>
          <w:tcPr>
            <w:tcW w:w="396" w:type="dxa"/>
            <w:shd w:val="clear" w:color="auto" w:fill="auto"/>
            <w:vAlign w:val="center"/>
            <w:hideMark/>
          </w:tcPr>
          <w:p w14:paraId="3C83153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shd w:val="clear" w:color="auto" w:fill="auto"/>
            <w:vAlign w:val="center"/>
            <w:hideMark/>
          </w:tcPr>
          <w:p w14:paraId="0BD1C36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 aged 18-24 oversampled</w:t>
            </w:r>
          </w:p>
        </w:tc>
        <w:tc>
          <w:tcPr>
            <w:tcW w:w="945" w:type="dxa"/>
            <w:shd w:val="clear" w:color="auto" w:fill="auto"/>
            <w:vAlign w:val="center"/>
            <w:hideMark/>
          </w:tcPr>
          <w:p w14:paraId="09416FB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34653</w:t>
            </w:r>
          </w:p>
        </w:tc>
        <w:tc>
          <w:tcPr>
            <w:tcW w:w="559" w:type="dxa"/>
            <w:shd w:val="clear" w:color="auto" w:fill="auto"/>
            <w:vAlign w:val="center"/>
            <w:hideMark/>
          </w:tcPr>
          <w:p w14:paraId="2E68065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0.87</w:t>
            </w:r>
          </w:p>
        </w:tc>
        <w:tc>
          <w:tcPr>
            <w:tcW w:w="1074" w:type="dxa"/>
            <w:shd w:val="clear" w:color="auto" w:fill="auto"/>
            <w:vAlign w:val="center"/>
            <w:hideMark/>
          </w:tcPr>
          <w:p w14:paraId="67C8144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1276" w:type="dxa"/>
            <w:shd w:val="clear" w:color="auto" w:fill="auto"/>
            <w:vAlign w:val="center"/>
            <w:hideMark/>
          </w:tcPr>
          <w:p w14:paraId="01BF4F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Mania and hypomania</w:t>
            </w:r>
          </w:p>
        </w:tc>
        <w:tc>
          <w:tcPr>
            <w:tcW w:w="1043" w:type="dxa"/>
            <w:shd w:val="clear" w:color="auto" w:fill="auto"/>
            <w:vAlign w:val="center"/>
            <w:hideMark/>
          </w:tcPr>
          <w:p w14:paraId="234D213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AUDASIS-IV</w:t>
            </w:r>
          </w:p>
        </w:tc>
        <w:tc>
          <w:tcPr>
            <w:tcW w:w="1198" w:type="dxa"/>
            <w:shd w:val="clear" w:color="auto" w:fill="auto"/>
            <w:vAlign w:val="center"/>
            <w:hideMark/>
          </w:tcPr>
          <w:p w14:paraId="61008A8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 months</w:t>
            </w:r>
          </w:p>
        </w:tc>
        <w:tc>
          <w:tcPr>
            <w:tcW w:w="709" w:type="dxa"/>
            <w:shd w:val="clear" w:color="auto" w:fill="auto"/>
            <w:vAlign w:val="center"/>
            <w:hideMark/>
          </w:tcPr>
          <w:p w14:paraId="6CCF79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w:t>
            </w:r>
          </w:p>
        </w:tc>
        <w:tc>
          <w:tcPr>
            <w:tcW w:w="1417" w:type="dxa"/>
            <w:shd w:val="clear" w:color="auto" w:fill="auto"/>
            <w:vAlign w:val="center"/>
            <w:hideMark/>
          </w:tcPr>
          <w:p w14:paraId="6E803A4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race/ethnicity, region, non response, psychiatric diagnosis</w:t>
            </w:r>
          </w:p>
        </w:tc>
        <w:tc>
          <w:tcPr>
            <w:tcW w:w="877" w:type="dxa"/>
            <w:shd w:val="clear" w:color="auto" w:fill="auto"/>
            <w:noWrap/>
            <w:vAlign w:val="center"/>
            <w:hideMark/>
          </w:tcPr>
          <w:p w14:paraId="4848DEC2"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14C8586D" w14:textId="77777777" w:rsidTr="00927C0A">
        <w:trPr>
          <w:trHeight w:val="301"/>
        </w:trPr>
        <w:tc>
          <w:tcPr>
            <w:tcW w:w="1418" w:type="dxa"/>
            <w:shd w:val="clear" w:color="auto" w:fill="auto"/>
            <w:vAlign w:val="center"/>
            <w:hideMark/>
          </w:tcPr>
          <w:p w14:paraId="5F2D997B"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Chou, 2012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{"citationID":"1qmc7r98ll","properties":{"formattedCitation":"(Chou S.P. et al., 2012)","plainCitation":"(Chou S.P. et al., 2012)"},"citationItems":[{"id":107,"uris":["http://zotero.org/users/991106/items/3ZPRUP5C"],"uri":["http://zotero.org/users/991106/items/3ZPRUP5C"],"itemData":{"id":107,"type":"article-journal","title":"Alcohol Use Disorders, Nicotine Dependence, and Co-Occurring Mood and Anxiety Disorders in the United States and South Korea-A Cross-National Comparison.","container-title":"Alcoholism: Clinical and Experimental Research","page":"654-662","abstract":"Background: The strong comorbidity between substance use disorders (SUDs) and mood and anxiety disorders has been well documented. In view of lack of research findings addressing the co-occurrence of SUDs and mood and anxiety disorders, this study examined the pattern of comorbidity of alcohol use disorders (AUDs) and nicotine dependence (ND) between 2 culturally diverse countries, the United States and South Korea. Methods: Using the nationally representative samples of the U.S. and Korean general populations, we directly compared rates and comorbidity patterns of AUDs, ND, and mood and anxiety disorders between the 2 countries. We further examined the rates and the comorbidity pattern among individuals with AUDs who sought treatment in the last 12months. Twelve-month prevalence rates were derived to estimate country differentials, and odds ratios (ORs) and 95% confidence intervals were estimated to measure the strength of comorbid associations while adjusting for all sociodemographic characteristics in multivariate logistic models specific to each country. Results: The 12-month prevalence rates of AUDs, ND, and any mood disorder and any anxiety disorder were 9.7, 14.4, 9.5, and 11.9% among Americans, whereas the corresponding rates were 7.1, 6.6, 2.0, and 5.2% among Koreans. These rates were significantly greater (except for any AUD) among Americans than among their Korean counterparts. With respect to comorbidity, both countries showed comparable patterns that the prevalence rates of mood and anxiety disorders were consistently the highest among persons with alcohol dependence (AD). Also, a disparate pattern was observed in Korea that the prevalence rates of mood and anxiety disorders were generally lower among individuals with ND than among those with alcohol abuse and AD. Furthermore, despite significantly greater prevalence of AD in Korea (5.1%) than in the United States (4.4%), alcohol-dependent Americans were 4 times (OR=3.93) more likely to seek treatment compared to their Korean counterparts. Conclusions: Our results indicated that the prevalence of AD in Korea was substantially greater than that in both Western and other Asian countries, suggesting a maladaptive pattern of alcohol use in Korea, which is different from the general use pattern of other East Asian countries. The low rate of treatment utilization among Koreans might be attributable to perceived social stigma toward SUDs or mental health problems despite the fact that the Korean government offers national health insurance. 2012 by the Research Society on Alcoholism.","DOI":"http://dx.doi.org/10.1111/j.1530-0277.2011.01639.x","author":[{"family":"Chou S.P.","given":""},{"family":"Lee H.K.","given":""},{"family":"Cho M.J.","given":""},{"family":"Park J.-I.","given":""},{"family":"Dawson D.A.","given":""},{"family":"Grant B.F.","given":""}],"issued":{"year":2012,"month":4},"accessed":{"year":2012,"month":4,"day":16},"page-first":"654"}}],"schema":"https://github.com/citation-style-language/schema/raw/master/csl-citation.json"}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(Chou S.P. et al., 2012)</w:t>
            </w:r>
            <w:r w:rsidRPr="00694969">
              <w:rPr>
                <w:rFonts w:ascii="Times New Roman" w:eastAsia="Times New Roman" w:hAnsi="Times New Roman"/>
                <w:bCs/>
                <w:color w:val="000000"/>
                <w:sz w:val="18"/>
                <w:szCs w:val="18"/>
              </w:rPr>
              <w:fldChar w:fldCharType="end"/>
            </w:r>
          </w:p>
        </w:tc>
        <w:tc>
          <w:tcPr>
            <w:tcW w:w="1089" w:type="dxa"/>
            <w:shd w:val="clear" w:color="auto" w:fill="auto"/>
            <w:vAlign w:val="center"/>
            <w:hideMark/>
          </w:tcPr>
          <w:p w14:paraId="7365D9C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Korea</w:t>
            </w:r>
          </w:p>
        </w:tc>
        <w:tc>
          <w:tcPr>
            <w:tcW w:w="1114" w:type="dxa"/>
            <w:shd w:val="clear" w:color="auto" w:fill="auto"/>
            <w:vAlign w:val="center"/>
            <w:hideMark/>
          </w:tcPr>
          <w:p w14:paraId="256075D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Korean Epidemiologic Catchment Area</w:t>
            </w:r>
          </w:p>
        </w:tc>
        <w:tc>
          <w:tcPr>
            <w:tcW w:w="1437" w:type="dxa"/>
            <w:shd w:val="clear" w:color="auto" w:fill="auto"/>
            <w:vAlign w:val="center"/>
            <w:hideMark/>
          </w:tcPr>
          <w:p w14:paraId="0094BA8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All eligible residents listed in the updated 2000 Population Census</w:t>
            </w:r>
          </w:p>
        </w:tc>
        <w:tc>
          <w:tcPr>
            <w:tcW w:w="396" w:type="dxa"/>
            <w:shd w:val="clear" w:color="auto" w:fill="auto"/>
            <w:vAlign w:val="center"/>
            <w:hideMark/>
          </w:tcPr>
          <w:p w14:paraId="64C5951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995" w:type="dxa"/>
            <w:shd w:val="clear" w:color="auto" w:fill="auto"/>
            <w:vAlign w:val="center"/>
            <w:hideMark/>
          </w:tcPr>
          <w:p w14:paraId="0AF502A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18-65</w:t>
            </w:r>
          </w:p>
        </w:tc>
        <w:tc>
          <w:tcPr>
            <w:tcW w:w="945" w:type="dxa"/>
            <w:shd w:val="clear" w:color="auto" w:fill="auto"/>
            <w:vAlign w:val="center"/>
            <w:hideMark/>
          </w:tcPr>
          <w:p w14:paraId="74736C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7867</w:t>
            </w:r>
          </w:p>
        </w:tc>
        <w:tc>
          <w:tcPr>
            <w:tcW w:w="559" w:type="dxa"/>
            <w:shd w:val="clear" w:color="auto" w:fill="auto"/>
            <w:noWrap/>
            <w:vAlign w:val="center"/>
            <w:hideMark/>
          </w:tcPr>
          <w:p w14:paraId="0B0ACE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0.80</w:t>
            </w:r>
          </w:p>
        </w:tc>
        <w:tc>
          <w:tcPr>
            <w:tcW w:w="1074" w:type="dxa"/>
            <w:shd w:val="clear" w:color="auto" w:fill="auto"/>
            <w:vAlign w:val="center"/>
            <w:hideMark/>
          </w:tcPr>
          <w:p w14:paraId="38AD368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1276" w:type="dxa"/>
            <w:shd w:val="clear" w:color="auto" w:fill="auto"/>
            <w:vAlign w:val="center"/>
            <w:hideMark/>
          </w:tcPr>
          <w:p w14:paraId="681132D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1043" w:type="dxa"/>
            <w:shd w:val="clear" w:color="auto" w:fill="auto"/>
            <w:vAlign w:val="center"/>
            <w:hideMark/>
          </w:tcPr>
          <w:p w14:paraId="76D7D6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CIDI 2.1</w:t>
            </w:r>
          </w:p>
        </w:tc>
        <w:tc>
          <w:tcPr>
            <w:tcW w:w="1198" w:type="dxa"/>
            <w:shd w:val="clear" w:color="auto" w:fill="auto"/>
            <w:vAlign w:val="center"/>
            <w:hideMark/>
          </w:tcPr>
          <w:p w14:paraId="5157F3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 months</w:t>
            </w:r>
          </w:p>
        </w:tc>
        <w:tc>
          <w:tcPr>
            <w:tcW w:w="709" w:type="dxa"/>
            <w:shd w:val="clear" w:color="auto" w:fill="auto"/>
            <w:vAlign w:val="center"/>
            <w:hideMark/>
          </w:tcPr>
          <w:p w14:paraId="3618DF7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w:t>
            </w:r>
          </w:p>
        </w:tc>
        <w:tc>
          <w:tcPr>
            <w:tcW w:w="1417" w:type="dxa"/>
            <w:shd w:val="clear" w:color="auto" w:fill="auto"/>
            <w:vAlign w:val="center"/>
            <w:hideMark/>
          </w:tcPr>
          <w:p w14:paraId="7342859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gender, race/ethnicity, region</w:t>
            </w:r>
          </w:p>
        </w:tc>
        <w:tc>
          <w:tcPr>
            <w:tcW w:w="877" w:type="dxa"/>
            <w:shd w:val="clear" w:color="auto" w:fill="auto"/>
            <w:vAlign w:val="center"/>
            <w:hideMark/>
          </w:tcPr>
          <w:p w14:paraId="5A0BE11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2000</w:t>
            </w:r>
          </w:p>
        </w:tc>
      </w:tr>
    </w:tbl>
    <w:p w14:paraId="64F5123B" w14:textId="77777777" w:rsidR="00D3535C" w:rsidRDefault="00D3535C" w:rsidP="00D3535C">
      <w:pPr>
        <w:spacing w:line="480" w:lineRule="auto"/>
        <w:jc w:val="both"/>
        <w:rPr>
          <w:rFonts w:ascii="Times New Roman" w:hAnsi="Times New Roman"/>
          <w:b/>
          <w:sz w:val="24"/>
          <w:szCs w:val="24"/>
        </w:rPr>
      </w:pPr>
    </w:p>
    <w:p w14:paraId="28C949F6" w14:textId="77777777" w:rsidR="00D3535C" w:rsidRPr="00750185" w:rsidRDefault="00D3535C" w:rsidP="00D3535C">
      <w:pPr>
        <w:spacing w:after="0" w:line="480" w:lineRule="auto"/>
        <w:jc w:val="both"/>
        <w:rPr>
          <w:rFonts w:ascii="Times New Roman" w:hAnsi="Times New Roman"/>
          <w:b/>
          <w:sz w:val="24"/>
          <w:szCs w:val="24"/>
        </w:rPr>
      </w:pPr>
      <w:r>
        <w:rPr>
          <w:rFonts w:ascii="Times New Roman" w:hAnsi="Times New Roman"/>
          <w:b/>
          <w:sz w:val="24"/>
          <w:szCs w:val="24"/>
        </w:rPr>
        <w:t xml:space="preserve">Abbreviations: </w:t>
      </w:r>
    </w:p>
    <w:p w14:paraId="4D2724C1" w14:textId="77777777" w:rsidR="00D3535C" w:rsidRPr="00EA2AD0" w:rsidRDefault="00D3535C" w:rsidP="00D3535C">
      <w:pPr>
        <w:spacing w:after="0" w:line="480" w:lineRule="auto"/>
        <w:rPr>
          <w:rFonts w:ascii="Times New Roman" w:hAnsi="Times New Roman"/>
          <w:sz w:val="24"/>
          <w:szCs w:val="24"/>
        </w:rPr>
      </w:pPr>
      <w:r w:rsidRPr="00EA2AD0">
        <w:rPr>
          <w:rFonts w:ascii="Times New Roman" w:hAnsi="Times New Roman"/>
          <w:sz w:val="24"/>
          <w:szCs w:val="24"/>
        </w:rPr>
        <w:t>Diagnostic instrument: AUDASIS-IV: NIAAA alcohol use disorder and associated disabilities interview schedule – DSM-IV version;</w:t>
      </w:r>
    </w:p>
    <w:p w14:paraId="71B9D767" w14:textId="77777777" w:rsidR="00D3535C" w:rsidRPr="00EA2AD0" w:rsidRDefault="00D3535C" w:rsidP="00D3535C">
      <w:pPr>
        <w:spacing w:after="0" w:line="480" w:lineRule="auto"/>
        <w:jc w:val="both"/>
        <w:rPr>
          <w:rFonts w:ascii="Times New Roman" w:hAnsi="Times New Roman"/>
          <w:sz w:val="24"/>
          <w:szCs w:val="24"/>
        </w:rPr>
      </w:pPr>
      <w:r w:rsidRPr="00EA2AD0">
        <w:rPr>
          <w:rFonts w:ascii="Times New Roman" w:hAnsi="Times New Roman"/>
          <w:sz w:val="24"/>
          <w:szCs w:val="24"/>
        </w:rPr>
        <w:t>CIDI: composite international diagnostic interview; DIS: Diagnostic Interview Schedule; C: community population; I: institutionalized population</w:t>
      </w:r>
    </w:p>
    <w:p w14:paraId="01897BB7" w14:textId="77777777" w:rsidR="00D3535C" w:rsidRPr="00EA2AD0" w:rsidRDefault="00D3535C" w:rsidP="00D3535C">
      <w:pPr>
        <w:spacing w:after="0" w:line="480" w:lineRule="auto"/>
        <w:jc w:val="both"/>
        <w:rPr>
          <w:rFonts w:ascii="Times New Roman" w:hAnsi="Times New Roman"/>
          <w:sz w:val="24"/>
          <w:szCs w:val="24"/>
        </w:rPr>
      </w:pPr>
      <w:r w:rsidRPr="00EA2AD0">
        <w:rPr>
          <w:rFonts w:ascii="Times New Roman" w:hAnsi="Times New Roman"/>
          <w:sz w:val="24"/>
          <w:szCs w:val="24"/>
        </w:rPr>
        <w:t>N: no, Y: yes</w:t>
      </w:r>
    </w:p>
    <w:p w14:paraId="125BC12C" w14:textId="77777777" w:rsidR="00D3535C" w:rsidRPr="00EA2AD0" w:rsidRDefault="00D3535C" w:rsidP="00D3535C">
      <w:pPr>
        <w:spacing w:after="0" w:line="480" w:lineRule="auto"/>
        <w:jc w:val="both"/>
        <w:rPr>
          <w:rFonts w:ascii="Times New Roman" w:hAnsi="Times New Roman"/>
          <w:sz w:val="24"/>
          <w:szCs w:val="24"/>
        </w:rPr>
      </w:pPr>
      <w:r w:rsidRPr="00EA2AD0">
        <w:rPr>
          <w:rFonts w:ascii="Times New Roman" w:hAnsi="Times New Roman"/>
          <w:sz w:val="24"/>
          <w:szCs w:val="24"/>
        </w:rPr>
        <w:t>Outcome: P prevalence; I incidence</w:t>
      </w:r>
    </w:p>
    <w:p w14:paraId="650E7679" w14:textId="77777777" w:rsidR="00D3535C" w:rsidRDefault="00D3535C" w:rsidP="00D3535C">
      <w:pPr>
        <w:spacing w:line="480" w:lineRule="auto"/>
        <w:jc w:val="both"/>
        <w:rPr>
          <w:rFonts w:ascii="Times New Roman" w:hAnsi="Times New Roman"/>
          <w:sz w:val="24"/>
          <w:szCs w:val="24"/>
        </w:rPr>
      </w:pPr>
    </w:p>
    <w:p w14:paraId="76E3DBDB" w14:textId="77777777" w:rsidR="00D3535C" w:rsidRDefault="00D3535C" w:rsidP="00D3535C">
      <w:pPr>
        <w:spacing w:line="480" w:lineRule="auto"/>
        <w:jc w:val="both"/>
        <w:rPr>
          <w:rFonts w:ascii="Times New Roman" w:hAnsi="Times New Roman"/>
          <w:sz w:val="24"/>
          <w:szCs w:val="24"/>
        </w:rPr>
        <w:sectPr w:rsidR="00D3535C" w:rsidSect="00750185">
          <w:pgSz w:w="16838" w:h="11906" w:orient="landscape"/>
          <w:pgMar w:top="1134" w:right="1417" w:bottom="1134" w:left="1134" w:header="708" w:footer="708" w:gutter="0"/>
          <w:cols w:space="708"/>
          <w:docGrid w:linePitch="360"/>
        </w:sectPr>
      </w:pPr>
    </w:p>
    <w:p w14:paraId="1E764544" w14:textId="77777777" w:rsidR="00D3535C" w:rsidRPr="00B73D25" w:rsidRDefault="00D3535C" w:rsidP="00D3535C">
      <w:pPr>
        <w:spacing w:line="480" w:lineRule="auto"/>
        <w:jc w:val="both"/>
        <w:rPr>
          <w:rFonts w:ascii="Times New Roman" w:hAnsi="Times New Roman"/>
          <w:b/>
          <w:sz w:val="24"/>
          <w:szCs w:val="24"/>
        </w:rPr>
      </w:pPr>
      <w:r>
        <w:rPr>
          <w:rFonts w:ascii="Times New Roman" w:hAnsi="Times New Roman"/>
          <w:b/>
          <w:sz w:val="24"/>
          <w:szCs w:val="24"/>
        </w:rPr>
        <w:t>Table S3b Clini</w:t>
      </w:r>
      <w:r w:rsidRPr="00B73D25">
        <w:rPr>
          <w:rFonts w:ascii="Times New Roman" w:hAnsi="Times New Roman"/>
          <w:b/>
          <w:sz w:val="24"/>
          <w:szCs w:val="24"/>
        </w:rPr>
        <w:t>cal studies included in the systematic review</w:t>
      </w:r>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136"/>
        <w:gridCol w:w="427"/>
        <w:gridCol w:w="568"/>
        <w:gridCol w:w="568"/>
        <w:gridCol w:w="709"/>
        <w:gridCol w:w="1841"/>
        <w:gridCol w:w="442"/>
        <w:gridCol w:w="1762"/>
        <w:gridCol w:w="743"/>
        <w:gridCol w:w="740"/>
        <w:gridCol w:w="991"/>
        <w:gridCol w:w="1558"/>
        <w:gridCol w:w="524"/>
        <w:gridCol w:w="608"/>
        <w:gridCol w:w="577"/>
        <w:gridCol w:w="981"/>
      </w:tblGrid>
      <w:tr w:rsidR="00D3535C" w:rsidRPr="00694969" w14:paraId="0398B12B" w14:textId="77777777" w:rsidTr="00927C0A">
        <w:trPr>
          <w:trHeight w:val="2357"/>
          <w:jc w:val="center"/>
        </w:trPr>
        <w:tc>
          <w:tcPr>
            <w:tcW w:w="479" w:type="pct"/>
            <w:shd w:val="clear" w:color="auto" w:fill="auto"/>
            <w:vAlign w:val="center"/>
            <w:hideMark/>
          </w:tcPr>
          <w:p w14:paraId="3A4BF9FA"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FIRST AUTHOR, YEAR OF PUBLICATION</w:t>
            </w:r>
          </w:p>
        </w:tc>
        <w:tc>
          <w:tcPr>
            <w:tcW w:w="362" w:type="pct"/>
            <w:shd w:val="clear" w:color="auto" w:fill="auto"/>
            <w:vAlign w:val="center"/>
            <w:hideMark/>
          </w:tcPr>
          <w:p w14:paraId="0FC1AF1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COUNTRY</w:t>
            </w:r>
          </w:p>
        </w:tc>
        <w:tc>
          <w:tcPr>
            <w:tcW w:w="136" w:type="pct"/>
            <w:shd w:val="clear" w:color="auto" w:fill="auto"/>
            <w:textDirection w:val="btLr"/>
            <w:vAlign w:val="center"/>
            <w:hideMark/>
          </w:tcPr>
          <w:p w14:paraId="14677CFF" w14:textId="77777777" w:rsidR="00D3535C" w:rsidRPr="00694969" w:rsidRDefault="00D3535C" w:rsidP="00927C0A">
            <w:pPr>
              <w:spacing w:after="0"/>
              <w:ind w:left="113" w:right="113"/>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PRO CAPITA ALCOHOL</w:t>
            </w:r>
          </w:p>
        </w:tc>
        <w:tc>
          <w:tcPr>
            <w:tcW w:w="181" w:type="pct"/>
            <w:shd w:val="clear" w:color="auto" w:fill="auto"/>
            <w:textDirection w:val="btLr"/>
            <w:vAlign w:val="center"/>
            <w:hideMark/>
          </w:tcPr>
          <w:p w14:paraId="61330279" w14:textId="77777777" w:rsidR="00D3535C" w:rsidRPr="00694969" w:rsidRDefault="00D3535C" w:rsidP="00927C0A">
            <w:pPr>
              <w:spacing w:after="0"/>
              <w:ind w:left="113" w:right="113"/>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RISKY DRINK PATTERN</w:t>
            </w:r>
          </w:p>
        </w:tc>
        <w:tc>
          <w:tcPr>
            <w:tcW w:w="181" w:type="pct"/>
            <w:shd w:val="clear" w:color="auto" w:fill="auto"/>
            <w:textDirection w:val="btLr"/>
            <w:vAlign w:val="center"/>
            <w:hideMark/>
          </w:tcPr>
          <w:p w14:paraId="7CF2D2DD"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SETTING</w:t>
            </w:r>
          </w:p>
        </w:tc>
        <w:tc>
          <w:tcPr>
            <w:tcW w:w="226" w:type="pct"/>
            <w:shd w:val="clear" w:color="auto" w:fill="auto"/>
            <w:textDirection w:val="btLr"/>
            <w:vAlign w:val="center"/>
            <w:hideMark/>
          </w:tcPr>
          <w:p w14:paraId="0A90729B"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STUDY POPULATION</w:t>
            </w:r>
          </w:p>
        </w:tc>
        <w:tc>
          <w:tcPr>
            <w:tcW w:w="587" w:type="pct"/>
            <w:shd w:val="clear" w:color="auto" w:fill="auto"/>
            <w:vAlign w:val="center"/>
            <w:hideMark/>
          </w:tcPr>
          <w:p w14:paraId="628963C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RECRUITMENT</w:t>
            </w:r>
          </w:p>
        </w:tc>
        <w:tc>
          <w:tcPr>
            <w:tcW w:w="141" w:type="pct"/>
            <w:shd w:val="clear" w:color="auto" w:fill="auto"/>
            <w:textDirection w:val="btLr"/>
            <w:vAlign w:val="center"/>
            <w:hideMark/>
          </w:tcPr>
          <w:p w14:paraId="4BC5770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MULTI CENTRIC</w:t>
            </w:r>
          </w:p>
        </w:tc>
        <w:tc>
          <w:tcPr>
            <w:tcW w:w="562" w:type="pct"/>
            <w:shd w:val="clear" w:color="auto" w:fill="auto"/>
            <w:vAlign w:val="center"/>
            <w:hideMark/>
          </w:tcPr>
          <w:p w14:paraId="71730D3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INCLUSION CRITERIA</w:t>
            </w:r>
          </w:p>
        </w:tc>
        <w:tc>
          <w:tcPr>
            <w:tcW w:w="237" w:type="pct"/>
            <w:shd w:val="clear" w:color="auto" w:fill="auto"/>
            <w:vAlign w:val="center"/>
            <w:hideMark/>
          </w:tcPr>
          <w:p w14:paraId="65CE1AF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AGE*</w:t>
            </w:r>
          </w:p>
        </w:tc>
        <w:tc>
          <w:tcPr>
            <w:tcW w:w="236" w:type="pct"/>
            <w:shd w:val="clear" w:color="auto" w:fill="auto"/>
            <w:textDirection w:val="btLr"/>
            <w:vAlign w:val="center"/>
            <w:hideMark/>
          </w:tcPr>
          <w:p w14:paraId="2EED73D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DIAGNOSTIC CRITERIA</w:t>
            </w:r>
          </w:p>
        </w:tc>
        <w:tc>
          <w:tcPr>
            <w:tcW w:w="316" w:type="pct"/>
            <w:shd w:val="clear" w:color="auto" w:fill="auto"/>
            <w:textDirection w:val="btLr"/>
            <w:vAlign w:val="center"/>
            <w:hideMark/>
          </w:tcPr>
          <w:p w14:paraId="6681A71D" w14:textId="77777777" w:rsidR="00D3535C" w:rsidRPr="00694969" w:rsidRDefault="00D3535C" w:rsidP="00927C0A">
            <w:pPr>
              <w:spacing w:after="0"/>
              <w:ind w:left="113" w:right="113"/>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PRIMARY DIAGNOSIS</w:t>
            </w:r>
          </w:p>
        </w:tc>
        <w:tc>
          <w:tcPr>
            <w:tcW w:w="497" w:type="pct"/>
            <w:shd w:val="clear" w:color="auto" w:fill="auto"/>
            <w:vAlign w:val="center"/>
            <w:hideMark/>
          </w:tcPr>
          <w:p w14:paraId="16F5039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DIAGNOSTIC INSTRUMENTS</w:t>
            </w:r>
          </w:p>
        </w:tc>
        <w:tc>
          <w:tcPr>
            <w:tcW w:w="167" w:type="pct"/>
            <w:shd w:val="clear" w:color="auto" w:fill="auto"/>
            <w:textDirection w:val="btLr"/>
            <w:vAlign w:val="center"/>
            <w:hideMark/>
          </w:tcPr>
          <w:p w14:paraId="50977B9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TIME WINDOW</w:t>
            </w:r>
          </w:p>
        </w:tc>
        <w:tc>
          <w:tcPr>
            <w:tcW w:w="194" w:type="pct"/>
            <w:shd w:val="clear" w:color="auto" w:fill="auto"/>
            <w:textDirection w:val="btLr"/>
            <w:vAlign w:val="center"/>
            <w:hideMark/>
          </w:tcPr>
          <w:p w14:paraId="5E6D317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OUTCOME</w:t>
            </w:r>
          </w:p>
        </w:tc>
        <w:tc>
          <w:tcPr>
            <w:tcW w:w="184" w:type="pct"/>
            <w:shd w:val="clear" w:color="auto" w:fill="auto"/>
            <w:vAlign w:val="center"/>
            <w:hideMark/>
          </w:tcPr>
          <w:p w14:paraId="1E1055E3"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N</w:t>
            </w:r>
          </w:p>
        </w:tc>
        <w:tc>
          <w:tcPr>
            <w:tcW w:w="313" w:type="pct"/>
            <w:shd w:val="clear" w:color="auto" w:fill="auto"/>
            <w:vAlign w:val="center"/>
            <w:hideMark/>
          </w:tcPr>
          <w:p w14:paraId="73BBB84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YEARS</w:t>
            </w:r>
          </w:p>
        </w:tc>
      </w:tr>
      <w:tr w:rsidR="00D3535C" w:rsidRPr="00694969" w14:paraId="00E1D3E6" w14:textId="77777777" w:rsidTr="00927C0A">
        <w:trPr>
          <w:jc w:val="center"/>
        </w:trPr>
        <w:tc>
          <w:tcPr>
            <w:tcW w:w="479" w:type="pct"/>
            <w:shd w:val="clear" w:color="auto" w:fill="auto"/>
            <w:vAlign w:val="center"/>
            <w:hideMark/>
          </w:tcPr>
          <w:p w14:paraId="13D1756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Baldessarini, 2008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{"citationID":"ob5j0nad9","properties":{"formattedCitation":"(Baldessarini R.J. et al., 2008)","plainCitation":"(Baldessarini R.J. et al., 2008)"},"citationItems":[{"id":460,"uris":["http://zotero.org/users/991106/items/NPA5R8SA"],"uri":["http://zotero.org/users/991106/items/NPA5R8SA"],"itemData":{"id":460,"type":"article-journal","title":"Factors associated with treatment nonadherence among US bipolar disorder patients.","container-title":"Human Psychopharmacology","page":"95-105","abstract":"Objective: Since sustained treatment-adherence is often problematic and may limit clinical outcomes among bipolar disorder (BPD) patients, we sought risk factors to guide clinical prediction of nonadherence. Methods: Data were from a 2005 US national sample providing questionnaire responses by 131 randomly selected prescribing psychiatrists and their adult BPD patients. We contrasted demographic and clinical factors in treatment-adherent versus nonadherent patients (strictly defined as missing &gt;= dose within 10 days) in univariate analyses followed by multivariate logistic-regression modeling. Results: Of 429 DSM-IV BPD patients (79% type-I; 62% women; 17% minorities), 34% reported missing &gt;=1 dose of psychotropic medication within 10 days, 20% missed entire daily doses at least once, and only 2.5% missed all doses for 10 days. However, their prescribing psychiatrists considered only 6% as treatment-nonadherent. Factors significantly associated with nonadherence in multivariate modeling ranked: alcohol-dependence &gt; youth &gt; greater affective morbidity &gt; various side effects &gt;= comorbid obsessive-compulsive disorder &gt;= recovering from mania-hypomania. Unrelated were sex, diagnostic subtype, and other comorbidities. Since most patients received &gt;2 psychotropics, potential relationships between treatment-complexity and adherence were obscured. Conclusions: Prevalent treatment-nonadherence among American BPD patients, and striking underestimation of the problem by prescribing clinicians may encourage increasingly complex treatment regimens of untested value, but added expense, risk of adverse effects, and uncertain impact on treatment-adherence itself. Copyright 2007 John Wiley &amp; Sons, Ltd.","DOI":"http://dx.doi.org/10.1002/hup.908","author":[{"family":"Baldessarini R.J.","given":""},{"family":"Perry R.","given":""},{"family":"Pike J.","given":""}],"issued":{"year":2008,"month":3},"accessed":{"year":2012,"month":4,"day":16},"page-first":"95"}}],"schema":"https://github.com/citation-style-language/schema/raw/master/csl-citation.json"}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(Baldessarini R.J. et al., 2008)</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6591751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1844CAB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2220C70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5E7F885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5D9E720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2289837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Adelphy Bipolar Disorder DSP participants</w:t>
            </w:r>
          </w:p>
        </w:tc>
        <w:tc>
          <w:tcPr>
            <w:tcW w:w="141" w:type="pct"/>
            <w:shd w:val="clear" w:color="auto" w:fill="auto"/>
            <w:vAlign w:val="center"/>
            <w:hideMark/>
          </w:tcPr>
          <w:p w14:paraId="1085F91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7EB11D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Only completed questionnaires</w:t>
            </w:r>
          </w:p>
        </w:tc>
        <w:tc>
          <w:tcPr>
            <w:tcW w:w="237" w:type="pct"/>
            <w:shd w:val="clear" w:color="auto" w:fill="auto"/>
            <w:vAlign w:val="center"/>
            <w:hideMark/>
          </w:tcPr>
          <w:p w14:paraId="6BBC07C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42 (13.8)</w:t>
            </w:r>
          </w:p>
        </w:tc>
        <w:tc>
          <w:tcPr>
            <w:tcW w:w="236" w:type="pct"/>
            <w:shd w:val="clear" w:color="auto" w:fill="auto"/>
            <w:vAlign w:val="center"/>
            <w:hideMark/>
          </w:tcPr>
          <w:p w14:paraId="27841E8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129355B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 BD-NOS</w:t>
            </w:r>
          </w:p>
        </w:tc>
        <w:tc>
          <w:tcPr>
            <w:tcW w:w="497" w:type="pct"/>
            <w:shd w:val="clear" w:color="auto" w:fill="auto"/>
            <w:vAlign w:val="center"/>
            <w:hideMark/>
          </w:tcPr>
          <w:p w14:paraId="394D1EC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Questionnaires from patients and physician</w:t>
            </w:r>
          </w:p>
        </w:tc>
        <w:tc>
          <w:tcPr>
            <w:tcW w:w="167" w:type="pct"/>
            <w:shd w:val="clear" w:color="auto" w:fill="auto"/>
            <w:vAlign w:val="center"/>
            <w:hideMark/>
          </w:tcPr>
          <w:p w14:paraId="5EA3BB4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94" w:type="pct"/>
            <w:shd w:val="clear" w:color="auto" w:fill="auto"/>
            <w:vAlign w:val="center"/>
            <w:hideMark/>
          </w:tcPr>
          <w:p w14:paraId="4A55331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w:t>
            </w:r>
          </w:p>
        </w:tc>
        <w:tc>
          <w:tcPr>
            <w:tcW w:w="184" w:type="pct"/>
            <w:shd w:val="clear" w:color="auto" w:fill="auto"/>
            <w:vAlign w:val="center"/>
            <w:hideMark/>
          </w:tcPr>
          <w:p w14:paraId="4196DDF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429</w:t>
            </w:r>
          </w:p>
        </w:tc>
        <w:tc>
          <w:tcPr>
            <w:tcW w:w="313" w:type="pct"/>
            <w:shd w:val="clear" w:color="auto" w:fill="auto"/>
            <w:vAlign w:val="center"/>
            <w:hideMark/>
          </w:tcPr>
          <w:p w14:paraId="53CD2A6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2005</w:t>
            </w:r>
          </w:p>
        </w:tc>
      </w:tr>
      <w:tr w:rsidR="00D3535C" w:rsidRPr="00694969" w14:paraId="7F1B5575" w14:textId="77777777" w:rsidTr="00927C0A">
        <w:trPr>
          <w:jc w:val="center"/>
        </w:trPr>
        <w:tc>
          <w:tcPr>
            <w:tcW w:w="479" w:type="pct"/>
            <w:shd w:val="clear" w:color="auto" w:fill="auto"/>
            <w:vAlign w:val="center"/>
            <w:hideMark/>
          </w:tcPr>
          <w:p w14:paraId="728ABD6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Bizzarri, 2007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{"citationID":"187185abqa","properties":{"formattedCitation":"(Bizzarri et al., 2007)","plainCitation":"(Bizzarri et al., 2007)"},"citationItems":[{"id":187,"uris":["http://zotero.org/users/991106/items/AXZ2QDWT"],"uri":["http://zotero.org/users/991106/items/AXZ2QDWT"],"itemData":{"id":187,"type":"article-journal","title":"The spectrum of substance abuse in bipolar disorder: reasons for use, sensation seeking and substance sensitivity","container-title":"Bipolar Disorders","page":"213-220","volume":"9","issue":"3","abstract":"OBJECTIVES\n\nTo examine the spectrum of alcohol and substance abuse, including reasons for use, in patients with bipolar I disorder, compared with patients with substance use disorder and healthy controls, with a specific focus on the relationship between substance use, substance sensitivity, other comorbid psychiatric symptoms and traits related to sensation seeking.\n\n\nMETHODS\n\nThis study included 104 patients with bipolar I disorder (BPD I), of whom 57 (54.8%) met DSM-IV criteria for lifetime alcohol or substance use disorder (BPD + SUD), 35 patients with substance use disorder (SUD) and no psychiatric disorder and 50 healthy controls. Assessments included the Structured Clinical Interview for DSM-IV Axis I Disorders (SCID) and the Structured Clinical Interview for the Spectrum of Substance Use (SCI-SUBS).\n\n\nRESULTS\n\nPatients with BPD + SUD and SUD had significantly higher scores on the SCI-SUBS domains of self-medication, substance sensitivity and sensation seeking compared with patients with BPD and healthy controls. Reasons for substance use did not differ between patients with BPD + SUD and patients with SUD. Those most frequently cited were: improving mood; relieving tension; alleviating boredom; achieving/maintaining euphoria; and increasing energy.\n\n\nCONCLUSIONS\n\nRecourse to substances is associated with increased mood and anxiety symptoms, substance sensitivity, and sensation seeking among patients with BPD + SUD and SUD. Substance sensitivity and sensation seeking traits should be investigated in all patients with BPD as possible factors associated with a development of SUD, in order to warn patients of the specific risks related to improper use of medications and substances.","DOI":"10.1111/j.1399-5618.2007.00383.x","note":"PMID: 17430295","shortTitle":"The spectrum of substance abuse in bipolar disorder","journalAbbreviation":"Bipolar Disord","author":[{"family":"Bizzarri","given":"Jacopo V"},{"family":"Sbrana","given":"Alfredo"},{"family":"Rucci","given":"Paola"},{"family":"Ravani","given":"Laura"},{"family":"Massei","given":"Guido Jacopo"},{"family":"Gonnelli","given":"Chiara"},{"family":"Spagnolli","given":"Sabrina"},{"family":"Doria","given":"Maria Rosa"},{"family":"Raimondi","given":"Federica"},{"family":"Endicott","given":"Jean"},{"family":"Dell'Osso","given":"Liliana"},{"family":"Cassano","given":"Giovanni Battista"}],"issued":{"year":2007,"month":5},"accessed":{"year":2012,"month":3,"day":26},"page-first":"213"}}],"schema":"https://github.com/citation-style-language/schema/raw/master/csl-citation.json"}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(Bizzarri et al., 2007)</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4F91D2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Italy</w:t>
            </w:r>
          </w:p>
        </w:tc>
        <w:tc>
          <w:tcPr>
            <w:tcW w:w="136" w:type="pct"/>
            <w:shd w:val="clear" w:color="auto" w:fill="auto"/>
            <w:vAlign w:val="center"/>
            <w:hideMark/>
          </w:tcPr>
          <w:p w14:paraId="2837A8D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7A54F9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2905C1C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5CE8F6A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704AE69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047E0A9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7269694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unstable neurological and medical diseases or inability to cooperate</w:t>
            </w:r>
          </w:p>
        </w:tc>
        <w:tc>
          <w:tcPr>
            <w:tcW w:w="237" w:type="pct"/>
            <w:shd w:val="clear" w:color="auto" w:fill="auto"/>
            <w:vAlign w:val="center"/>
            <w:hideMark/>
          </w:tcPr>
          <w:p w14:paraId="50F8662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18-60</w:t>
            </w:r>
          </w:p>
        </w:tc>
        <w:tc>
          <w:tcPr>
            <w:tcW w:w="236" w:type="pct"/>
            <w:shd w:val="clear" w:color="auto" w:fill="auto"/>
            <w:vAlign w:val="center"/>
            <w:hideMark/>
          </w:tcPr>
          <w:p w14:paraId="64743AE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5A040A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680C252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SCID-I/P, SCI-SUBS</w:t>
            </w:r>
          </w:p>
        </w:tc>
        <w:tc>
          <w:tcPr>
            <w:tcW w:w="167" w:type="pct"/>
            <w:shd w:val="clear" w:color="auto" w:fill="auto"/>
            <w:vAlign w:val="center"/>
            <w:hideMark/>
          </w:tcPr>
          <w:p w14:paraId="34F958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CB8937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FFECD6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104</w:t>
            </w:r>
          </w:p>
        </w:tc>
        <w:tc>
          <w:tcPr>
            <w:tcW w:w="313" w:type="pct"/>
            <w:shd w:val="clear" w:color="auto" w:fill="auto"/>
            <w:vAlign w:val="center"/>
            <w:hideMark/>
          </w:tcPr>
          <w:p w14:paraId="5D1B65C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54F9B06C" w14:textId="77777777" w:rsidTr="00927C0A">
        <w:trPr>
          <w:jc w:val="center"/>
        </w:trPr>
        <w:tc>
          <w:tcPr>
            <w:tcW w:w="479" w:type="pct"/>
            <w:shd w:val="clear" w:color="auto" w:fill="auto"/>
            <w:vAlign w:val="center"/>
            <w:hideMark/>
          </w:tcPr>
          <w:p w14:paraId="56AA5A1F"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Brown, 2005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26vq30selv","properties":{"formattedCitation":"(64)","plainCitation":"(64)","dontUpdate":true},"citationItems":[{"id":189,"uris":["http://zotero.org/users/991106/items/WW8JIZD4"],"uri":["http://zotero.org/users/991106/items/WW8JIZD4"],"itemData":{"id":189,"type":"article-journal","title":"Clinical, psychosocial, and treatment differences in minority patients with bipolar disorder","container-title":"Bipolar Disorders","page":"89-97","volume":"7","issue":"1","abstract":"OBJECTIVES\n\nThe clinical profile of minorities with bipolar disorder has been largely unexplored. We compared the clinical (e.g. psychiatric and substance use comorbidity), psychosocial, and treatment characteristics between white and minority patients with bipolar disorder (minorities were defined as black or other minority, which included Hispanic, Asian-American, or Native-Americans).\n\n\nMETHODS\n\nWe collected demographic, diagnosis, and treatment information using the Structured Clinical Interview for DSM-IV (SCID) from 330 inpatients with a current major affective episode across 11 Veterans Affairs (VA) Medical Centers enrolled in the VA Cooperative Study (Reducing the Efficacy-Effectiveness Gap in Bipolar Disorder).\n\n\nRESULTS\n\nTwenty-four percent (n=80) were minority; 9% (n=30) were women, 4% (n=20) were &gt;or=65 years old; and the majority (87%, n=286) had bipolar type I. Minorities compared with whites were no more likely to have a current episode of psychosis (30% versus 37%, respectively; p=0.28). However, minorities were more likely than whites to have a cocaine use disorder (adjusted odd's ratio, OR=2.2; 95% CI: 1.4-3.5; p&lt;0.01) or current alcohol abuse disorder (adjusted OR=1.8; 95% CI: 1.1-3.9;p&lt;0.05). Further breakdown by race/ethnicity revealed that cocaine use disorder was most prevalent among blacks (n=14, 29%), compared with all other minorities (n=2, 6%) or whites (n=10, 4%; p&lt;0.001). Other minorities compared with blacks or whites were more likely involuntarily committed during some part of their index hospitalization (adjusted OR=2.47; 95% CI: 1.1-5.7; p=0.04).\n\n\nCONCLUSIONS\n\nMinorities with bipolar disorder may be a more vulnerable population because of higher rates of substance use disorder and higher rates of involuntary psychiatric commitment. Moreover, the specific profile of vulnerability may differ across minority groups.","DOI":"10.1111/j.1399-5618.2004.00161.x","note":"PMID: 15654937","journalAbbreviation":"Bipolar Disord","author":[{"family":"Kilbourne","given":"Amy M"},{"family":"Bauer","given":"Mark S"},{"family":"Pincus","given":"Harold"},{"family":"Williford","given":"William O"},{"family":"Kirk","given":"Gail F"},{"family":"Beresford","given":"Thomas"}],"issued":{"year":2005,"month":2},"accessed":{"year":2012,"month":3,"day":26},"page-first":"89"}}],"schema":"https://github.com/citation-style-language/schema/raw/master/csl-citation.json"} </w:instrText>
            </w:r>
            <w:r w:rsidRPr="00694969">
              <w:rPr>
                <w:rFonts w:ascii="Times New Roman" w:eastAsia="Times New Roman" w:hAnsi="Times New Roman"/>
                <w:bCs/>
                <w:color w:val="000000"/>
                <w:sz w:val="18"/>
                <w:szCs w:val="18"/>
              </w:rPr>
              <w:fldChar w:fldCharType="separate"/>
            </w:r>
            <w:r w:rsidRPr="00694969">
              <w:rPr>
                <w:rFonts w:ascii="Times New Roman" w:eastAsia="Times New Roman" w:hAnsi="Times New Roman"/>
                <w:bCs/>
                <w:noProof/>
                <w:color w:val="000000"/>
                <w:sz w:val="18"/>
                <w:szCs w:val="18"/>
              </w:rPr>
              <w:t>(26)</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Kilbourne, 2005 (64)</w:t>
            </w:r>
          </w:p>
        </w:tc>
        <w:tc>
          <w:tcPr>
            <w:tcW w:w="362" w:type="pct"/>
            <w:shd w:val="clear" w:color="auto" w:fill="auto"/>
            <w:vAlign w:val="center"/>
            <w:hideMark/>
          </w:tcPr>
          <w:p w14:paraId="6050316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7F84039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068AF3D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BB9C1F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4054184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7533F79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VA Cooperative Study #430</w:t>
            </w:r>
          </w:p>
        </w:tc>
        <w:tc>
          <w:tcPr>
            <w:tcW w:w="141" w:type="pct"/>
            <w:shd w:val="clear" w:color="auto" w:fill="auto"/>
            <w:vAlign w:val="center"/>
            <w:hideMark/>
          </w:tcPr>
          <w:p w14:paraId="65AE449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698AC5B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Not acute intoxication, withdrawal, delirium, terminal medical illness, MMSE&gt;26, hospitalised</w:t>
            </w:r>
          </w:p>
        </w:tc>
        <w:tc>
          <w:tcPr>
            <w:tcW w:w="237" w:type="pct"/>
            <w:shd w:val="clear" w:color="auto" w:fill="auto"/>
            <w:vAlign w:val="center"/>
            <w:hideMark/>
          </w:tcPr>
          <w:p w14:paraId="0BD12F9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46 (10.0)</w:t>
            </w:r>
          </w:p>
        </w:tc>
        <w:tc>
          <w:tcPr>
            <w:tcW w:w="236" w:type="pct"/>
            <w:shd w:val="clear" w:color="auto" w:fill="auto"/>
            <w:vAlign w:val="center"/>
            <w:hideMark/>
          </w:tcPr>
          <w:p w14:paraId="731C843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2808CDD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74CE13E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20DECB2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 C</w:t>
            </w:r>
          </w:p>
        </w:tc>
        <w:tc>
          <w:tcPr>
            <w:tcW w:w="194" w:type="pct"/>
            <w:shd w:val="clear" w:color="auto" w:fill="auto"/>
            <w:vAlign w:val="center"/>
            <w:hideMark/>
          </w:tcPr>
          <w:p w14:paraId="1E256F2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 AD</w:t>
            </w:r>
          </w:p>
        </w:tc>
        <w:tc>
          <w:tcPr>
            <w:tcW w:w="184" w:type="pct"/>
            <w:shd w:val="clear" w:color="auto" w:fill="auto"/>
            <w:vAlign w:val="center"/>
            <w:hideMark/>
          </w:tcPr>
          <w:p w14:paraId="1D2674B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330</w:t>
            </w:r>
          </w:p>
        </w:tc>
        <w:tc>
          <w:tcPr>
            <w:tcW w:w="313" w:type="pct"/>
            <w:shd w:val="clear" w:color="auto" w:fill="auto"/>
            <w:vAlign w:val="center"/>
            <w:hideMark/>
          </w:tcPr>
          <w:p w14:paraId="6758CE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1997-2003</w:t>
            </w:r>
          </w:p>
        </w:tc>
      </w:tr>
      <w:tr w:rsidR="00D3535C" w:rsidRPr="00694969" w14:paraId="762FFD84" w14:textId="77777777" w:rsidTr="00927C0A">
        <w:trPr>
          <w:jc w:val="center"/>
        </w:trPr>
        <w:tc>
          <w:tcPr>
            <w:tcW w:w="479" w:type="pct"/>
            <w:shd w:val="clear" w:color="auto" w:fill="auto"/>
            <w:vAlign w:val="center"/>
            <w:hideMark/>
          </w:tcPr>
          <w:p w14:paraId="09F202F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Cardoso, 2008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{"citationID":"2l2uku3cir","properties":{"formattedCitation":"(Cardoso et al., 2008)","plainCitation":"(Cardoso et al., 2008)"},"citationItems":[{"id":190,"uris":["http://zotero.org/users/991106/items/NVQXTQK8"],"uri":["http://zotero.org/users/991106/items/NVQXTQK8"],"itemData":{"id":190,"type":"article-journal","title":"The impact of co-morbid alcohol use disorder in bipolar patients","container-title":"Alcohol (Fayetteville, N.Y.)","page":"451-457","volume":"42","issue":"6","abstract":"Alcohol use is highly prevalent in patients with bipolar disorder (BD) and is associated with significant mortality and morbidity. The detrimental effects of each condition are compounded by the presence of the other. The objective of this study was to examine the impact of alcohol abuse and of alcohol dependence in BD in a Brazilian sample, as indicated by clinical severity, functional impairment, and quality of life (QOL). A cross-sectional survey of 186 bipolar outpatients were interviewed using the Structured Clinical Interview for the Diagnostic and Statistical Manual of Mental Disorders-4th Edition. The primary outcome measures were functioning, as indicated by the Global Assessment of Functioning Scale scores and QOL, as indicated by the World Health Organization Quality of Life Instrument. Secondary outcomes were clinical severity features. Alcohol abuse and dependence were associated with male gender, lower education, earlier age of onset, psychosis within first episode, depressive symptoms, and worse functioning. In addition, the presence of alcohol abuse or dependence was associated with remarkably high rates of suicide attempt. Our findings suggest that the co-occurrence of alcohol abuse/dependence with BD increases the risk for suicide attempt, which may reflect in part the greater severity of symptoms and impaired functioning. This subgroup of bipolar patients requires a treatment tailored to address both conditions.","DOI":"10.1016/j.alcohol.2008.05.003","note":"PMID: 18760714","journalAbbreviation":"Alcohol","author":[{"family":"Cardoso","given":"Betina Mariante"},{"family":"Kauer Sant'Anna","given":"Márcia"},{"family":"Dias","given":"Vasco Videira"},{"family":"Andreazza","given":"Ana Christina"},{"family":"Ceresér","given":"Keila Maria"},{"family":"Kapczinski","given":"Flávio"}],"issued":{"year":2008,"month":9},"accessed":{"year":2012,"month":3,"day":26},"page-first":"451"}}],"schema":"https://github.com/citation-style-language/schema/raw/master/csl-citation.json"}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(Cardoso et al., 2008)</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24688E8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Brazil</w:t>
            </w:r>
          </w:p>
        </w:tc>
        <w:tc>
          <w:tcPr>
            <w:tcW w:w="136" w:type="pct"/>
            <w:shd w:val="clear" w:color="auto" w:fill="auto"/>
            <w:vAlign w:val="center"/>
            <w:hideMark/>
          </w:tcPr>
          <w:p w14:paraId="5A2FBD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74804BB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78E658E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37EDFF5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4068BF6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0D84EC9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3F74A8C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w:t>
            </w:r>
          </w:p>
        </w:tc>
        <w:tc>
          <w:tcPr>
            <w:tcW w:w="237" w:type="pct"/>
            <w:shd w:val="clear" w:color="auto" w:fill="auto"/>
            <w:vAlign w:val="center"/>
            <w:hideMark/>
          </w:tcPr>
          <w:p w14:paraId="797BD14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1E187B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2C4EFD1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6D510F0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59B9B8E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4F6AB5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 AD</w:t>
            </w:r>
          </w:p>
        </w:tc>
        <w:tc>
          <w:tcPr>
            <w:tcW w:w="184" w:type="pct"/>
            <w:shd w:val="clear" w:color="auto" w:fill="auto"/>
            <w:vAlign w:val="center"/>
            <w:hideMark/>
          </w:tcPr>
          <w:p w14:paraId="4618F2E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178</w:t>
            </w:r>
          </w:p>
        </w:tc>
        <w:tc>
          <w:tcPr>
            <w:tcW w:w="313" w:type="pct"/>
            <w:shd w:val="clear" w:color="auto" w:fill="auto"/>
            <w:vAlign w:val="center"/>
            <w:hideMark/>
          </w:tcPr>
          <w:p w14:paraId="462AE21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2003-2007</w:t>
            </w:r>
          </w:p>
        </w:tc>
      </w:tr>
      <w:tr w:rsidR="00D3535C" w:rsidRPr="00694969" w14:paraId="286FB6CA" w14:textId="77777777" w:rsidTr="00927C0A">
        <w:trPr>
          <w:jc w:val="center"/>
        </w:trPr>
        <w:tc>
          <w:tcPr>
            <w:tcW w:w="479" w:type="pct"/>
            <w:vMerge w:val="restart"/>
            <w:shd w:val="clear" w:color="auto" w:fill="auto"/>
            <w:vAlign w:val="center"/>
            <w:hideMark/>
          </w:tcPr>
          <w:p w14:paraId="2A1DB281"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Cassidy, 2001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{"citationID":"23ckgjqqnv","properties":{"formattedCitation":"(Cassidy et al., 2001)","plainCitation":"(Cassidy et al., 2001)"},"citationItems":[{"id":191,"uris":["http://zotero.org/users/991106/items/87BQEGIF"],"uri":["http://zotero.org/users/991106/items/87BQEGIF"],"itemData":{"id":191,"type":"article-journal","title":"Substance abuse in bipolar disorder","container-title":"Bipolar Disorders","page":"181-188","volume":"3","issue":"4","abstract":"BACKGROUND\n\nHigh rates of substance abuse have been reported in the general population, with males more often affected than females. Although high rates of substance abuse have also been reported in bipolar patients, the relationship between substance abuse and bipolar disorder has not been well characterized.\n\n\nMETHODS\n\nSubstance abuse histories were obtained in 392 patients hospitalized for manic or mixed episodes of bipolar disorder and rates of current and lifetime abuse calculated. Analyses comparing sex, subtype (manic vs. mixed) and clinical history variables were conducted.\n\n\nRESULTS\n\nRates of lifetime substance abuse were high for both alcohol (48.5%) and drugs (43.9%). Nearly 60% of the cohort had a history of some lifetime substance abuse. Males had higher rates of abuse than females, but no differences in substance abuse were observed between subjects in manic and mixed bipolar states. Rates of active substance abuse were lower in older age cohorts. Subjects with a comorbid diagnosis of lifetime substance abuse had more psychiatric hospitalizations.\n\n\nCONCLUSIONS\n\nSubstance abuse is a major comorbidity in bipolar patients. Although rates decrease in older age groups, substance abuse is still present at clinically important rates in the elderly. Bipolar patients with comorbid substance abuse may have a more severe course. These data underscore the significance of recognition and treatment of substance abuse in bipolar disorder patients.","note":"PMID: 11552957","journalAbbreviation":"Bipolar Disord","author":[{"family":"Cassidy","given":"F"},{"family":"Ahearn","given":"E P"},{"family":"Carroll","given":"B J"}],"issued":{"year":2001,"month":8},"accessed":{"year":2012,"month":3,"day":26},"page-first":"181"}}],"schema":"https://github.com/citation-style-language/schema/raw/master/csl-citation.json"}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(Cassidy et al., 2001)</w:t>
            </w:r>
            <w:r w:rsidRPr="00694969">
              <w:rPr>
                <w:rFonts w:ascii="Times New Roman" w:eastAsia="Times New Roman" w:hAnsi="Times New Roman"/>
                <w:bCs/>
                <w:color w:val="000000"/>
                <w:sz w:val="18"/>
                <w:szCs w:val="18"/>
              </w:rPr>
              <w:fldChar w:fldCharType="end"/>
            </w:r>
          </w:p>
        </w:tc>
        <w:tc>
          <w:tcPr>
            <w:tcW w:w="362" w:type="pct"/>
            <w:vMerge w:val="restart"/>
            <w:shd w:val="clear" w:color="auto" w:fill="auto"/>
            <w:vAlign w:val="center"/>
            <w:hideMark/>
          </w:tcPr>
          <w:p w14:paraId="5055DAF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vMerge w:val="restart"/>
            <w:shd w:val="clear" w:color="auto" w:fill="auto"/>
            <w:vAlign w:val="center"/>
            <w:hideMark/>
          </w:tcPr>
          <w:p w14:paraId="08BD7F3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vMerge w:val="restart"/>
            <w:shd w:val="clear" w:color="auto" w:fill="auto"/>
            <w:vAlign w:val="center"/>
            <w:hideMark/>
          </w:tcPr>
          <w:p w14:paraId="68C4FEE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vMerge w:val="restart"/>
            <w:shd w:val="clear" w:color="auto" w:fill="auto"/>
            <w:vAlign w:val="center"/>
            <w:hideMark/>
          </w:tcPr>
          <w:p w14:paraId="68747D3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vMerge w:val="restart"/>
            <w:shd w:val="clear" w:color="auto" w:fill="auto"/>
            <w:vAlign w:val="center"/>
            <w:hideMark/>
          </w:tcPr>
          <w:p w14:paraId="57F3E2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vMerge w:val="restart"/>
            <w:shd w:val="clear" w:color="auto" w:fill="auto"/>
            <w:vAlign w:val="center"/>
            <w:hideMark/>
          </w:tcPr>
          <w:p w14:paraId="424D9AD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vMerge w:val="restart"/>
            <w:shd w:val="clear" w:color="auto" w:fill="auto"/>
            <w:vAlign w:val="center"/>
            <w:hideMark/>
          </w:tcPr>
          <w:p w14:paraId="3639F67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vMerge w:val="restart"/>
            <w:shd w:val="clear" w:color="auto" w:fill="auto"/>
            <w:vAlign w:val="center"/>
            <w:hideMark/>
          </w:tcPr>
          <w:p w14:paraId="68B0C3D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Accurate report of AUD</w:t>
            </w:r>
          </w:p>
        </w:tc>
        <w:tc>
          <w:tcPr>
            <w:tcW w:w="237" w:type="pct"/>
            <w:vMerge w:val="restart"/>
            <w:shd w:val="clear" w:color="auto" w:fill="auto"/>
            <w:vAlign w:val="center"/>
            <w:hideMark/>
          </w:tcPr>
          <w:p w14:paraId="6056DB9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42 (13.7)</w:t>
            </w:r>
          </w:p>
        </w:tc>
        <w:tc>
          <w:tcPr>
            <w:tcW w:w="236" w:type="pct"/>
            <w:vMerge w:val="restart"/>
            <w:shd w:val="clear" w:color="auto" w:fill="auto"/>
            <w:vAlign w:val="center"/>
            <w:hideMark/>
          </w:tcPr>
          <w:p w14:paraId="7F31FA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vMerge w:val="restart"/>
            <w:shd w:val="clear" w:color="auto" w:fill="auto"/>
            <w:vAlign w:val="center"/>
            <w:hideMark/>
          </w:tcPr>
          <w:p w14:paraId="3B7076D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vMerge w:val="restart"/>
            <w:shd w:val="clear" w:color="auto" w:fill="auto"/>
            <w:vAlign w:val="center"/>
            <w:hideMark/>
          </w:tcPr>
          <w:p w14:paraId="648C48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Unstructured check-list</w:t>
            </w:r>
          </w:p>
        </w:tc>
        <w:tc>
          <w:tcPr>
            <w:tcW w:w="167" w:type="pct"/>
            <w:shd w:val="clear" w:color="auto" w:fill="auto"/>
            <w:vAlign w:val="center"/>
            <w:hideMark/>
          </w:tcPr>
          <w:p w14:paraId="74D7CE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vMerge w:val="restart"/>
            <w:shd w:val="clear" w:color="auto" w:fill="auto"/>
            <w:vAlign w:val="center"/>
            <w:hideMark/>
          </w:tcPr>
          <w:p w14:paraId="162B01F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0AF82C4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392</w:t>
            </w:r>
          </w:p>
        </w:tc>
        <w:tc>
          <w:tcPr>
            <w:tcW w:w="313" w:type="pct"/>
            <w:vMerge w:val="restart"/>
            <w:shd w:val="clear" w:color="auto" w:fill="auto"/>
            <w:vAlign w:val="center"/>
            <w:hideMark/>
          </w:tcPr>
          <w:p w14:paraId="6DC7E38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1993-1999</w:t>
            </w:r>
          </w:p>
        </w:tc>
      </w:tr>
      <w:tr w:rsidR="00D3535C" w:rsidRPr="00694969" w14:paraId="77478FD4" w14:textId="77777777" w:rsidTr="00927C0A">
        <w:trPr>
          <w:jc w:val="center"/>
        </w:trPr>
        <w:tc>
          <w:tcPr>
            <w:tcW w:w="479" w:type="pct"/>
            <w:vMerge/>
            <w:shd w:val="clear" w:color="auto" w:fill="auto"/>
            <w:vAlign w:val="center"/>
            <w:hideMark/>
          </w:tcPr>
          <w:p w14:paraId="60C41EA6" w14:textId="77777777" w:rsidR="00D3535C" w:rsidRPr="00694969" w:rsidRDefault="00D3535C" w:rsidP="00927C0A">
            <w:pPr>
              <w:spacing w:after="0"/>
              <w:jc w:val="center"/>
              <w:rPr>
                <w:rFonts w:ascii="Times New Roman" w:eastAsia="Times New Roman" w:hAnsi="Times New Roman"/>
                <w:bCs/>
                <w:color w:val="000000"/>
                <w:sz w:val="18"/>
                <w:szCs w:val="18"/>
              </w:rPr>
            </w:pPr>
          </w:p>
        </w:tc>
        <w:tc>
          <w:tcPr>
            <w:tcW w:w="362" w:type="pct"/>
            <w:vMerge/>
            <w:shd w:val="clear" w:color="auto" w:fill="auto"/>
            <w:vAlign w:val="center"/>
            <w:hideMark/>
          </w:tcPr>
          <w:p w14:paraId="5ED8BA24"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36" w:type="pct"/>
            <w:vMerge/>
            <w:shd w:val="clear" w:color="auto" w:fill="auto"/>
            <w:vAlign w:val="center"/>
            <w:hideMark/>
          </w:tcPr>
          <w:p w14:paraId="3B69F03D"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1" w:type="pct"/>
            <w:vMerge/>
            <w:shd w:val="clear" w:color="auto" w:fill="auto"/>
            <w:vAlign w:val="center"/>
            <w:hideMark/>
          </w:tcPr>
          <w:p w14:paraId="6A3222FC"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1" w:type="pct"/>
            <w:vMerge/>
            <w:shd w:val="clear" w:color="auto" w:fill="auto"/>
            <w:vAlign w:val="center"/>
            <w:hideMark/>
          </w:tcPr>
          <w:p w14:paraId="2074FAAF"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26" w:type="pct"/>
            <w:vMerge/>
            <w:shd w:val="clear" w:color="auto" w:fill="auto"/>
            <w:vAlign w:val="center"/>
            <w:hideMark/>
          </w:tcPr>
          <w:p w14:paraId="42C1DCF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87" w:type="pct"/>
            <w:vMerge/>
            <w:shd w:val="clear" w:color="auto" w:fill="auto"/>
            <w:vAlign w:val="center"/>
            <w:hideMark/>
          </w:tcPr>
          <w:p w14:paraId="224613CC"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1" w:type="pct"/>
            <w:vMerge/>
            <w:shd w:val="clear" w:color="auto" w:fill="auto"/>
            <w:vAlign w:val="center"/>
            <w:hideMark/>
          </w:tcPr>
          <w:p w14:paraId="75723174"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62" w:type="pct"/>
            <w:vMerge/>
            <w:shd w:val="clear" w:color="auto" w:fill="auto"/>
            <w:vAlign w:val="center"/>
            <w:hideMark/>
          </w:tcPr>
          <w:p w14:paraId="38E01FC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7" w:type="pct"/>
            <w:vMerge/>
            <w:shd w:val="clear" w:color="auto" w:fill="auto"/>
            <w:vAlign w:val="center"/>
            <w:hideMark/>
          </w:tcPr>
          <w:p w14:paraId="092F2F9E"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6" w:type="pct"/>
            <w:vMerge/>
            <w:shd w:val="clear" w:color="auto" w:fill="auto"/>
            <w:vAlign w:val="center"/>
            <w:hideMark/>
          </w:tcPr>
          <w:p w14:paraId="72428794"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16" w:type="pct"/>
            <w:vMerge/>
            <w:shd w:val="clear" w:color="auto" w:fill="auto"/>
            <w:vAlign w:val="center"/>
            <w:hideMark/>
          </w:tcPr>
          <w:p w14:paraId="7D582808"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497" w:type="pct"/>
            <w:vMerge/>
            <w:shd w:val="clear" w:color="auto" w:fill="auto"/>
            <w:vAlign w:val="center"/>
            <w:hideMark/>
          </w:tcPr>
          <w:p w14:paraId="3A04B11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67" w:type="pct"/>
            <w:shd w:val="clear" w:color="auto" w:fill="auto"/>
            <w:vAlign w:val="center"/>
            <w:hideMark/>
          </w:tcPr>
          <w:p w14:paraId="6109C4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94" w:type="pct"/>
            <w:vMerge/>
            <w:shd w:val="clear" w:color="auto" w:fill="auto"/>
            <w:vAlign w:val="center"/>
            <w:hideMark/>
          </w:tcPr>
          <w:p w14:paraId="4EBA946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4" w:type="pct"/>
            <w:shd w:val="clear" w:color="auto" w:fill="auto"/>
            <w:vAlign w:val="center"/>
            <w:hideMark/>
          </w:tcPr>
          <w:p w14:paraId="66DB31D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353</w:t>
            </w:r>
          </w:p>
        </w:tc>
        <w:tc>
          <w:tcPr>
            <w:tcW w:w="313" w:type="pct"/>
            <w:vMerge/>
            <w:shd w:val="clear" w:color="auto" w:fill="auto"/>
            <w:vAlign w:val="center"/>
            <w:hideMark/>
          </w:tcPr>
          <w:p w14:paraId="0214E952"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3015D3DD" w14:textId="77777777" w:rsidTr="00927C0A">
        <w:trPr>
          <w:jc w:val="center"/>
        </w:trPr>
        <w:tc>
          <w:tcPr>
            <w:tcW w:w="479" w:type="pct"/>
            <w:shd w:val="clear" w:color="auto" w:fill="auto"/>
            <w:vAlign w:val="center"/>
            <w:hideMark/>
          </w:tcPr>
          <w:p w14:paraId="0F65BC3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Castilla-Puentes, 2012 (18)</w:t>
            </w:r>
          </w:p>
        </w:tc>
        <w:tc>
          <w:tcPr>
            <w:tcW w:w="362" w:type="pct"/>
            <w:shd w:val="clear" w:color="auto" w:fill="auto"/>
            <w:vAlign w:val="center"/>
            <w:hideMark/>
          </w:tcPr>
          <w:p w14:paraId="4CF17E3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Argentina, Brazil, Chile, Colombia, Mexico</w:t>
            </w:r>
          </w:p>
        </w:tc>
        <w:tc>
          <w:tcPr>
            <w:tcW w:w="136" w:type="pct"/>
            <w:shd w:val="clear" w:color="auto" w:fill="auto"/>
            <w:vAlign w:val="center"/>
            <w:hideMark/>
          </w:tcPr>
          <w:p w14:paraId="6784CD3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6CC195C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B/C</w:t>
            </w:r>
          </w:p>
        </w:tc>
        <w:tc>
          <w:tcPr>
            <w:tcW w:w="181" w:type="pct"/>
            <w:shd w:val="clear" w:color="auto" w:fill="auto"/>
            <w:vAlign w:val="center"/>
            <w:hideMark/>
          </w:tcPr>
          <w:p w14:paraId="599B516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368F988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E&amp;A</w:t>
            </w:r>
          </w:p>
        </w:tc>
        <w:tc>
          <w:tcPr>
            <w:tcW w:w="587" w:type="pct"/>
            <w:shd w:val="clear" w:color="auto" w:fill="auto"/>
            <w:vAlign w:val="center"/>
            <w:hideMark/>
          </w:tcPr>
          <w:p w14:paraId="3DDBCD1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34578E7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1E027F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Severe illness, acute distress, cognitive disturbance, possible sexual assault, language problem</w:t>
            </w:r>
          </w:p>
        </w:tc>
        <w:tc>
          <w:tcPr>
            <w:tcW w:w="237" w:type="pct"/>
            <w:shd w:val="clear" w:color="auto" w:fill="auto"/>
            <w:vAlign w:val="center"/>
            <w:hideMark/>
          </w:tcPr>
          <w:p w14:paraId="60D856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w:t>
            </w:r>
          </w:p>
        </w:tc>
        <w:tc>
          <w:tcPr>
            <w:tcW w:w="236" w:type="pct"/>
            <w:shd w:val="clear" w:color="auto" w:fill="auto"/>
            <w:vAlign w:val="center"/>
            <w:hideMark/>
          </w:tcPr>
          <w:p w14:paraId="668C718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34ED472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w:t>
            </w:r>
          </w:p>
        </w:tc>
        <w:tc>
          <w:tcPr>
            <w:tcW w:w="497" w:type="pct"/>
            <w:shd w:val="clear" w:color="auto" w:fill="auto"/>
            <w:vAlign w:val="center"/>
            <w:hideMark/>
          </w:tcPr>
          <w:p w14:paraId="0DCF729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Unstructured</w:t>
            </w:r>
          </w:p>
        </w:tc>
        <w:tc>
          <w:tcPr>
            <w:tcW w:w="167" w:type="pct"/>
            <w:shd w:val="clear" w:color="auto" w:fill="auto"/>
            <w:vAlign w:val="center"/>
            <w:hideMark/>
          </w:tcPr>
          <w:p w14:paraId="6A6BF95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B4AAEA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0B1AB07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78</w:t>
            </w:r>
          </w:p>
        </w:tc>
        <w:tc>
          <w:tcPr>
            <w:tcW w:w="313" w:type="pct"/>
            <w:shd w:val="clear" w:color="auto" w:fill="auto"/>
            <w:vAlign w:val="center"/>
            <w:hideMark/>
          </w:tcPr>
          <w:p w14:paraId="19F03B0B"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6BF8E2CB" w14:textId="77777777" w:rsidTr="00927C0A">
        <w:trPr>
          <w:jc w:val="center"/>
        </w:trPr>
        <w:tc>
          <w:tcPr>
            <w:tcW w:w="479" w:type="pct"/>
            <w:shd w:val="clear" w:color="auto" w:fill="auto"/>
            <w:vAlign w:val="center"/>
            <w:hideMark/>
          </w:tcPr>
          <w:p w14:paraId="506D87F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Cha,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{"citationID":"2l6vlbbm4h","properties":{"formattedCitation":"(Cha B. et al., 2009)","plainCitation":"(Cha B. et al., 2009)"},"citationItems":[{"id":424,"uris":["http://zotero.org/users/991106/items/WSIBI2S4"],"uri":["http://zotero.org/users/991106/items/WSIBI2S4"],"itemData":{"id":424,"type":"article-journal","title":"Axis I psychiatric comorbidity in Korean patients with bipolar disorder: Prevalence and response to treatment.","container-title":"Journal of Cancer Education","abstract":"Background: The purpose of this study was to investigate the prevalence rate of axis I psychiatric comorbidity in patients with bipolar disorder, and the influence of this comorbidity on severity of mood symptoms and response to treatment. Also, the authors examined whether axis I psychiatric comorbidity is different according to gender and bipolar subtype. Methods: The study sample included 279 outpatients with bipolar I disorder (BP I, N= 128) and bipolar II disorder (BP II, N=151). All patients were interviewed to evaluate lifetime or current axis I psychiatric comorbidity using the structured clinical interview for DSM-IV (SCID). To assess response to standardized treatment in bipolar disorder patients with and without axis I psychiatric comorbidity in a naturalistic real-world setting, the severity of mood symptoms were assessed with Hamilton Depression Rating Scale (HDRS), Montgomery Asberg Depression Rating Scale (MADRS), Young Mania Rating Scale (YMRS), Beck Depression Inventory (BDI), Beck Anxiety Inventory (BAI), at baseline and repeated at 6 month. Differences in comorbidity rates according to gender and bipolar subtype were examined with the Pearson's Chi-square test. T-test was used to exam the differences in the severity of mood symptoms according to the presence of comorbidity in patients with bipolar disorder. Results: The prevalence of any lifetime comorbid disorder for the entire sample was 56.3%. A 32.9% had at least one comorbid condition among anxiety disorders; 12.6% had panic disorder, 11.5% had social phobia, 16.1% had specific phobia, 16.1% had OCD, 1.6% had PTSD, and 5.1% had GAD. A 22.3% had alcohol abuse/dependence, and a 7.2% had eating disorder. BP I and II patients showed significantly different rates of current comorbid disorders (BP I 26.6% vs BP II 40.7%; P = 0.037), lifetime panic disorder (BP I 7.5%, BP II 17.7%; P = 0.036), and current alcohol use disorder (BP I 1.6%, BP II 9.7%; P = 0.017). Current specific phobia and lifetime eating disorders were more prevalent in female than in male. Bipolar disorder patients with comorbidity were not different for objective outcome measure (HDRS, MADRS, YMRS) from those without comorbidity. However, in the subjective measure (BDI, BAI), the presence of comorbidity was associated with increased anxiety and depression scores at baseline. Conclusions: Comorbidity was common in Korean patients with bipolar disorder. Compared with western country, rate of lifetime comorbid non-alcoholic substance use disorder was rare in Korea. Our findings suggest that different pattern of comorbidity exist according to gender and bipolar subtype. We found that in the naturalistic treatment setting, the axis I psychiatric comorbidity of bipolar disorder patients does not influence the response to treatment. Our results suggest that higher rate of comorbidity in patients with bipolar disorder should be taken into consideration in clinical practice, and subjective measures such as BAI might be helpful to screening of comorbidity in bipolar disorder patients. Further research examining the impact of axis I comorbidity on function and course in bipolar disorder is needed.","URL":"http://ovidsp.ovid.com/ovidweb.cgi?T=JS&amp;CSC=Y&amp;NEWS=N&amp;PAGE=fulltext&amp;D=emed9&amp;AN=70044745","DOI":"http://dx.doi.org/10.1016/S0924-977X%2809%2970722-9","shortTitle":"Axis I psychiatric comorbidity in Korean patients with bipolar disorder","author":[{"family":"Cha B.","given":""},{"family":"Moon E.S.","given":""},{"family":"Jeong C.Y.","given":""},{"family":"Ha K.","given":""}],"issued":{"year":2009},"accessed":{"year":2012,"month":4,"day":16}}}],"schema":"https://github.com/citation-style-language/schema/raw/master/csl-citation.json"}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(Cha B. et al., 2009)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1506284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South Korea</w:t>
            </w:r>
          </w:p>
        </w:tc>
        <w:tc>
          <w:tcPr>
            <w:tcW w:w="136" w:type="pct"/>
            <w:shd w:val="clear" w:color="auto" w:fill="auto"/>
            <w:vAlign w:val="center"/>
            <w:hideMark/>
          </w:tcPr>
          <w:p w14:paraId="28434CC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38E588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58B522C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226" w:type="pct"/>
            <w:shd w:val="clear" w:color="auto" w:fill="auto"/>
            <w:vAlign w:val="center"/>
            <w:hideMark/>
          </w:tcPr>
          <w:p w14:paraId="3805038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3365A2A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141" w:type="pct"/>
            <w:shd w:val="clear" w:color="auto" w:fill="auto"/>
            <w:vAlign w:val="center"/>
            <w:hideMark/>
          </w:tcPr>
          <w:p w14:paraId="5D1D61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562" w:type="pct"/>
            <w:shd w:val="clear" w:color="auto" w:fill="auto"/>
            <w:vAlign w:val="center"/>
            <w:hideMark/>
          </w:tcPr>
          <w:p w14:paraId="4B3D780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237" w:type="pct"/>
            <w:shd w:val="clear" w:color="auto" w:fill="auto"/>
            <w:vAlign w:val="center"/>
            <w:hideMark/>
          </w:tcPr>
          <w:p w14:paraId="1032386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236" w:type="pct"/>
            <w:shd w:val="clear" w:color="auto" w:fill="auto"/>
            <w:vAlign w:val="center"/>
            <w:hideMark/>
          </w:tcPr>
          <w:p w14:paraId="71AA801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34FFCBF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543FA63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28D807F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02B53D0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7DF23FC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279</w:t>
            </w:r>
          </w:p>
        </w:tc>
        <w:tc>
          <w:tcPr>
            <w:tcW w:w="313" w:type="pct"/>
            <w:shd w:val="clear" w:color="auto" w:fill="auto"/>
            <w:vAlign w:val="center"/>
            <w:hideMark/>
          </w:tcPr>
          <w:p w14:paraId="5184BAA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3E2C3648" w14:textId="77777777" w:rsidTr="00927C0A">
        <w:trPr>
          <w:jc w:val="center"/>
        </w:trPr>
        <w:tc>
          <w:tcPr>
            <w:tcW w:w="479" w:type="pct"/>
            <w:shd w:val="clear" w:color="auto" w:fill="auto"/>
            <w:vAlign w:val="center"/>
            <w:hideMark/>
          </w:tcPr>
          <w:p w14:paraId="46216EF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Chengappa, 2000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{"citationID":"1qiv0vvmdj","properties":{"formattedCitation":"(Chengappa et al., 2000)","plainCitation":"(Chengappa et al., 2000)"},"citationItems":[{"id":225,"uris":["http://zotero.org/users/991106/items/QIVNDIMX"],"uri":["http://zotero.org/users/991106/items/QIVNDIMX"],"itemData":{"id":225,"type":"article-journal","title":"Lifetime prevalence of substance or alcohol abuse and dependence among subjects with bipolar I and II disorders in a voluntary registry","container-title":"Bipolar Disorders","page":"191-195","volume":"2","issue":"3 Pt 1","abstract":"OBJECTIVE\n\nTo evaluate the prevalence of substance abuse dependence and/or alcohol abuse dependence among subjects with bipolar I versus bipolar II disorder in a voluntary registry.\n\n\nMETHOD\n\nOne hundred randomly selected registrants in a voluntary case registry for bipolar disorder were interviewed, using the Structured Clinical Interview for DSM-IV Axis I Disorders, to validate the diagnosis of this registry. Corroborative information was obtained from medical records, family members and the treating psychiatrist. Eighty-nine adults (18-65 years) met criteria for bipolar disorder (bipolar I = 71, bipolar II = 18) and were included in this analysis.\n\n\nRESULTS\n\nForty-one (57.8%) subjects with bipolar I disorder abused, or were dependent on one or more substances or alcohol, 28.2% abused, or were dependent on, two substances or alcohol, and 11.3% abused or were dependent on three or more substances or alcohol. Nearly 39% of bipolar II subjects abused or were dependent on one or more substances, nearly 17% were dependent on two or more substances or alcohol, and 11% were dependent on three or more substances or alcohol. Alcohol was the most commonly abused drug among either bipolar I or II subjects.\n\n\nCONCLUSIONS\n\nConsistent with other epidemiologic and hospital population studies, this voluntary bipolar disorder registry suggests a high prevalence of comorbidity with alcohol and/or substance abuse dependence. Bipolar I subjects appear to have higher rates of these comorbid conditions than bipolar II subjects; however, as the number of bipolar II subjects was rather small, this suggestion needs confirmation.","note":"PMID: 11256686","journalAbbreviation":"Bipolar Disord","author":[{"family":"Chengappa","given":"K N"},{"family":"Levine","given":"J"},{"family":"Gershon","given":"S"},{"family":"Kupfer","given":"D J"}],"issued":{"year":2000,"month":9},"accessed":{"year":2012,"month":3,"day":26},"page-first":"191"}}],"schema":"https://github.com/citation-style-language/schema/raw/master/csl-citation.json"}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(Chengappa et al., 2000)</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0BAA14A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16E7233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3C3F83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6B9528C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544B2EB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634B1DA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NS, voluntary community registry</w:t>
            </w:r>
          </w:p>
        </w:tc>
        <w:tc>
          <w:tcPr>
            <w:tcW w:w="141" w:type="pct"/>
            <w:shd w:val="clear" w:color="auto" w:fill="auto"/>
            <w:vAlign w:val="center"/>
            <w:hideMark/>
          </w:tcPr>
          <w:p w14:paraId="53BCA7D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077EE036"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7" w:type="pct"/>
            <w:shd w:val="clear" w:color="auto" w:fill="auto"/>
            <w:vAlign w:val="center"/>
            <w:hideMark/>
          </w:tcPr>
          <w:p w14:paraId="296C1E9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18-65</w:t>
            </w:r>
          </w:p>
        </w:tc>
        <w:tc>
          <w:tcPr>
            <w:tcW w:w="236" w:type="pct"/>
            <w:shd w:val="clear" w:color="auto" w:fill="auto"/>
            <w:vAlign w:val="center"/>
            <w:hideMark/>
          </w:tcPr>
          <w:p w14:paraId="33DDFEF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668C06F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24F4813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530DA6A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DBFD4D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535563C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89</w:t>
            </w:r>
          </w:p>
        </w:tc>
        <w:tc>
          <w:tcPr>
            <w:tcW w:w="313" w:type="pct"/>
            <w:shd w:val="clear" w:color="auto" w:fill="auto"/>
            <w:vAlign w:val="center"/>
            <w:hideMark/>
          </w:tcPr>
          <w:p w14:paraId="0DE2503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1995-NA</w:t>
            </w:r>
          </w:p>
        </w:tc>
      </w:tr>
      <w:tr w:rsidR="00D3535C" w:rsidRPr="00694969" w14:paraId="4613810C" w14:textId="77777777" w:rsidTr="00927C0A">
        <w:trPr>
          <w:jc w:val="center"/>
        </w:trPr>
        <w:tc>
          <w:tcPr>
            <w:tcW w:w="479" w:type="pct"/>
            <w:shd w:val="clear" w:color="auto" w:fill="auto"/>
            <w:vAlign w:val="center"/>
            <w:hideMark/>
          </w:tcPr>
          <w:p w14:paraId="412B3C0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Dalton, 2003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{"citationID":"10kd5fmmja","properties":{"formattedCitation":"(Dalton et al., 2003)","plainCitation":"(Dalton et al., 2003)"},"citationItems":[{"id":195,"uris":["http://zotero.org/users/991106/items/4XAZ7XZ7"],"uri":["http://zotero.org/users/991106/items/4XAZ7XZ7"],"itemData":{"id":195,"type":"article-journal","title":"Suicide risk in bipolar patients: the role of co-morbid substance use disorders","container-title":"Bipolar Disorders","page":"58-61","volume":"5","issue":"1","abstract":"OBJECTIVE\n\nBipolar disorder is associated with a high frequency of both completed suicides and suicide attempts. The primary aim of this study was to identify clinical predictors of suicide attempts in subjects with bipolar disorder.\n\n\nMETHODS\n\nWe studied 336 subjects with a diagnosis of bipolar I, bipolar II, or schizoaffective disorder (bipolar type). The Structured Clinical Interview for DSM-IV (SCID-I) was administered and subsequently two expert psychiatrists established a diagnosis. Predictors of suicide attempts were examined in attempters and non-attempters.\n\n\nRESULTS\n\nThe lifetime rate of suicide attempts for the entire sample was 25.6%. A lifetime co-morbid substance use disorder was a significant predictor of suicide attempts: bipolar subjects with co-morbid substance use disorders (SUD) had a 39.5% lifetime rate of attempted suicide, while those without had a 23.8% rate (odds ratio = 2.09, 95% CI = 1.03-4.21, chi2 = 4.33, df = 1, p = 0.037).\n\n\nCONCLUSIONS\n\nLifetime co-morbid SUD were associated with a higher rate of suicide attempts in patients with bipolar disorder. This relationship may have a genetic origin and/or be explained by severity of illness and trait impulsivity.","note":"PMID: 12656940","shortTitle":"Suicide risk in bipolar patients","journalAbbreviation":"Bipolar Disord","author":[{"family":"Dalton","given":"E Jane"},{"family":"Cate-Carter","given":"Tasha D"},{"family":"Mundo","given":"Emanuela"},{"family":"Parikh","given":"Sagar V"},{"family":"Kennedy","given":"James L"}],"issued":{"year":2003,"month":2},"accessed":{"year":2012,"month":3,"day":26},"page-first":"58"}}],"schema":"https://github.com/citation-style-language/schema/raw/master/csl-citation.json"}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(Dalton et al., 2003)</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2A9AFA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Canada</w:t>
            </w:r>
          </w:p>
        </w:tc>
        <w:tc>
          <w:tcPr>
            <w:tcW w:w="136" w:type="pct"/>
            <w:shd w:val="clear" w:color="auto" w:fill="auto"/>
            <w:vAlign w:val="center"/>
            <w:hideMark/>
          </w:tcPr>
          <w:p w14:paraId="32C489D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38E8AD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514F7B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713C699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 (almost all)</w:t>
            </w:r>
          </w:p>
        </w:tc>
        <w:tc>
          <w:tcPr>
            <w:tcW w:w="587" w:type="pct"/>
            <w:shd w:val="clear" w:color="auto" w:fill="auto"/>
            <w:vAlign w:val="center"/>
            <w:hideMark/>
          </w:tcPr>
          <w:p w14:paraId="35AA9DC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Members from 305 families recruited for a genetic study</w:t>
            </w:r>
          </w:p>
        </w:tc>
        <w:tc>
          <w:tcPr>
            <w:tcW w:w="141" w:type="pct"/>
            <w:shd w:val="clear" w:color="auto" w:fill="auto"/>
            <w:vAlign w:val="center"/>
            <w:hideMark/>
          </w:tcPr>
          <w:p w14:paraId="6D743E8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1F907DD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w:t>
            </w:r>
          </w:p>
        </w:tc>
        <w:tc>
          <w:tcPr>
            <w:tcW w:w="237" w:type="pct"/>
            <w:shd w:val="clear" w:color="auto" w:fill="auto"/>
            <w:vAlign w:val="center"/>
            <w:hideMark/>
          </w:tcPr>
          <w:p w14:paraId="05387A0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16-67</w:t>
            </w:r>
          </w:p>
        </w:tc>
        <w:tc>
          <w:tcPr>
            <w:tcW w:w="236" w:type="pct"/>
            <w:shd w:val="clear" w:color="auto" w:fill="auto"/>
            <w:vAlign w:val="center"/>
            <w:hideMark/>
          </w:tcPr>
          <w:p w14:paraId="62AEE92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6B32C83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 SAD-BT</w:t>
            </w:r>
          </w:p>
        </w:tc>
        <w:tc>
          <w:tcPr>
            <w:tcW w:w="497" w:type="pct"/>
            <w:shd w:val="clear" w:color="auto" w:fill="auto"/>
            <w:vAlign w:val="center"/>
            <w:hideMark/>
          </w:tcPr>
          <w:p w14:paraId="1636EFE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549DF3D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AA05C2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04FCA80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336</w:t>
            </w:r>
          </w:p>
        </w:tc>
        <w:tc>
          <w:tcPr>
            <w:tcW w:w="313" w:type="pct"/>
            <w:shd w:val="clear" w:color="auto" w:fill="auto"/>
            <w:vAlign w:val="center"/>
            <w:hideMark/>
          </w:tcPr>
          <w:p w14:paraId="6BC6D62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526A940D" w14:textId="77777777" w:rsidTr="00927C0A">
        <w:trPr>
          <w:jc w:val="center"/>
        </w:trPr>
        <w:tc>
          <w:tcPr>
            <w:tcW w:w="479" w:type="pct"/>
            <w:shd w:val="clear" w:color="auto" w:fill="auto"/>
            <w:vAlign w:val="center"/>
            <w:hideMark/>
          </w:tcPr>
          <w:p w14:paraId="754A773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Escamilla, 2002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{"citationID":"8tmutsmm0","properties":{"formattedCitation":"(Escamilla et al., 2002)","plainCitation":"(Escamilla et al., 2002)"},"citationItems":[{"id":226,"uris":["http://zotero.org/users/991106/items/X9DTV4ZR"],"uri":["http://zotero.org/users/991106/items/X9DTV4ZR"],"itemData":{"id":226,"type":"article-journal","title":"Comorbidity of bipolar disorder and substance abuse in Costa Rica: pedigree- and population-based studies","container-title":"Journal of Affective Disorders","page":"71-83","volume":"71","issue":"1-3","abstract":"BACKGROUND\n\nThe purpose of this study was to determine the prevalence of substance use disorders (substance abuse or substance dependence: SA/SD) in a large sample of Bipolar Type I (BPI) patients drawn from the Costa Rican population and to describe the effects of SA/SD on the course of their bipolar disorder.\n\n\nMETHOD\n\n110 subjects from two high-risk (for BPI) Costa Rican pedigrees and 205 unrelated Costa Rican BPI subjects were assessed using structured interviews and a best estimate process. Chi(2) and survival analyses were performed to assess the effect of gender on comorbidity risk, and the effect of comorbidity on the clinical course of BPI.\n\n\nRESULTS\n\nSA/SD (primarily alcohol dependence) occurred in 17% of the BPI patients from the population sample and 35% of the BPI patients from the pedigree sample. Comorbid SA/SD was strongly associated with gender chi(2) = 16.84, P = 0.00004). In comorbid subjects, alcohol dependence tended to predate the first manic episode (chi(2) = 6.54, P &lt; 0.025). History of SA/SD did not significantly alter the prevalence of psychosis or age of onset of mania in BPI subjects.\n\n\nCONCLUSIONS\n\nThese results suggest that SA/SD comorbidity rates are lower in this type of population than in BPI patient populations in the US. Gender is a strong predictor of comorbidity prevalence in BPI patients from this population. Although SA/SD may be a risk factor for precipitating BPI in those at risk, in this population comorbid BPI subjects do not have a different onset or course of BPI in comparison to BPI patients without comorbidity.","note":"PMID: 12167503","shortTitle":"Comorbidity of bipolar disorder and substance abuse in Costa Rica","journalAbbreviation":"J Affect Disord","author":[{"family":"Escamilla","given":"Michael A"},{"family":"Batki","given":"Steven"},{"family":"Reus","given":"Victor I"},{"family":"Spesny","given":"Mitzi"},{"family":"Molina","given":"Julio"},{"family":"Service","given":"Susan"},{"family":"Vinogradov","given":"Sophia"},{"family":"Neylan","given":"Tom"},{"family":"Mathews","given":"Carol"},{"family":"Meza","given":"Luis"},{"family":"Gallegos","given":"Alvaro"},{"family":"Montero","given":"A Patricia"},{"family":"Cruz","given":"Maria L"},{"family":"Neuhaus","given":"John"},{"family":"Roche","given":"Erin"},{"family":"Smith","given":"Lauren"},{"family":"Leon","given":"Pedro"},{"family":"Freimer","given":"Nelson B"}],"issued":{"year":2002,"month":9},"accessed":{"year":2012,"month":3,"day":26},"page-first":"71"}}],"schema":"https://github.com/citation-style-language/schema/raw/master/csl-citation.json"}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(Escamilla et al., 2002)</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44CC21E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Costa Rica</w:t>
            </w:r>
          </w:p>
        </w:tc>
        <w:tc>
          <w:tcPr>
            <w:tcW w:w="136" w:type="pct"/>
            <w:shd w:val="clear" w:color="auto" w:fill="auto"/>
            <w:vAlign w:val="center"/>
            <w:hideMark/>
          </w:tcPr>
          <w:p w14:paraId="663D088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4E7E42E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5CD9291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1209AE9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187BDE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630A1FB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166F302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Age of onset &lt; 50, bi-lineal Spanish surnames, Costa Rican ancestry</w:t>
            </w:r>
          </w:p>
        </w:tc>
        <w:tc>
          <w:tcPr>
            <w:tcW w:w="237" w:type="pct"/>
            <w:shd w:val="clear" w:color="auto" w:fill="auto"/>
            <w:vAlign w:val="center"/>
            <w:hideMark/>
          </w:tcPr>
          <w:p w14:paraId="42973A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w:t>
            </w:r>
          </w:p>
        </w:tc>
        <w:tc>
          <w:tcPr>
            <w:tcW w:w="236" w:type="pct"/>
            <w:shd w:val="clear" w:color="auto" w:fill="auto"/>
            <w:vAlign w:val="center"/>
            <w:hideMark/>
          </w:tcPr>
          <w:p w14:paraId="3EA6AE5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shd w:val="clear" w:color="auto" w:fill="auto"/>
            <w:vAlign w:val="center"/>
            <w:hideMark/>
          </w:tcPr>
          <w:p w14:paraId="1B7C28E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053A478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DIGS</w:t>
            </w:r>
          </w:p>
        </w:tc>
        <w:tc>
          <w:tcPr>
            <w:tcW w:w="167" w:type="pct"/>
            <w:shd w:val="clear" w:color="auto" w:fill="auto"/>
            <w:vAlign w:val="center"/>
            <w:hideMark/>
          </w:tcPr>
          <w:p w14:paraId="27D74B4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096ED97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7C98ECA3"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13" w:type="pct"/>
            <w:shd w:val="clear" w:color="auto" w:fill="auto"/>
            <w:vAlign w:val="center"/>
            <w:hideMark/>
          </w:tcPr>
          <w:p w14:paraId="11BB1D9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3AF2B255" w14:textId="77777777" w:rsidTr="00927C0A">
        <w:trPr>
          <w:jc w:val="center"/>
        </w:trPr>
        <w:tc>
          <w:tcPr>
            <w:tcW w:w="479" w:type="pct"/>
            <w:shd w:val="clear" w:color="auto" w:fill="auto"/>
            <w:vAlign w:val="center"/>
            <w:hideMark/>
          </w:tcPr>
          <w:p w14:paraId="5DBE960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Frank, 2007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{"citationID":"vs4jo16jq","properties":{"formattedCitation":"(Frank et al., 2007)","plainCitation":"(Frank et al., 2007)"},"citationItems":[{"id":1174,"uris":["http://zotero.org/users/991106/items/QTCSGEBT"],"uri":["http://zotero.org/users/991106/items/QTCSGEBT"],"itemData":{"id":1174,"type":"article-journal","title":"Association between illicit drug and alcohol use and first manic episode","container-title":"Pharmacology, Biochemistry, and Behavior","page":"395-400","volume":"86","issue":"2","abstract":"In light of the established influence of substance use on the onset, course, and outcome of bipolar disorder, we performed a retrospective chart review of patients with bipolar I disorder participating in a randomized controlled trial to further investigate the relationship between alcohol and substance use and first onset of mania. A total of 59.4% (N=101) of the 170 participants were determined to have a history of substance and/or alcohol use. Among the 101 participants with SU, use was coded in 10 (9.9%) as immediately preceding, in 50 (49.5%) as preceding mania, in 7 (6.9%) as following mania, and in 34 (33.7%) as indeterminable. Of the 10 participants with immediately preceding use, 5 experienced their first manic episode immediately after discontinuing a substance. Our findings support earlier reports detailing the high prevalence of substance use among patients with bipolar disorder. Treatments targeting alcohol and substance use among individuals with bipolar disorder are clearly needed, as are prophylactic treatments targeting adolescents and young adults who are at risk for either bipolar disorder or alcohol and substance related disorders.","DOI":"10.1016/j.pbb.2006.11.009","note":"PMID: 17188743","journalAbbreviation":"Pharmacol. Biochem. Behav.","author":[{"family":"Frank","given":"Ellen"},{"family":"Boland","given":"Elaine"},{"family":"Novick","given":"Danielle M"},{"family":"Bizzarri","given":"Jacopo V"},{"family":"Rucci","given":"Paola"}],"issued":{"year":2007,"month":2},"accessed":{"year":2012,"month":4,"day":26},"page-first":"395"}}],"schema":"https://github.com/citation-style-language/schema/raw/master/csl-citation.json"}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(Frank et al., 2007)</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38E8C8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3EB28F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63496D5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2F56DF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6C87724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233791F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NS, majority from The Maintenance Therapies in Bipolar Disorder RCT</w:t>
            </w:r>
          </w:p>
        </w:tc>
        <w:tc>
          <w:tcPr>
            <w:tcW w:w="141" w:type="pct"/>
            <w:shd w:val="clear" w:color="auto" w:fill="auto"/>
            <w:vAlign w:val="center"/>
            <w:hideMark/>
          </w:tcPr>
          <w:p w14:paraId="25E8775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62373C0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Not chronic AA in the previous 5 years, no rapid cycling, borderline/antisocial personality disorder, unstable severe medical conditions, pregnancy, &gt;2 episode</w:t>
            </w:r>
          </w:p>
        </w:tc>
        <w:tc>
          <w:tcPr>
            <w:tcW w:w="237" w:type="pct"/>
            <w:shd w:val="clear" w:color="auto" w:fill="auto"/>
            <w:vAlign w:val="center"/>
            <w:hideMark/>
          </w:tcPr>
          <w:p w14:paraId="7C073A0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18-65</w:t>
            </w:r>
          </w:p>
        </w:tc>
        <w:tc>
          <w:tcPr>
            <w:tcW w:w="236" w:type="pct"/>
            <w:shd w:val="clear" w:color="auto" w:fill="auto"/>
            <w:vAlign w:val="center"/>
            <w:hideMark/>
          </w:tcPr>
          <w:p w14:paraId="3C49013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57BFA3E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6E00568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SADS, SCID-P</w:t>
            </w:r>
          </w:p>
        </w:tc>
        <w:tc>
          <w:tcPr>
            <w:tcW w:w="167" w:type="pct"/>
            <w:shd w:val="clear" w:color="auto" w:fill="auto"/>
            <w:vAlign w:val="center"/>
            <w:hideMark/>
          </w:tcPr>
          <w:p w14:paraId="1E04189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1E301E7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370D8B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170</w:t>
            </w:r>
          </w:p>
        </w:tc>
        <w:tc>
          <w:tcPr>
            <w:tcW w:w="313" w:type="pct"/>
            <w:shd w:val="clear" w:color="auto" w:fill="auto"/>
            <w:vAlign w:val="center"/>
            <w:hideMark/>
          </w:tcPr>
          <w:p w14:paraId="1DA4162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1991-2002</w:t>
            </w:r>
          </w:p>
        </w:tc>
      </w:tr>
      <w:tr w:rsidR="00D3535C" w:rsidRPr="00694969" w14:paraId="158E0F04" w14:textId="77777777" w:rsidTr="00927C0A">
        <w:trPr>
          <w:jc w:val="center"/>
        </w:trPr>
        <w:tc>
          <w:tcPr>
            <w:tcW w:w="479" w:type="pct"/>
            <w:shd w:val="clear" w:color="auto" w:fill="auto"/>
            <w:vAlign w:val="center"/>
            <w:hideMark/>
          </w:tcPr>
          <w:p w14:paraId="0BB02A6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Goldberg, 1999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{"citationID":"5a6n646e1","properties":{"formattedCitation":"(Goldberg et al., 1999)","plainCitation":"(Goldberg et al., 1999)"},"citationItems":[{"id":1180,"uris":["http://zotero.org/users/991106/items/T5BEFWAG"],"uri":["http://zotero.org/users/991106/items/T5BEFWAG"],"itemData":{"id":1180,"type":"article-journal","title":"A history of substance abuse complicates remission from acute mania in bipolar disorder","container-title":"The Journal of Clinical Psychiatry","page":"733-740","volume":"60","issue":"11","abstract":"BACKGROUND\n\nSubstance abuse frequently complicates the course of bipolar illness, promotes mixed states, and contributes to poor outcome in mania. Preliminary open trials suggest that anticonvulsant mood stabilizers may enhance remission rates and outcome for bipolar patients with substance abuse. This study compared remission patterns for mixed or pure manic episodes among bipolar inpatients with or without substance abuse histories.\n\n\nMETHOD\n\nHospital records were retrospectively reviewed for 204 DSM-III-R bipolar I inpatients. Clinical features were compared for those with or without substance abuse/dependence histories predating the index manic episode. Time until remission was analyzed by Kaplan-Meier survival analysis. Naturalistic treatment outcome with lithium or anticonvulsant mood stabilizers was compared for those with or without past substance abuse.\n\n\nRESULTS\n\nPast substance abuse was evident in 34% of the bipolar sample and comprised most often alcoholism (82%), followed by cocaine (30%), marijuana (29%), sedative-hypnotic or amphetamine (21%), and opiate (13%) abuse. Substance abuse was more common among men (p &lt; .05) and those with mixed rather than pure mania (p &lt; .05). Remission during hospitalization was less likely among patients with prior substance abuse (p &lt; .05), especially alcohol or marijuana abuse, and among mixed manic patients with past substance abuse (p &lt; .05). Bipolar patients with substance abuse histories who received divalproex or carbamazepine remitted during hospitalization more often than did those who received lithium as the sole mood stabilizer (p &lt; .05).\n\n\nCONCLUSION\n\nThese findings support previous reports suggesting that bipolar patients with past substance abuse have poorer naturalistic treatment outcomes, but may show a better response to anticonvulsant mood stabilizers than lithium.","note":"PMID: 10584760","journalAbbreviation":"J Clin Psychiatry","author":[{"family":"Goldberg","given":"J F"},{"family":"Garno","given":"J L"},{"family":"Leon","given":"A C"},{"family":"Kocsis","given":"J H"},{"family":"Portera","given":"L"}],"issued":{"year":1999,"month":11},"accessed":{"year":2012,"month":4,"day":26},"page-first":"733"}}],"schema":"https://github.com/citation-style-language/schema/raw/master/csl-citation.json"}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(Goldberg et al., 1999)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00570B0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264FF1E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6400E2C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108875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0F3D046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32DE973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205B205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62F4BF3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Not concurrent AUD</w:t>
            </w:r>
          </w:p>
        </w:tc>
        <w:tc>
          <w:tcPr>
            <w:tcW w:w="237" w:type="pct"/>
            <w:shd w:val="clear" w:color="auto" w:fill="auto"/>
            <w:vAlign w:val="center"/>
            <w:hideMark/>
          </w:tcPr>
          <w:p w14:paraId="625956E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~40</w:t>
            </w:r>
          </w:p>
        </w:tc>
        <w:tc>
          <w:tcPr>
            <w:tcW w:w="236" w:type="pct"/>
            <w:shd w:val="clear" w:color="auto" w:fill="auto"/>
            <w:vAlign w:val="center"/>
            <w:hideMark/>
          </w:tcPr>
          <w:p w14:paraId="1867002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shd w:val="clear" w:color="auto" w:fill="auto"/>
            <w:vAlign w:val="center"/>
            <w:hideMark/>
          </w:tcPr>
          <w:p w14:paraId="427CDEA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4B75D5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Retrospective chart review, non structured clinical interview</w:t>
            </w:r>
          </w:p>
        </w:tc>
        <w:tc>
          <w:tcPr>
            <w:tcW w:w="167" w:type="pct"/>
            <w:shd w:val="clear" w:color="auto" w:fill="auto"/>
            <w:vAlign w:val="center"/>
            <w:hideMark/>
          </w:tcPr>
          <w:p w14:paraId="0281ECE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D6979A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626C2C6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204</w:t>
            </w:r>
          </w:p>
        </w:tc>
        <w:tc>
          <w:tcPr>
            <w:tcW w:w="313" w:type="pct"/>
            <w:shd w:val="clear" w:color="auto" w:fill="auto"/>
            <w:vAlign w:val="center"/>
            <w:hideMark/>
          </w:tcPr>
          <w:p w14:paraId="6AF008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1991-1995</w:t>
            </w:r>
          </w:p>
        </w:tc>
      </w:tr>
      <w:tr w:rsidR="00D3535C" w:rsidRPr="00694969" w14:paraId="25FC159B" w14:textId="77777777" w:rsidTr="00927C0A">
        <w:trPr>
          <w:jc w:val="center"/>
        </w:trPr>
        <w:tc>
          <w:tcPr>
            <w:tcW w:w="479" w:type="pct"/>
            <w:shd w:val="clear" w:color="auto" w:fill="auto"/>
            <w:vAlign w:val="center"/>
            <w:hideMark/>
          </w:tcPr>
          <w:p w14:paraId="05E2DA0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Gonzales Pinto, 2010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{"citationID":"1itpanak8d","properties":{"formattedCitation":"{\\rtf (Gonz\\uc0\\u225{}lez-Pinto et al., 2010)}","plainCitation":"(González-Pinto et al., 2010)"},"citationItems":[{"id":202,"uris":["http://zotero.org/users/991106/items/JNCCSQ4D"],"uri":["http://zotero.org/users/991106/items/JNCCSQ4D"],"itemData":{"id":202,"type":"article-journal","title":"Different profile of substance abuse in relation to predominant polarity in bipolar disorder: The Vitoria long-term follow-up study","container-title":"Journal of Affective Disorders","page":"250-255","volume":"124","issue":"3","abstract":"BACKGROUND\n\nThere is a need for comparisons of long-term outcomes in bipolar disorder patients with predominantly manic symptoms vs. predominantly depressive symptoms, especially the course of comorbid alcohol/substance abuse.\n\n\nMETHOD\n\nA naturalistic sample of bipolar I patients (n=120) was followed prospectively for up to 10years. At baseline, number and polarity of past episodes were used to classify patients as predominantly manic or predominantly depressive if there were more manic or more depressive episodes, respectively. 25 patients were excluded from the analyses. Outcomes including episodes, hospitalisations and suicide attempts were recorded at bimonthly visits. Mixed effects models compared the course of alcohol and other substance abuse in predominantly manic vs. depressive patients.\n\n\nRESULTS\n\nOf the 95 patients analyzed, 44 (46.3%) had predominantly manic episodes and 51 (53.7%) had predominantly depressive episodes. At baseline, the predominantly depressive group had more history of suicide attempts (45.1% vs. 20.5%; p=0.021) and more family history of affective disorders (64.7% vs. 38.6%; p=0.020), but they had fewer previous hospitalisations than the manic group (mean 0.38 vs. 0.50; p=0.025). During the 10-year follow-up, the predominantly depressive group was associated with more episodes (p=0.001), more hospitalisations (p=0.004) and more suicide attempts (p=0.002). At baseline, there were no differences between the manic and depressive groups in the frequency of alcohol abuse (43.2% and 35.3%, p=0.565) or other substance abuse (13.6% and 9.8%, p=0.794). During the 10-year follow-up, the frequency of alcohol and other substance abuse decreased significantly in the manic group only, after controlling by age at onset and civil (marital) status.\n\n\nCONCLUSION\n\nLong-term clinical outcomes differ between predominantly manic vs. depressive bipolar patients, with the predominantly depressive group having a worse prognosis and maintained alcohol and other substance abuse. These differences should be considered when designing treatment approaches for bipolar patients with comorbid alcohol/substance abuse.","DOI":"10.1016/j.jad.2009.11.005","note":"PMID: 19959240","shortTitle":"Different profile of substance abuse in relation to predominant polarity in bipolar disorder","journalAbbreviation":"J Affect Disord","author":[{"family":"González-Pinto","given":"Ana"},{"family":"Alberich","given":"Susana"},{"family":"Barbeito","given":"Sara"},{"family":"Alonso","given":"Marta"},{"family":"Vieta","given":"Eduard"},{"family":"Martínez-Arán","given":"Anabel"},{"family":"Saenz","given":"Margarita"},{"family":"López","given":"Purificación"}],"issued":{"year":2010,"month":8},"accessed":{"year":2012,"month":3,"day":26},"page-first":"250"}}],"schema":"https://github.com/citation-style-language/schema/raw/master/csl-citation.json"} </w:instrText>
            </w:r>
            <w:r w:rsidRPr="00694969">
              <w:rPr>
                <w:rFonts w:ascii="Times New Roman" w:eastAsia="Times New Roman" w:hAnsi="Times New Roman"/>
                <w:bCs/>
                <w:color w:val="000000"/>
                <w:sz w:val="18"/>
                <w:szCs w:val="18"/>
              </w:rPr>
              <w:fldChar w:fldCharType="separate"/>
            </w:r>
            <w:r w:rsidRPr="001966C6">
              <w:rPr>
                <w:rFonts w:ascii="Times New Roman" w:hAnsi="Times New Roman"/>
                <w:color w:val="000000"/>
                <w:sz w:val="18"/>
                <w:szCs w:val="24"/>
                <w:lang w:val="en-US"/>
              </w:rPr>
              <w:t>(González-Pinto et al., 2010)</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6AD2322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Spain</w:t>
            </w:r>
          </w:p>
        </w:tc>
        <w:tc>
          <w:tcPr>
            <w:tcW w:w="136" w:type="pct"/>
            <w:shd w:val="clear" w:color="auto" w:fill="auto"/>
            <w:vAlign w:val="center"/>
            <w:hideMark/>
          </w:tcPr>
          <w:p w14:paraId="1CD9E6B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6E73F1E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7113664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1047C9A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2D10AC8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Vitoria long-term follow-up study</w:t>
            </w:r>
          </w:p>
        </w:tc>
        <w:tc>
          <w:tcPr>
            <w:tcW w:w="141" w:type="pct"/>
            <w:shd w:val="clear" w:color="auto" w:fill="auto"/>
            <w:vAlign w:val="center"/>
            <w:hideMark/>
          </w:tcPr>
          <w:p w14:paraId="73B7266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5449578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 or treatment &gt; 2 years, family member to participate in the assessments.</w:t>
            </w:r>
          </w:p>
        </w:tc>
        <w:tc>
          <w:tcPr>
            <w:tcW w:w="237" w:type="pct"/>
            <w:shd w:val="clear" w:color="auto" w:fill="auto"/>
            <w:vAlign w:val="center"/>
            <w:hideMark/>
          </w:tcPr>
          <w:p w14:paraId="1CB061C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44 (14.6)</w:t>
            </w:r>
          </w:p>
        </w:tc>
        <w:tc>
          <w:tcPr>
            <w:tcW w:w="236" w:type="pct"/>
            <w:shd w:val="clear" w:color="auto" w:fill="auto"/>
            <w:vAlign w:val="center"/>
            <w:hideMark/>
          </w:tcPr>
          <w:p w14:paraId="35A34FC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 or DSM-IV</w:t>
            </w:r>
          </w:p>
        </w:tc>
        <w:tc>
          <w:tcPr>
            <w:tcW w:w="316" w:type="pct"/>
            <w:shd w:val="clear" w:color="auto" w:fill="auto"/>
            <w:vAlign w:val="center"/>
            <w:hideMark/>
          </w:tcPr>
          <w:p w14:paraId="553777C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4BF9FC6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SCID-P</w:t>
            </w:r>
          </w:p>
        </w:tc>
        <w:tc>
          <w:tcPr>
            <w:tcW w:w="167" w:type="pct"/>
            <w:shd w:val="clear" w:color="auto" w:fill="auto"/>
            <w:vAlign w:val="center"/>
            <w:hideMark/>
          </w:tcPr>
          <w:p w14:paraId="50540A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318351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12BAC40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95</w:t>
            </w:r>
          </w:p>
        </w:tc>
        <w:tc>
          <w:tcPr>
            <w:tcW w:w="313" w:type="pct"/>
            <w:shd w:val="clear" w:color="auto" w:fill="auto"/>
            <w:vAlign w:val="center"/>
            <w:hideMark/>
          </w:tcPr>
          <w:p w14:paraId="21FDF06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1994-2004</w:t>
            </w:r>
          </w:p>
        </w:tc>
      </w:tr>
      <w:tr w:rsidR="00D3535C" w:rsidRPr="00694969" w14:paraId="58C0228F" w14:textId="77777777" w:rsidTr="00927C0A">
        <w:trPr>
          <w:jc w:val="center"/>
        </w:trPr>
        <w:tc>
          <w:tcPr>
            <w:tcW w:w="479" w:type="pct"/>
            <w:shd w:val="clear" w:color="auto" w:fill="auto"/>
            <w:vAlign w:val="center"/>
            <w:hideMark/>
          </w:tcPr>
          <w:p w14:paraId="52D596A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Hendrick, 2000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{"citationID":"d6saoatsb","properties":{"formattedCitation":"(Hendrick et al., 2000)","plainCitation":"(Hendrick et al., 2000)"},"citationItems":[{"id":1183,"uris":["http://zotero.org/users/991106/items/6GXZPPKT"],"uri":["http://zotero.org/users/991106/items/6GXZPPKT"],"itemData":{"id":1183,"type":"article-journal","title":"Gender and bipolar illness","container-title":"The Journal of Clinical Psychiatry","page":"393-396; quiz 397","volume":"61","issue":"5","abstract":"BACKGROUND\n\nFor major depression and schizophrenia, gender differences have been reported in symptom expression and course of illness. Gender differences in bipolar disorder are becoming increasingly apparent, but have been less studied. Research data on these differences will help determine whether gender is important in influencing illness variables such as course, symptom expression, and likelihood of comorbidity.\n\n\nMETHOD\n\nCharts of 131 patients (63 women and 68 men) with a DSM-IV diagnosis of bipolar disorder admitted to the University of California Los Angeles Mood Disorders Program over a 3-year period were reviewed to gather data on demographic variables and course of illness and to assess differences in the illness across genders.\n\n\nRESULTS\n\nNo significant gender differences were found in the rate of bipolar I or bipolar II diagnoses, although women were overrepresented in the latter category. Also, no significant gender differences emerged in age at onset, number of depressive or manic episodes, and number of hospitalizations for depression. Women, however, had been hospitalized significantly more often than men for mania. Further, whereas bipolar men were significantly more likely than bipolar women to have a comorbid substance use disorder, women with bipolar disorder had 4 times the rate of alcohol use disorders and 7 times the rate of other substance use disorders than reported in women from community-derived samples.\n\n\nCONCLUSION\n\nFor bipolar disorder, course of illness variables such as age at onset and number of affective episodes of each polarity do not seem to differ across genders. Women, however, may be more likely than men to be hospitalized for manic episodes. While both men and women with the illness have high rates of comorbidity with alcohol and other substance use disorders, women with bipolar disorder are at a particularly high risk for comorbidity with these conditions.","note":"PMID: 10847318","journalAbbreviation":"J Clin Psychiatry","author":[{"family":"Hendrick","given":"V"},{"family":"Altshuler","given":"L L"},{"family":"Gitlin","given":"M J"},{"family":"Delrahim","given":"S"},{"family":"Hammen","given":"C"}],"issued":{"year":2000,"month":5},"accessed":{"year":2012,"month":4,"day":26},"page-first":"393"}}],"schema":"https://github.com/citation-style-language/schema/raw/master/csl-citation.json"}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(Hendrick et al., 2000)</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6701591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39C47C3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41DDF2D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7AB9158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297C324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1CA11A2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6B75B7B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1E14D38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Only completed questionnaires</w:t>
            </w:r>
          </w:p>
        </w:tc>
        <w:tc>
          <w:tcPr>
            <w:tcW w:w="237" w:type="pct"/>
            <w:shd w:val="clear" w:color="auto" w:fill="auto"/>
            <w:vAlign w:val="center"/>
            <w:hideMark/>
          </w:tcPr>
          <w:p w14:paraId="2002930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1DCEDF2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2454188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493D33A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Structured questionnaire Retrospective chart review</w:t>
            </w:r>
          </w:p>
        </w:tc>
        <w:tc>
          <w:tcPr>
            <w:tcW w:w="167" w:type="pct"/>
            <w:shd w:val="clear" w:color="auto" w:fill="auto"/>
            <w:vAlign w:val="center"/>
            <w:hideMark/>
          </w:tcPr>
          <w:p w14:paraId="4BF374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5BF61E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A1C1D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123</w:t>
            </w:r>
          </w:p>
        </w:tc>
        <w:tc>
          <w:tcPr>
            <w:tcW w:w="313" w:type="pct"/>
            <w:shd w:val="clear" w:color="auto" w:fill="auto"/>
            <w:vAlign w:val="center"/>
            <w:hideMark/>
          </w:tcPr>
          <w:p w14:paraId="139F139D"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365050CC" w14:textId="77777777" w:rsidTr="00927C0A">
        <w:trPr>
          <w:jc w:val="center"/>
        </w:trPr>
        <w:tc>
          <w:tcPr>
            <w:tcW w:w="479" w:type="pct"/>
            <w:shd w:val="clear" w:color="auto" w:fill="auto"/>
            <w:vAlign w:val="center"/>
            <w:hideMark/>
          </w:tcPr>
          <w:p w14:paraId="5DFAAE73"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Kawa, 2005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{"citationID":"2ctdslg0v0","properties":{"formattedCitation":"(Kawa I. et al., 2005)","plainCitation":"(Kawa I. et al., 2005)"},"citationItems":[{"id":946,"uris":["http://zotero.org/users/991106/items/J66ZTWQ8"],"uri":["http://zotero.org/users/991106/items/J66ZTWQ8"],"itemData":{"id":946,"type":"article-journal","title":"Gender differences in bipolar disorder: Age of onset, course, comorbidity, and symptom presentation.","container-title":"Bipolar Disorders","page":"119-125","abstract":"Objective: To determine whether men and women with bipolar disorder differ in age of onset, course of illness, number of suicide attempts, comorbidity rates and symptom presentation. Method: Data were collected from 211 (121 women; 90 men) adults using the Diagnostic Interview for Genetic Studies, medical records, and additional information gathered from relatives. Results: Most gender comparisons showed no evidence of differences. Nonetheless, more men than women reported mania at the onset of bipolar I disorder. Men also had higher rates of comorbid alcohol abuse/ dependence, cannabis abuse/dependence, pathological gambling and conduct disorder. Men were more likely to report 'behavioural problems' and 'being unable to hold a conversation' during mania. Women reported higher rates of comorbid eating disorders, and weight change, appetite change and middle insomnia during depression. Conclusions: Men and women were generally similar in their symptom presentation, age of onset of bipolar disorder, and in the total number of mood episodes. However, they differed in the type of episode at onset and comorbidity patterns. Blackwell Munksgaard, 2005.","DOI":"http://dx.doi.org/10.1111/j.1399-5618.2004.00180.x","shortTitle":"Gender differences in bipolar disorder","author":[{"family":"Kawa I.","given":""},{"family":"Carter J.D.","given":""},{"family":"Joyce P.R.","given":""},{"family":"Doughty C.J.","given":""},{"family":"Framtpon C.M.","given":""},{"family":"Wells J.E.","given":""},{"family":"Walsh A.E.S.","given":""},{"family":"Olds R.J.","given":""}],"issued":{"year":2005,"month":4},"accessed":{"year":2012,"month":4,"day":16},"page-first":"119"}}],"schema":"https://github.com/citation-style-language/schema/raw/master/csl-citation.json"}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(Kawa I. et al., 2005)</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5035E3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New Zealand</w:t>
            </w:r>
          </w:p>
        </w:tc>
        <w:tc>
          <w:tcPr>
            <w:tcW w:w="136" w:type="pct"/>
            <w:shd w:val="clear" w:color="auto" w:fill="auto"/>
            <w:vAlign w:val="center"/>
            <w:hideMark/>
          </w:tcPr>
          <w:p w14:paraId="1D419E0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795726F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F7E97B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568F142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4A042F3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NS, advertisements within mental health services and support organizations, part of South Island Bipolar Study in New Zealand genetic study</w:t>
            </w:r>
          </w:p>
        </w:tc>
        <w:tc>
          <w:tcPr>
            <w:tcW w:w="141" w:type="pct"/>
            <w:shd w:val="clear" w:color="auto" w:fill="auto"/>
            <w:vAlign w:val="center"/>
            <w:hideMark/>
          </w:tcPr>
          <w:p w14:paraId="1D94738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631FCE83"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7" w:type="pct"/>
            <w:shd w:val="clear" w:color="auto" w:fill="auto"/>
            <w:vAlign w:val="center"/>
            <w:hideMark/>
          </w:tcPr>
          <w:p w14:paraId="56426FB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4DC4066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7435CE1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4F2F54A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DIGS</w:t>
            </w:r>
          </w:p>
        </w:tc>
        <w:tc>
          <w:tcPr>
            <w:tcW w:w="167" w:type="pct"/>
            <w:shd w:val="clear" w:color="auto" w:fill="auto"/>
            <w:vAlign w:val="center"/>
            <w:hideMark/>
          </w:tcPr>
          <w:p w14:paraId="65CFEC9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74B3B60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D5B9A6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211</w:t>
            </w:r>
          </w:p>
        </w:tc>
        <w:tc>
          <w:tcPr>
            <w:tcW w:w="313" w:type="pct"/>
            <w:shd w:val="clear" w:color="auto" w:fill="auto"/>
            <w:vAlign w:val="center"/>
            <w:hideMark/>
          </w:tcPr>
          <w:p w14:paraId="2E3EB27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7E6F2DA2" w14:textId="77777777" w:rsidTr="00927C0A">
        <w:trPr>
          <w:trHeight w:val="1640"/>
          <w:jc w:val="center"/>
        </w:trPr>
        <w:tc>
          <w:tcPr>
            <w:tcW w:w="479" w:type="pct"/>
            <w:vMerge w:val="restart"/>
            <w:shd w:val="clear" w:color="auto" w:fill="auto"/>
            <w:vAlign w:val="center"/>
            <w:hideMark/>
          </w:tcPr>
          <w:p w14:paraId="4238815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Keck, 1998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{"citationID":"2pesltuha2","properties":{"formattedCitation":"(Strakowski et al., 1998)","plainCitation":"(Strakowski et al., 1998)"},"citationItems":[{"id":205,"uris":["http://zotero.org/users/991106/items/VC6EWTUE"],"uri":["http://zotero.org/users/991106/items/VC6EWTUE"],"itemData":{"id":205,"type":"article-journal","title":"Course of psychiatric and substance abuse syndromes co-occurring with bipolar disorder after a first psychiatric hospitalization","container-title":"The Journal of Clinical Psychiatry","page":"465-471","volume":"59","issue":"9","abstract":"BACKGROUND\n\nPatients with bipolar disorder frequently meet criteria for other psychiatric and substance abuse diagnoses. To clarify relationships among these disorders, the authors examined the course of syndromes co-occurring with bipolar disorder for 12 months after a first hospitalization.\n\n\nMETHOD\n\nSeventy-seven patients were recruited from consecutive inpatient admissions who met DSM-III-R criteria for bipolar disorder, manic or mixed with psychosis. The 12-month syndromal course of co-occurring DSM-III-R alcohol and drug abuse disorders, posttraumatic stress disorder (PTSD), obsessive-compulsive disorder (OCD), and other anxiety disorders were longitudinally recorded.\n\n\nRESULTS\n\nThe rates of all syndromes, except other anxiety disorders, were elevated. OCD demonstrated an interval course that frequently mirrored the course of the bipolar disorder. The courses of PTSD and substance abuse syndromes were separate from that of the bipolar disorder in many of those with both syndromes. Alcohol and drug abuse syndromes were strongly correlated.\n\n\nCONCLUSION\n\nThe obsessive-compulsive syndrome may represent an alternative expression of bipolar disorder in some patients. In contrast, PTSD appears to represent a truly separate disorder, which is possibly more prevalent in bipolar patients due to a shared risk factor. Substance abuse does not appear to simply result from attempts at self-medication or from the impulsivity of mania. These results suggest that future studies examining the course of syndromes co-occurring with bipolar disorder are warranted.","note":"PMID: 9771817","journalAbbreviation":"J Clin Psychiatry","author":[{"family":"Strakowski","given":"S M"},{"family":"Sax","given":"K W"},{"family":"McElroy","given":"S L"},{"family":"Keck","given":"P E, Jr"},{"family":"Hawkins","given":"J M"},{"family":"West","given":"S A"}],"issued":{"year":1998,"month":9},"accessed":{"year":2012,"month":3,"day":26},"page-first":"465"}}],"schema":"https://github.com/citation-style-language/schema/raw/master/csl-citation.json"}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color w:val="000000"/>
                <w:sz w:val="18"/>
                <w:szCs w:val="18"/>
              </w:rPr>
              <w:t>(Strakowski et al., 1998)</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Strakowsky, 1998 (36)</w:t>
            </w:r>
          </w:p>
        </w:tc>
        <w:tc>
          <w:tcPr>
            <w:tcW w:w="362" w:type="pct"/>
            <w:vMerge w:val="restart"/>
            <w:shd w:val="clear" w:color="auto" w:fill="auto"/>
            <w:vAlign w:val="center"/>
            <w:hideMark/>
          </w:tcPr>
          <w:p w14:paraId="0CC6E1A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vMerge w:val="restart"/>
            <w:shd w:val="clear" w:color="auto" w:fill="auto"/>
            <w:vAlign w:val="center"/>
            <w:hideMark/>
          </w:tcPr>
          <w:p w14:paraId="44CB0DC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vMerge w:val="restart"/>
            <w:shd w:val="clear" w:color="auto" w:fill="auto"/>
            <w:vAlign w:val="center"/>
            <w:hideMark/>
          </w:tcPr>
          <w:p w14:paraId="3CDD0D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vMerge w:val="restart"/>
            <w:shd w:val="clear" w:color="auto" w:fill="auto"/>
            <w:vAlign w:val="center"/>
            <w:hideMark/>
          </w:tcPr>
          <w:p w14:paraId="076CD7A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vMerge w:val="restart"/>
            <w:shd w:val="clear" w:color="auto" w:fill="auto"/>
            <w:vAlign w:val="center"/>
            <w:hideMark/>
          </w:tcPr>
          <w:p w14:paraId="7599FA3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vMerge w:val="restart"/>
            <w:shd w:val="clear" w:color="auto" w:fill="auto"/>
            <w:vAlign w:val="center"/>
            <w:hideMark/>
          </w:tcPr>
          <w:p w14:paraId="2F219E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vMerge w:val="restart"/>
            <w:shd w:val="clear" w:color="auto" w:fill="auto"/>
            <w:vAlign w:val="center"/>
            <w:hideMark/>
          </w:tcPr>
          <w:p w14:paraId="37BAF7E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vMerge w:val="restart"/>
            <w:shd w:val="clear" w:color="auto" w:fill="auto"/>
            <w:vAlign w:val="center"/>
            <w:hideMark/>
          </w:tcPr>
          <w:p w14:paraId="1AC4419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symptoms due to intoxication or withdrawal, due to medical condition, able to communicate in English, resided within Cincinnati Metropolitan Area</w:t>
            </w:r>
          </w:p>
        </w:tc>
        <w:tc>
          <w:tcPr>
            <w:tcW w:w="237" w:type="pct"/>
            <w:vMerge w:val="restart"/>
            <w:shd w:val="clear" w:color="auto" w:fill="auto"/>
            <w:vAlign w:val="center"/>
            <w:hideMark/>
          </w:tcPr>
          <w:p w14:paraId="76140E7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15-45</w:t>
            </w:r>
          </w:p>
        </w:tc>
        <w:tc>
          <w:tcPr>
            <w:tcW w:w="236" w:type="pct"/>
            <w:vMerge w:val="restart"/>
            <w:shd w:val="clear" w:color="auto" w:fill="auto"/>
            <w:vAlign w:val="center"/>
            <w:hideMark/>
          </w:tcPr>
          <w:p w14:paraId="7A7B23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vMerge w:val="restart"/>
            <w:shd w:val="clear" w:color="auto" w:fill="auto"/>
            <w:vAlign w:val="center"/>
            <w:hideMark/>
          </w:tcPr>
          <w:p w14:paraId="61004CD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vMerge w:val="restart"/>
            <w:shd w:val="clear" w:color="auto" w:fill="auto"/>
            <w:vAlign w:val="center"/>
            <w:hideMark/>
          </w:tcPr>
          <w:p w14:paraId="639074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SCID-P</w:t>
            </w:r>
          </w:p>
        </w:tc>
        <w:tc>
          <w:tcPr>
            <w:tcW w:w="167" w:type="pct"/>
            <w:shd w:val="clear" w:color="auto" w:fill="auto"/>
            <w:vAlign w:val="center"/>
            <w:hideMark/>
          </w:tcPr>
          <w:p w14:paraId="37C2D26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vMerge w:val="restart"/>
            <w:shd w:val="clear" w:color="auto" w:fill="auto"/>
            <w:vAlign w:val="center"/>
            <w:hideMark/>
          </w:tcPr>
          <w:p w14:paraId="480F764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p w14:paraId="1439D4CB" w14:textId="77777777" w:rsidR="00D3535C" w:rsidRPr="00694969" w:rsidRDefault="00D3535C" w:rsidP="00927C0A">
            <w:pPr>
              <w:jc w:val="center"/>
              <w:rPr>
                <w:rFonts w:ascii="Times New Roman" w:eastAsia="Times New Roman" w:hAnsi="Times New Roman"/>
                <w:color w:val="000000"/>
                <w:sz w:val="18"/>
                <w:szCs w:val="18"/>
              </w:rPr>
            </w:pPr>
          </w:p>
        </w:tc>
        <w:tc>
          <w:tcPr>
            <w:tcW w:w="184" w:type="pct"/>
            <w:shd w:val="clear" w:color="auto" w:fill="auto"/>
            <w:vAlign w:val="center"/>
            <w:hideMark/>
          </w:tcPr>
          <w:p w14:paraId="09A5366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134</w:t>
            </w:r>
          </w:p>
        </w:tc>
        <w:tc>
          <w:tcPr>
            <w:tcW w:w="313" w:type="pct"/>
            <w:vMerge w:val="restart"/>
            <w:shd w:val="clear" w:color="auto" w:fill="auto"/>
            <w:vAlign w:val="center"/>
            <w:hideMark/>
          </w:tcPr>
          <w:p w14:paraId="2224F24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1992-1995</w:t>
            </w:r>
          </w:p>
        </w:tc>
      </w:tr>
      <w:tr w:rsidR="00D3535C" w:rsidRPr="00694969" w14:paraId="227F5AA3" w14:textId="77777777" w:rsidTr="00927C0A">
        <w:trPr>
          <w:trHeight w:val="968"/>
          <w:jc w:val="center"/>
        </w:trPr>
        <w:tc>
          <w:tcPr>
            <w:tcW w:w="479" w:type="pct"/>
            <w:vMerge/>
            <w:shd w:val="clear" w:color="auto" w:fill="auto"/>
            <w:vAlign w:val="center"/>
            <w:hideMark/>
          </w:tcPr>
          <w:p w14:paraId="0A36A7A0" w14:textId="77777777" w:rsidR="00D3535C" w:rsidRPr="00694969" w:rsidRDefault="00D3535C" w:rsidP="00927C0A">
            <w:pPr>
              <w:spacing w:after="0"/>
              <w:jc w:val="center"/>
              <w:rPr>
                <w:rFonts w:ascii="Times New Roman" w:eastAsia="Times New Roman" w:hAnsi="Times New Roman"/>
                <w:bCs/>
                <w:color w:val="000000"/>
                <w:sz w:val="18"/>
                <w:szCs w:val="18"/>
              </w:rPr>
            </w:pPr>
          </w:p>
        </w:tc>
        <w:tc>
          <w:tcPr>
            <w:tcW w:w="362" w:type="pct"/>
            <w:vMerge/>
            <w:shd w:val="clear" w:color="auto" w:fill="auto"/>
            <w:vAlign w:val="center"/>
            <w:hideMark/>
          </w:tcPr>
          <w:p w14:paraId="6DC95DB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36" w:type="pct"/>
            <w:vMerge/>
            <w:shd w:val="clear" w:color="auto" w:fill="auto"/>
            <w:vAlign w:val="center"/>
            <w:hideMark/>
          </w:tcPr>
          <w:p w14:paraId="611C54D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1" w:type="pct"/>
            <w:vMerge/>
            <w:shd w:val="clear" w:color="auto" w:fill="auto"/>
            <w:vAlign w:val="center"/>
            <w:hideMark/>
          </w:tcPr>
          <w:p w14:paraId="16EEF08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1" w:type="pct"/>
            <w:vMerge/>
            <w:shd w:val="clear" w:color="auto" w:fill="auto"/>
            <w:vAlign w:val="center"/>
            <w:hideMark/>
          </w:tcPr>
          <w:p w14:paraId="678D5423"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26" w:type="pct"/>
            <w:vMerge/>
            <w:shd w:val="clear" w:color="auto" w:fill="auto"/>
            <w:vAlign w:val="center"/>
            <w:hideMark/>
          </w:tcPr>
          <w:p w14:paraId="33E1A34C"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87" w:type="pct"/>
            <w:vMerge/>
            <w:shd w:val="clear" w:color="auto" w:fill="auto"/>
            <w:vAlign w:val="center"/>
            <w:hideMark/>
          </w:tcPr>
          <w:p w14:paraId="7242799E"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41" w:type="pct"/>
            <w:vMerge/>
            <w:shd w:val="clear" w:color="auto" w:fill="auto"/>
            <w:vAlign w:val="center"/>
            <w:hideMark/>
          </w:tcPr>
          <w:p w14:paraId="7B408886"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562" w:type="pct"/>
            <w:vMerge/>
            <w:shd w:val="clear" w:color="auto" w:fill="auto"/>
            <w:vAlign w:val="center"/>
            <w:hideMark/>
          </w:tcPr>
          <w:p w14:paraId="75C26CB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7" w:type="pct"/>
            <w:vMerge/>
            <w:shd w:val="clear" w:color="auto" w:fill="auto"/>
            <w:vAlign w:val="center"/>
            <w:hideMark/>
          </w:tcPr>
          <w:p w14:paraId="3ED0D7C8"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6" w:type="pct"/>
            <w:vMerge/>
            <w:shd w:val="clear" w:color="auto" w:fill="auto"/>
            <w:vAlign w:val="center"/>
            <w:hideMark/>
          </w:tcPr>
          <w:p w14:paraId="6CF2FBE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16" w:type="pct"/>
            <w:vMerge/>
            <w:shd w:val="clear" w:color="auto" w:fill="auto"/>
            <w:vAlign w:val="center"/>
            <w:hideMark/>
          </w:tcPr>
          <w:p w14:paraId="40B5D9FA"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497" w:type="pct"/>
            <w:vMerge/>
            <w:shd w:val="clear" w:color="auto" w:fill="auto"/>
            <w:vAlign w:val="center"/>
            <w:hideMark/>
          </w:tcPr>
          <w:p w14:paraId="1B7833C0"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67" w:type="pct"/>
            <w:shd w:val="clear" w:color="auto" w:fill="auto"/>
            <w:textDirection w:val="btLr"/>
            <w:vAlign w:val="center"/>
            <w:hideMark/>
          </w:tcPr>
          <w:p w14:paraId="6D65FDC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 months</w:t>
            </w:r>
          </w:p>
        </w:tc>
        <w:tc>
          <w:tcPr>
            <w:tcW w:w="194" w:type="pct"/>
            <w:vMerge/>
            <w:shd w:val="clear" w:color="auto" w:fill="auto"/>
            <w:vAlign w:val="center"/>
            <w:hideMark/>
          </w:tcPr>
          <w:p w14:paraId="7CC4A70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184" w:type="pct"/>
            <w:shd w:val="clear" w:color="auto" w:fill="auto"/>
            <w:vAlign w:val="center"/>
            <w:hideMark/>
          </w:tcPr>
          <w:p w14:paraId="1F47E6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106</w:t>
            </w:r>
          </w:p>
        </w:tc>
        <w:tc>
          <w:tcPr>
            <w:tcW w:w="313" w:type="pct"/>
            <w:vMerge/>
            <w:shd w:val="clear" w:color="auto" w:fill="auto"/>
            <w:vAlign w:val="center"/>
            <w:hideMark/>
          </w:tcPr>
          <w:p w14:paraId="245315FD" w14:textId="77777777" w:rsidR="00D3535C" w:rsidRPr="00694969" w:rsidRDefault="00D3535C" w:rsidP="00927C0A">
            <w:pPr>
              <w:spacing w:after="0"/>
              <w:jc w:val="center"/>
              <w:rPr>
                <w:rFonts w:ascii="Times New Roman" w:eastAsia="Times New Roman" w:hAnsi="Times New Roman"/>
                <w:color w:val="000000"/>
                <w:sz w:val="18"/>
                <w:szCs w:val="18"/>
              </w:rPr>
            </w:pPr>
          </w:p>
        </w:tc>
      </w:tr>
      <w:tr w:rsidR="00D3535C" w:rsidRPr="00694969" w14:paraId="39507B36" w14:textId="77777777" w:rsidTr="00927C0A">
        <w:trPr>
          <w:jc w:val="center"/>
        </w:trPr>
        <w:tc>
          <w:tcPr>
            <w:tcW w:w="479" w:type="pct"/>
            <w:shd w:val="clear" w:color="auto" w:fill="auto"/>
            <w:vAlign w:val="center"/>
            <w:hideMark/>
          </w:tcPr>
          <w:p w14:paraId="0AC4DCE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Kessing, 1999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{"citationID":"1d9s33ievg","properties":{"formattedCitation":"(Kessing, 1999)","plainCitation":"(Kessing, 1999)"},"citationItems":[{"id":229,"uris":["http://zotero.org/users/991106/items/V5V7UHT4"],"uri":["http://zotero.org/users/991106/items/V5V7UHT4"],"itemData":{"id":229,"type":"article-journal","title":"The effect of the first manic episode in affective disorder: a case register study of hospitalised episodes","container-title":"Journal of Affective Disorders","page":"233-239","volume":"53","issue":"3","abstract":"BACKGROUND\n\nIt is poorly understood how the course of illness in depressive patients is affected by a manic episode.\n\n\nMETHOD\n\nThe course of hospitalised episodes was compared for patients with depressive episodes only, patients who presented with a manic or circular first episode and patients who presented with a depressive first episode and later developed mania. The Danish psychiatric central register was used as a study base, including all hospital admissions with primary affective disorder in Denmark during 1971-1993.\n\n\nRESULTS\n\nA total of 17,447 patients presented with a depressive first episode and 2903 patients with a manic or circular first episode. Among the 17,447 depressive patients, 762 patients presented with mania at later episodes (4.4%). Younger age at onset was associated with increased risk of developing mania. Patients who had a late first manic episode had the same rate of subsequent recurrence as patients with mania at first episode and this rate was higher than the rate of recurrence for patients who remained having depressive episodes only. Time since first manic episode was without importance in relation to the risk of subsequent recurrence.\n\n\nCONCLUSION\n\nPatients who present with depression and later develop mania have from onset the same risk of recurrence as initially bipolar patients.\n\n\nLIMITATION\n\nThe data relate to admissions rather than episodes.\n\n\nCLINICAL RELEVANCE\n\nYounger patients who present with depression have increased risk of developing bipolar disorder.","note":"PMID: 10404709","shortTitle":"The effect of the first manic episode in affective disorder","journalAbbreviation":"J Affect Disord","author":[{"family":"Kessing","given":"L V"}],"issued":{"year":1999,"month":6},"accessed":{"year":2012,"month":3,"day":26},"page-first":"233"}}],"schema":"https://github.com/citation-style-language/schema/raw/master/csl-citation.json"}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(Kessing, 1999)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D5A906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Denmark</w:t>
            </w:r>
          </w:p>
        </w:tc>
        <w:tc>
          <w:tcPr>
            <w:tcW w:w="136" w:type="pct"/>
            <w:shd w:val="clear" w:color="auto" w:fill="auto"/>
            <w:vAlign w:val="center"/>
            <w:hideMark/>
          </w:tcPr>
          <w:p w14:paraId="5661E7F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050D3CA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67DBF26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7BEE8A2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0936808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national register of psychiatric admissions</w:t>
            </w:r>
          </w:p>
        </w:tc>
        <w:tc>
          <w:tcPr>
            <w:tcW w:w="141" w:type="pct"/>
            <w:shd w:val="clear" w:color="auto" w:fill="auto"/>
            <w:vAlign w:val="center"/>
            <w:hideMark/>
          </w:tcPr>
          <w:p w14:paraId="0AEDF28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657E921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At 1st discharge</w:t>
            </w:r>
          </w:p>
        </w:tc>
        <w:tc>
          <w:tcPr>
            <w:tcW w:w="237" w:type="pct"/>
            <w:shd w:val="clear" w:color="auto" w:fill="auto"/>
            <w:vAlign w:val="center"/>
            <w:hideMark/>
          </w:tcPr>
          <w:p w14:paraId="43B857A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236" w:type="pct"/>
            <w:shd w:val="clear" w:color="auto" w:fill="auto"/>
            <w:vAlign w:val="center"/>
            <w:hideMark/>
          </w:tcPr>
          <w:p w14:paraId="1207517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ICD-8</w:t>
            </w:r>
          </w:p>
        </w:tc>
        <w:tc>
          <w:tcPr>
            <w:tcW w:w="316" w:type="pct"/>
            <w:shd w:val="clear" w:color="auto" w:fill="auto"/>
            <w:vAlign w:val="center"/>
            <w:hideMark/>
          </w:tcPr>
          <w:p w14:paraId="3DCD647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Manic-depression</w:t>
            </w:r>
          </w:p>
        </w:tc>
        <w:tc>
          <w:tcPr>
            <w:tcW w:w="497" w:type="pct"/>
            <w:shd w:val="clear" w:color="auto" w:fill="auto"/>
            <w:vAlign w:val="center"/>
            <w:hideMark/>
          </w:tcPr>
          <w:p w14:paraId="0B93734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Unstructured</w:t>
            </w:r>
          </w:p>
        </w:tc>
        <w:tc>
          <w:tcPr>
            <w:tcW w:w="167" w:type="pct"/>
            <w:shd w:val="clear" w:color="auto" w:fill="auto"/>
            <w:vAlign w:val="center"/>
            <w:hideMark/>
          </w:tcPr>
          <w:p w14:paraId="32BA736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94" w:type="pct"/>
            <w:shd w:val="clear" w:color="auto" w:fill="auto"/>
            <w:vAlign w:val="center"/>
            <w:hideMark/>
          </w:tcPr>
          <w:p w14:paraId="35E97B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594025D7"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313" w:type="pct"/>
            <w:shd w:val="clear" w:color="auto" w:fill="auto"/>
            <w:vAlign w:val="center"/>
            <w:hideMark/>
          </w:tcPr>
          <w:p w14:paraId="0CF8A14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1970-1993</w:t>
            </w:r>
          </w:p>
        </w:tc>
      </w:tr>
      <w:tr w:rsidR="00D3535C" w:rsidRPr="00694969" w14:paraId="7AACBC33" w14:textId="77777777" w:rsidTr="00927C0A">
        <w:trPr>
          <w:jc w:val="center"/>
        </w:trPr>
        <w:tc>
          <w:tcPr>
            <w:tcW w:w="479" w:type="pct"/>
            <w:shd w:val="clear" w:color="auto" w:fill="auto"/>
            <w:vAlign w:val="center"/>
            <w:hideMark/>
          </w:tcPr>
          <w:p w14:paraId="5F938C99"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Levander, 2007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{"citationID":"25ab6895n0","properties":{"formattedCitation":"(McElroy, 2001)","plainCitation":"(McElroy, 2001)"},"citationItems":[{"id":1178,"uris":["http://zotero.org/users/991106/items/3IQFZQE5"],"uri":["http://zotero.org/users/991106/items/3IQFZQE5"],"itemData":{"id":1178,"type":"article-journal","title":"Axis I Psychiatric Comorbidity and Its Relationship to Historical Illness Variables in 288 Patients With Bipolar Disorder","container-title":"American Journal of Psychiatry","page":"420-426","volume":"158","issue":"3","DOI":"10.1176/appi.ajp.158.3.420","author":[{"family":"McElroy","given":"S. L."}],"issued":{"year":2001,"month":3,"day":1},"accessed":{"year":2012,"month":4,"day":26},"page-first":"420"}}],"schema":"https://github.com/citation-style-language/schema/raw/master/csl-citation.json"}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(McElroy, 2001)</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Frye , 2003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{"citationID":"2k9jpbqu49","properties":{"formattedCitation":"(Frye et al., 2003)","plainCitation":"(Frye et al., 2003)"},"citationItems":[{"id":1176,"uris":["http://zotero.org/users/991106/items/ERTZZIER"],"uri":["http://zotero.org/users/991106/items/ERTZZIER"],"itemData":{"id":1176,"type":"article-journal","title":"Gender differences in prevalence, risk, and clinical correlates of alcoholism comorbidity in bipolar disorder","container-title":"The American Journal of Psychiatry","page":"883-889","volume":"160","issue":"5","abstract":"OBJECTIVE\n\nThe prevalence of lifetime alcohol abuse and/or dependence (alcoholism) in patients with bipolar disorder has been reported to be higher than in all other axis I psychiatric diagnoses. This study examined gender-specific relationships between alcoholism and bipolar illness, which have previously received little systematic study.\n\n\nMETHOD\n\nThe prevalence of lifetime alcoholism in 267 outpatients enrolled in the Stanley Foundation Bipolar Network was evaluated by using the Structured Clinical Interview for DSM-IV. Alcoholism and its relationship to retrospectively assessed measures of the course of bipolar illness were evaluated by patient-rated and clinician-administered questionnaires.\n\n\nRESULTS\n\nAs in the general population, more men (49%, 57 of 116) than women with bipolar disorder (29%, 44 of 151) met the criteria for lifetime alcoholism. However, the risk of having alcoholism was greater for women with bipolar disorder (odds ratio=7.35) than for men with bipolar disorder (odds ratio=2.77), compared with the general population. Alcoholism was associated with a history of polysubstance use in women with bipolar disorder and with a family history of alcoholism in men with bipolar disorder.\n\n\nCONCLUSIONS\n\nThis study suggests that there are gender differences in the prevalence, risk, and clinical correlates of alcoholism in bipolar illness. Although this study is limited by the retrospective assessment of illness variables, the magnitude of these gender-specific differences is substantial and warrants further prospective study.","note":"PMID: 12727691","journalAbbreviation":"Am J Psychiatry","author":[{"family":"Frye","given":"Mark A"},{"family":"Altshuler","given":"Lori L"},{"family":"McElroy","given":"Susan L"},{"family":"Suppes","given":"Trisha"},{"family":"Keck","given":"Paul E"},{"family":"Denicoff","given":"Kirk"},{"family":"Nolen","given":"Willem A"},{"family":"Kupka","given":"Ralph"},{"family":"Leverich","given":"Gabriele S"},{"family":"Pollio","given":"Chad"},{"family":"Grunze","given":"Heinz"},{"family":"Walden","given":"Jorge"},{"family":"Post","given":"Robert M"}],"issued":{"year":2003,"month":5},"accessed":{"year":2012,"month":4,"day":26},"page-first":"883"}}],"schema":"https://github.com/citation-style-language/schema/raw/master/csl-citation.json"}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(Frye et al., 2003)</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Leverich, 2002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{"citationID":"g7je3gfbe","properties":{"formattedCitation":"(Leverich et al., 2002)","plainCitation":"(Leverich et al., 2002)"},"citationItems":[{"id":1177,"uris":["http://zotero.org/users/991106/items/XPBKAWSH"],"uri":["http://zotero.org/users/991106/items/XPBKAWSH"],"itemData":{"id":1177,"type":"article-journal","title":"Early physical and sexual abuse associated with an adverse course of bipolar illness","container-title":"Biological Psychiatry","page":"288-297","volume":"51","issue":"4","abstract":"BACKGROUND\n\nThere is growing awareness of the association between physical and sexual abuse and subsequent development of psychopathology, but little is known, however, about their relationship to the longitudinal course of bipolar disorder.\n\n\nMETHODS\n\nWe evaluated 631 outpatients with bipolar I or II disorder for general demographics, a history of physical or sexual abuse as a child or adolescent, course of illness variables, and prior suicide attempts, as well as SCID-derived Axis I and patient endorsed Axis II comorbidity.\n\n\nRESULTS\n\nThose who endorsed a history of child or adolescent physical or sexual abuse, compared with those who did not, had a history of an earlier onset of bipolar illness, an increased number of Axis I, II, and III comorbid disorders, including drug and alcohol abuse, faster cycling frequencies, a higher rate of suicide attempts, and more psychosocial stressors occurring before the first and most recent affective episode. The retrospectively reported associations of early abuse with a more severe course of illness were validated prospectively.\n\n\nCONCLUSIONS\n\nGreater appreciation of the association of early traumatic experiences and an adverse course of bipolar illness should lead to preventive and early intervention approaches that may lessen the associated risk of a poor outcome.","note":"PMID: 11958779","journalAbbreviation":"Biol. Psychiatry","author":[{"family":"Leverich","given":"Gabriele S"},{"family":"McElroy","given":"Susan L"},{"family":"Suppes","given":"Trisha"},{"family":"Keck","given":"Paul E, Jr"},{"family":"Denicoff","given":"Kirk D"},{"family":"Nolen","given":"Willem A"},{"family":"Altshuler","given":"Lori L"},{"family":"Rush","given":"A John"},{"family":"Kupka","given":"Ralph"},{"family":"Frye","given":"Mark A"},{"family":"Autio","given":"Karen A"},{"family":"Post","given":"Robert M"}],"issued":{"year":2002,"month":2,"day":15},"accessed":{"year":2012,"month":4,"day":26},"page-first":"288"}}],"schema":"https://github.com/citation-style-language/schema/raw/master/csl-citation.json"}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(Leverich et al., 2002)</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McElroy, 2001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{"citationID":"29n1au2rpl","properties":{"formattedCitation":"(McElroy, 2001)","plainCitation":"(McElroy, 2001)"},"citationItems":[{"id":1178,"uris":["http://zotero.org/users/991106/items/3IQFZQE5"],"uri":["http://zotero.org/users/991106/items/3IQFZQE5"],"itemData":{"id":1178,"type":"article-journal","title":"Axis I Psychiatric Comorbidity and Its Relationship to Historical Illness Variables in 288 Patients With Bipolar Disorder","container-title":"American Journal of Psychiatry","page":"420-426","volume":"158","issue":"3","DOI":"10.1176/appi.ajp.158.3.420","author":[{"family":"McElroy","given":"S. L."}],"issued":{"year":2001,"month":3,"day":1},"accessed":{"year":2012,"month":4,"day":26},"page-first":"420"}}],"schema":"https://github.com/citation-style-language/schema/raw/master/csl-citation.json"}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(McElroy, 2001)</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w:t>
            </w:r>
          </w:p>
        </w:tc>
        <w:tc>
          <w:tcPr>
            <w:tcW w:w="362" w:type="pct"/>
            <w:shd w:val="clear" w:color="auto" w:fill="auto"/>
            <w:vAlign w:val="center"/>
            <w:hideMark/>
          </w:tcPr>
          <w:p w14:paraId="3A85BC7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Germany, The Netherlands, US</w:t>
            </w:r>
          </w:p>
        </w:tc>
        <w:tc>
          <w:tcPr>
            <w:tcW w:w="136" w:type="pct"/>
            <w:shd w:val="clear" w:color="auto" w:fill="auto"/>
            <w:vAlign w:val="center"/>
            <w:hideMark/>
          </w:tcPr>
          <w:p w14:paraId="379B4CB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5BDAC02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A/B</w:t>
            </w:r>
          </w:p>
        </w:tc>
        <w:tc>
          <w:tcPr>
            <w:tcW w:w="181" w:type="pct"/>
            <w:shd w:val="clear" w:color="auto" w:fill="auto"/>
            <w:vAlign w:val="center"/>
            <w:hideMark/>
          </w:tcPr>
          <w:p w14:paraId="720A706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15882B1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23EADAD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 from The Stanley Foundation Bipolar Network</w:t>
            </w:r>
          </w:p>
        </w:tc>
        <w:tc>
          <w:tcPr>
            <w:tcW w:w="141" w:type="pct"/>
            <w:shd w:val="clear" w:color="auto" w:fill="auto"/>
            <w:vAlign w:val="center"/>
            <w:hideMark/>
          </w:tcPr>
          <w:p w14:paraId="03D951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430EEF7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Not severe current SUD/ current AUD, willingness to perform prospective daily mood charting/to be in treatment</w:t>
            </w:r>
          </w:p>
        </w:tc>
        <w:tc>
          <w:tcPr>
            <w:tcW w:w="237" w:type="pct"/>
            <w:shd w:val="clear" w:color="auto" w:fill="auto"/>
            <w:vAlign w:val="center"/>
            <w:hideMark/>
          </w:tcPr>
          <w:p w14:paraId="2F05CC0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18-65</w:t>
            </w:r>
          </w:p>
        </w:tc>
        <w:tc>
          <w:tcPr>
            <w:tcW w:w="236" w:type="pct"/>
            <w:shd w:val="clear" w:color="auto" w:fill="auto"/>
            <w:vAlign w:val="center"/>
            <w:hideMark/>
          </w:tcPr>
          <w:p w14:paraId="0C70DE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6117391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 BD-NOS. SAD-BT</w:t>
            </w:r>
          </w:p>
        </w:tc>
        <w:tc>
          <w:tcPr>
            <w:tcW w:w="497" w:type="pct"/>
            <w:shd w:val="clear" w:color="auto" w:fill="auto"/>
            <w:vAlign w:val="center"/>
            <w:hideMark/>
          </w:tcPr>
          <w:p w14:paraId="52F60E1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SCID-P</w:t>
            </w:r>
          </w:p>
        </w:tc>
        <w:tc>
          <w:tcPr>
            <w:tcW w:w="167" w:type="pct"/>
            <w:shd w:val="clear" w:color="auto" w:fill="auto"/>
            <w:vAlign w:val="center"/>
            <w:hideMark/>
          </w:tcPr>
          <w:p w14:paraId="4487169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 C</w:t>
            </w:r>
          </w:p>
        </w:tc>
        <w:tc>
          <w:tcPr>
            <w:tcW w:w="194" w:type="pct"/>
            <w:shd w:val="clear" w:color="auto" w:fill="auto"/>
            <w:vAlign w:val="center"/>
            <w:hideMark/>
          </w:tcPr>
          <w:p w14:paraId="0D7A8C5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3166347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350</w:t>
            </w:r>
          </w:p>
        </w:tc>
        <w:tc>
          <w:tcPr>
            <w:tcW w:w="313" w:type="pct"/>
            <w:shd w:val="clear" w:color="auto" w:fill="auto"/>
            <w:vAlign w:val="center"/>
            <w:hideMark/>
          </w:tcPr>
          <w:p w14:paraId="38F719F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2B939BD5" w14:textId="77777777" w:rsidTr="00927C0A">
        <w:trPr>
          <w:jc w:val="center"/>
        </w:trPr>
        <w:tc>
          <w:tcPr>
            <w:tcW w:w="479" w:type="pct"/>
            <w:shd w:val="clear" w:color="auto" w:fill="auto"/>
            <w:vAlign w:val="center"/>
            <w:hideMark/>
          </w:tcPr>
          <w:p w14:paraId="4FBCE0B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Lydall, 2011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{"citationID":"2fpqfon8k0","properties":{"formattedCitation":"(Lydall G.J. et al., 2011)","plainCitation":"(Lydall G.J. et al., 2011)"},"citationItems":[{"id":280,"uris":["http://zotero.org/users/991106/items/48XF2GB2"],"uri":["http://zotero.org/users/991106/items/48XF2GB2"],"itemData":{"id":280,"type":"article-journal","title":"Confirmation of prior evidence of genetic susceptibility to alcoholism in a genome-wide association study of comorbid alcoholism and bipolar disorder.","container-title":"Psychiatric Genetics","page":"294-306","abstract":"ObjectiveS: Alcoholism and affective disorders are both strongly comorbid and heritable. We have investigated the genetic comorbidity between bipolar affective disorder and alcoholism. METHODS: A genome-wide allelic association study of 506 patients from the University College London bipolar disorder case-control sample and 510 ancestrally matched supernormal controls. One hundred forty-three of the bipolar patients fulfilled the Research Diagnostic Criteria diagnosis of alcoholism. A total of 372 193 single nucleotide polymorphisms (SNPs) were genotyped. Genes previously shown to be associated with alcoholism and addiction phenotypes were then tested for association in the bipolar alcoholic sample using gene-wise permutation tests of all SNPs genotyped within a 50-kb region flanking each gene. Results: Several central nervous system genes showed significant (P&lt;0.05) gene-wise evidence of association with bipolar alcoholism. The genes implicated, which replicated genes previously shown to be associated with alcoholism were: cadherin 11, collagen type 11 alpha2, neuromedin U receptor 2, exportin7, and semaphorin-associated protein 5A. The SNPs most strongly implicated in bipolar alcoholism, but, which did not meet conventional genome-wide significance criteria were the insulin-like growth factor-binding protein 7, carboxypeptidase O, cerebellin 2, and the cadherin 12 genes. Conclusion: We have confirmed the role of some genes previously shown to be associated with alcoholism in the comorbid bipolar alcoholism subgroup. In this subgroup, bipolar disorder may lower the threshold for the phenotypic expression of these alcoholism susceptibility genes. We also show that some genes may independently increase susceptibility to affective disorder and alcoholism. 2011 Wolters Kluwer Health | Lippincott Williams &amp; Wilkins.","DOI":"http://dx.doi.org/10.1097/YPG.0b013e32834915c2","author":[{"family":"Lydall G.J.","given":""},{"family":"Bass N.J.","given":""},{"family":"McQuillin A.","given":""},{"family":"Lawrence J.","given":""},{"family":"Anjorin A.","given":""},{"family":"Kandaswamy R.","given":""},{"family":"Pereira A.","given":""},{"family":"Guerrini I.","given":""},{"family":"Curtis D.","given":""},{"family":"Vine A.E.","given":""},{"family":"Sklar P.","given":""},{"family":"Purcell S.M.","given":""},{"family":"Gurling H.M.D.","given":""}],"issued":{"year":2011,"month":12},"accessed":{"year":2012,"month":4,"day":16},"page-first":"294"}}],"schema":"https://github.com/citation-style-language/schema/raw/master/csl-citation.json"}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(Lydall G.J. et al., 2011)</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1C04E3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UK</w:t>
            </w:r>
          </w:p>
        </w:tc>
        <w:tc>
          <w:tcPr>
            <w:tcW w:w="136" w:type="pct"/>
            <w:shd w:val="clear" w:color="auto" w:fill="auto"/>
            <w:vAlign w:val="center"/>
            <w:hideMark/>
          </w:tcPr>
          <w:p w14:paraId="0292F9F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5B8C65C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34285B9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0B4F268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768594A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Genetic study</w:t>
            </w:r>
          </w:p>
        </w:tc>
        <w:tc>
          <w:tcPr>
            <w:tcW w:w="141" w:type="pct"/>
            <w:shd w:val="clear" w:color="auto" w:fill="auto"/>
            <w:vAlign w:val="center"/>
            <w:hideMark/>
          </w:tcPr>
          <w:p w14:paraId="7DA4D0C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36EAB49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Caucasian British ancestry, with a maximum of one grandparent from Western Europe</w:t>
            </w:r>
          </w:p>
        </w:tc>
        <w:tc>
          <w:tcPr>
            <w:tcW w:w="237" w:type="pct"/>
            <w:shd w:val="clear" w:color="auto" w:fill="auto"/>
            <w:vAlign w:val="center"/>
            <w:hideMark/>
          </w:tcPr>
          <w:p w14:paraId="651FE62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c>
          <w:tcPr>
            <w:tcW w:w="236" w:type="pct"/>
            <w:shd w:val="clear" w:color="auto" w:fill="auto"/>
            <w:vAlign w:val="center"/>
            <w:hideMark/>
          </w:tcPr>
          <w:p w14:paraId="13CCDDA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RDC</w:t>
            </w:r>
          </w:p>
        </w:tc>
        <w:tc>
          <w:tcPr>
            <w:tcW w:w="316" w:type="pct"/>
            <w:shd w:val="clear" w:color="auto" w:fill="auto"/>
            <w:vAlign w:val="center"/>
            <w:hideMark/>
          </w:tcPr>
          <w:p w14:paraId="355F283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 BD-I</w:t>
            </w:r>
          </w:p>
        </w:tc>
        <w:tc>
          <w:tcPr>
            <w:tcW w:w="497" w:type="pct"/>
            <w:shd w:val="clear" w:color="auto" w:fill="auto"/>
            <w:vAlign w:val="center"/>
            <w:hideMark/>
          </w:tcPr>
          <w:p w14:paraId="1E962E0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SADS-LT</w:t>
            </w:r>
          </w:p>
        </w:tc>
        <w:tc>
          <w:tcPr>
            <w:tcW w:w="167" w:type="pct"/>
            <w:shd w:val="clear" w:color="auto" w:fill="auto"/>
            <w:vAlign w:val="center"/>
            <w:hideMark/>
          </w:tcPr>
          <w:p w14:paraId="026FB16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11F5C2D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1C4086B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506</w:t>
            </w:r>
          </w:p>
        </w:tc>
        <w:tc>
          <w:tcPr>
            <w:tcW w:w="313" w:type="pct"/>
            <w:shd w:val="clear" w:color="auto" w:fill="auto"/>
            <w:vAlign w:val="center"/>
            <w:hideMark/>
          </w:tcPr>
          <w:p w14:paraId="727C74A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668C617C" w14:textId="77777777" w:rsidTr="00927C0A">
        <w:trPr>
          <w:jc w:val="center"/>
        </w:trPr>
        <w:tc>
          <w:tcPr>
            <w:tcW w:w="479" w:type="pct"/>
            <w:shd w:val="clear" w:color="auto" w:fill="auto"/>
            <w:vAlign w:val="center"/>
            <w:hideMark/>
          </w:tcPr>
          <w:p w14:paraId="58CE15B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Maier, 1995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{"citationID":"2ll9c56efs","properties":{"formattedCitation":"(Maier W. et al., 1995)","plainCitation":"(Maier W. et al., 1995)"},"citationItems":[{"id":834,"uris":["http://zotero.org/users/991106/items/UH5R6XK7"],"uri":["http://zotero.org/users/991106/items/UH5R6XK7"],"itemData":{"id":834,"type":"article-journal","title":"The relationship between bipolar disorder and alcoholism: A controlled family study.","container-title":"Psychological Medicine","page":"787-796","abstract":"Bipolar disorder and alcoholism are familial disorders. The familial-genetic relationship between both is controversial and has received insufficient study. This study explores whether bipolar disorder and alcoholism share familial risk factors, and whether the co-occurrence of lifetime diagnosis of bipolar disorder and alcoholism is familial. We report on first-degree relatives of 146 consecutively admitted patients with either bipolar disorder or/and alcoholism; relatives of the patients (in total 728 relatives directly interviewed) were compared with first-degree relatives of 109 general population probands (320 relatives directly interviewed). Overlap between the familial components underlying bipolar disorder and alcoholism was not observed if the analysis was restricted to 'pure' diagnostic groups. Excess comorbidity between bipolar disorder and alcoholism was observed in relatives. Multiple sources for this excess of comorbidity between major affective disorders and alcoholism in families of probands with bipolar disorder are likely; in particular, we found evidence for a distinct subgroup of comorbid cases with familial comorbidity; however, excess comorbidity was also found in absence of familial loading with alcoholism.","shortTitle":"The relationship between bipolar disorder and alcoholism","author":[{"family":"Maier W.","given":""},{"family":"Lichtermann D.","given":""},{"family":"Minges J.","given":""},{"family":"Delmo C.","given":""},{"family":"Heun R.","given":""}],"issued":{"year":1995},"accessed":{"year":2012,"month":4,"day":16},"page-first":"787"}}],"schema":"https://github.com/citation-style-language/schema/raw/master/csl-citation.json"}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(Maier W. et al., 1995)</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523F76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Germany</w:t>
            </w:r>
          </w:p>
        </w:tc>
        <w:tc>
          <w:tcPr>
            <w:tcW w:w="136" w:type="pct"/>
            <w:shd w:val="clear" w:color="auto" w:fill="auto"/>
            <w:vAlign w:val="center"/>
            <w:hideMark/>
          </w:tcPr>
          <w:p w14:paraId="7FD80AA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1E1DA4D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72490BB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775450B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78AA3EE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363BC81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2E78A9D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At least 1 first-degree available</w:t>
            </w:r>
          </w:p>
        </w:tc>
        <w:tc>
          <w:tcPr>
            <w:tcW w:w="237" w:type="pct"/>
            <w:shd w:val="clear" w:color="auto" w:fill="auto"/>
            <w:vAlign w:val="center"/>
            <w:hideMark/>
          </w:tcPr>
          <w:p w14:paraId="6617BA5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17-65</w:t>
            </w:r>
          </w:p>
        </w:tc>
        <w:tc>
          <w:tcPr>
            <w:tcW w:w="236" w:type="pct"/>
            <w:shd w:val="clear" w:color="auto" w:fill="auto"/>
            <w:vAlign w:val="center"/>
            <w:hideMark/>
          </w:tcPr>
          <w:p w14:paraId="3754D91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RDC</w:t>
            </w:r>
          </w:p>
        </w:tc>
        <w:tc>
          <w:tcPr>
            <w:tcW w:w="316" w:type="pct"/>
            <w:shd w:val="clear" w:color="auto" w:fill="auto"/>
            <w:vAlign w:val="center"/>
            <w:hideMark/>
          </w:tcPr>
          <w:p w14:paraId="4D197C1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 BD-I, BD-II</w:t>
            </w:r>
          </w:p>
        </w:tc>
        <w:tc>
          <w:tcPr>
            <w:tcW w:w="497" w:type="pct"/>
            <w:shd w:val="clear" w:color="auto" w:fill="auto"/>
            <w:vAlign w:val="center"/>
            <w:hideMark/>
          </w:tcPr>
          <w:p w14:paraId="65BA0FF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SADS-LA</w:t>
            </w:r>
          </w:p>
        </w:tc>
        <w:tc>
          <w:tcPr>
            <w:tcW w:w="167" w:type="pct"/>
            <w:shd w:val="clear" w:color="auto" w:fill="auto"/>
            <w:vAlign w:val="center"/>
            <w:hideMark/>
          </w:tcPr>
          <w:p w14:paraId="2E03448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E67F78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0590011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82</w:t>
            </w:r>
          </w:p>
        </w:tc>
        <w:tc>
          <w:tcPr>
            <w:tcW w:w="313" w:type="pct"/>
            <w:shd w:val="clear" w:color="auto" w:fill="auto"/>
            <w:vAlign w:val="center"/>
            <w:hideMark/>
          </w:tcPr>
          <w:p w14:paraId="00876DC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3A757975" w14:textId="77777777" w:rsidTr="00927C0A">
        <w:trPr>
          <w:jc w:val="center"/>
        </w:trPr>
        <w:tc>
          <w:tcPr>
            <w:tcW w:w="479" w:type="pct"/>
            <w:shd w:val="clear" w:color="auto" w:fill="auto"/>
            <w:vAlign w:val="center"/>
            <w:hideMark/>
          </w:tcPr>
          <w:p w14:paraId="3284B03C"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Morgan, 2005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{"citationID":"sg0gk09tg","properties":{"formattedCitation":"(Morgan V.A. et al., 2005)","plainCitation":"(Morgan V.A. et al., 2005)"},"citationItems":[{"id":934,"uris":["http://zotero.org/users/991106/items/U4EQRGRD"],"uri":["http://zotero.org/users/991106/items/U4EQRGRD"],"itemData":{"id":934,"type":"article-journal","title":"The epidemiology of bipolar disorder: Sociodemographic, disability and service utilization data from the Australian National Study of Low Prevalence (Psychotic) Disorders.","container-title":"Bipolar Disorders","page":"326-337","abstract":"Objectives: Data from the Australian National Study of Low Prevalence (Psychotic) Disorders were used to describe the clinical and sociodemographic profile of individuals with bipolar disorder, their levels of impairment and disability, and use of medication and treatment services. Methods: A 1-month census of contacts with mental health services, private psychiatric and general practices, as well as contact points in marginalized settings, was conducted in a national catchment of 1.1 million adults. The census yielded 3,800 individuals who screened positive for psychosis, of whom a random sample of 980 were administered a comprehensive semi-structured interview schedule. Results are presented on 112 persons with an ICD-10 diagnosis of bipolar disorder. Results: Overall, 69.6% of the 112 persons who met the ICD-10 criteria for bipolar disorder reported a recurrent episodic illness, 25.0% had a chronic course without clear remissions, and 5.4% had a single episode of mania. Assessed on a lifetime basis, suicidal ideation was common (78.6%) and levels of drug and alcohol abuse/dependence were high (32.1%). The majority (84.8%) had had at least one contact with inpatient, outpatient or emergency services in the previous year. Those with serious impairment had levels of service utilization similar to the rest of the sample, but were more likely to report a poorer quality of life and unmet service needs. While the percentage experiencing social and occupational dysfunction was substantial and similar for both sexes, women appeared to be better integrated socially than men. Comparisons with schizophrenia patients within the same survey sample highlighted less chronic impairment but equal or greater utilization of services by bipolar patients. Conclusions: Despite low levels of chronicity, the burden of social disablement associated with bipolar disorder is high. The data suggest a number of important gaps in the provision of services for this predominantly treated population. Blackwell Munksgaard, 2005.","DOI":"http://dx.doi.org/10.1111/j.1399-5618.2005.00229.x","shortTitle":"The epidemiology of bipolar disorder","author":[{"family":"Morgan V.A.","given":""},{"family":"Mitchell P.B.","given":""},{"family":"Jablensky A.V.","given":""}],"issued":{"year":2005,"month":8},"accessed":{"year":2012,"month":4,"day":16},"page-first":"326"}}],"schema":"https://github.com/citation-style-language/schema/raw/master/csl-citation.json"}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(Morgan V.A. et al., 2005)</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2769B91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Australia</w:t>
            </w:r>
          </w:p>
        </w:tc>
        <w:tc>
          <w:tcPr>
            <w:tcW w:w="136" w:type="pct"/>
            <w:shd w:val="clear" w:color="auto" w:fill="auto"/>
            <w:vAlign w:val="center"/>
            <w:hideMark/>
          </w:tcPr>
          <w:p w14:paraId="1DEEE2F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7086641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6EB9B27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64FFAA5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3F3686E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Australian National Study of Low Prevalence (Psychotic) Disorders</w:t>
            </w:r>
          </w:p>
        </w:tc>
        <w:tc>
          <w:tcPr>
            <w:tcW w:w="141" w:type="pct"/>
            <w:shd w:val="clear" w:color="auto" w:fill="auto"/>
            <w:vAlign w:val="center"/>
            <w:hideMark/>
          </w:tcPr>
          <w:p w14:paraId="29E10CD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39B6D9FE"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7" w:type="pct"/>
            <w:shd w:val="clear" w:color="auto" w:fill="auto"/>
            <w:vAlign w:val="center"/>
            <w:hideMark/>
          </w:tcPr>
          <w:p w14:paraId="36D5B4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42-43</w:t>
            </w:r>
          </w:p>
        </w:tc>
        <w:tc>
          <w:tcPr>
            <w:tcW w:w="236" w:type="pct"/>
            <w:shd w:val="clear" w:color="auto" w:fill="auto"/>
            <w:vAlign w:val="center"/>
            <w:hideMark/>
          </w:tcPr>
          <w:p w14:paraId="3F6B003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ICD-10</w:t>
            </w:r>
          </w:p>
        </w:tc>
        <w:tc>
          <w:tcPr>
            <w:tcW w:w="316" w:type="pct"/>
            <w:shd w:val="clear" w:color="auto" w:fill="auto"/>
            <w:vAlign w:val="center"/>
            <w:hideMark/>
          </w:tcPr>
          <w:p w14:paraId="06F435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497" w:type="pct"/>
            <w:shd w:val="clear" w:color="auto" w:fill="auto"/>
            <w:vAlign w:val="center"/>
            <w:hideMark/>
          </w:tcPr>
          <w:p w14:paraId="61BD915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CIDI</w:t>
            </w:r>
          </w:p>
        </w:tc>
        <w:tc>
          <w:tcPr>
            <w:tcW w:w="167" w:type="pct"/>
            <w:shd w:val="clear" w:color="auto" w:fill="auto"/>
            <w:vAlign w:val="center"/>
            <w:hideMark/>
          </w:tcPr>
          <w:p w14:paraId="407E552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4994C39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6B20EB5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112</w:t>
            </w:r>
          </w:p>
        </w:tc>
        <w:tc>
          <w:tcPr>
            <w:tcW w:w="313" w:type="pct"/>
            <w:shd w:val="clear" w:color="auto" w:fill="auto"/>
            <w:vAlign w:val="center"/>
            <w:hideMark/>
          </w:tcPr>
          <w:p w14:paraId="68F2821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1997-1998</w:t>
            </w:r>
          </w:p>
        </w:tc>
      </w:tr>
      <w:tr w:rsidR="00D3535C" w:rsidRPr="00694969" w14:paraId="4DA1A1C6" w14:textId="77777777" w:rsidTr="00927C0A">
        <w:trPr>
          <w:jc w:val="center"/>
        </w:trPr>
        <w:tc>
          <w:tcPr>
            <w:tcW w:w="479" w:type="pct"/>
            <w:shd w:val="clear" w:color="auto" w:fill="auto"/>
            <w:vAlign w:val="center"/>
            <w:hideMark/>
          </w:tcPr>
          <w:p w14:paraId="47C153D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Mueser, 2000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{"citationID":"15ak7hfkpn","properties":{"formattedCitation":"(Mueser et al., 2000)","plainCitation":"(Mueser et al., 2000)"},"citationItems":[{"id":1203,"uris":["http://zotero.org/users/991106/items/55X9P3GB"],"uri":["http://zotero.org/users/991106/items/55X9P3GB"],"itemData":{"id":1203,"type":"article-journal","title":"Substance use disorder in hospitalized severely mentally ill psychiatric patients: prevalence, correlates, and subgroups","container-title":"Schizophrenia Bulletin","page":"179-192","volume":"26","issue":"1","abstract":"The prevalence and demographic and clinical correlates of lifetime substance use disorders were examined in a cohort of 325 recently hospitalized psychiatric patients (53% schizophrenia or schizoaffective disorder). Alcohol use was the most common type of substance use disorder, followed by cannabis and cocaine use. Univariate analyses indicated that gender (male), age (younger), education (less), history of time in jail, conduct disorder symptoms, and antisocial personality disorder symptoms were predictive of substance use disorders. Lifetime cannabis use disorder was uniquely predicted by marital status (never married) and fewer psychiatric hospitalizations during the previous 6 months. Optimal classification tree analysis, an exploratory, nonlinear method of identifying patient subgroups, was successful in predicting 74 percent to 86 percent of the alcohol, cannabis, and cocaine use disorders. The implications of this method for identifying specific patient subgroups and service needs are discussed.","note":"PMID: 10755680","shortTitle":"Substance use disorder in hospitalized severely mentally ill psychiatric patients","journalAbbreviation":"Schizophr Bull","author":[{"family":"Mueser","given":"K T"},{"family":"Yarnold","given":"P R"},{"family":"Rosenberg","given":"S D"},{"family":"Swett","given":"C, Jr"},{"family":"Miles","given":"K M"},{"family":"Hill","given":"D"}],"issued":{"year":2000},"accessed":{"year":2012,"month":4,"day":30},"page-first":"179"}}],"schema":"https://github.com/citation-style-language/schema/raw/master/csl-citation.json"}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(Mueser et al., 2000)</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5EB982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0DD8A81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4BB5F6C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EC97B3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328828D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2C94C89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Australian National Study of Low Prevalence (Psychotic) Disorders</w:t>
            </w:r>
          </w:p>
        </w:tc>
        <w:tc>
          <w:tcPr>
            <w:tcW w:w="141" w:type="pct"/>
            <w:shd w:val="clear" w:color="auto" w:fill="auto"/>
            <w:vAlign w:val="center"/>
            <w:hideMark/>
          </w:tcPr>
          <w:p w14:paraId="62DFC03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3CDEC24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 contact during the previous 6 months with a clinician in the community</w:t>
            </w:r>
          </w:p>
        </w:tc>
        <w:tc>
          <w:tcPr>
            <w:tcW w:w="237" w:type="pct"/>
            <w:shd w:val="clear" w:color="auto" w:fill="auto"/>
            <w:vAlign w:val="center"/>
            <w:hideMark/>
          </w:tcPr>
          <w:p w14:paraId="48CFB0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62AB4EA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shd w:val="clear" w:color="auto" w:fill="auto"/>
            <w:vAlign w:val="center"/>
            <w:hideMark/>
          </w:tcPr>
          <w:p w14:paraId="60F4CD2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w:t>
            </w:r>
          </w:p>
        </w:tc>
        <w:tc>
          <w:tcPr>
            <w:tcW w:w="497" w:type="pct"/>
            <w:shd w:val="clear" w:color="auto" w:fill="auto"/>
            <w:vAlign w:val="center"/>
            <w:hideMark/>
          </w:tcPr>
          <w:p w14:paraId="2A6F60B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 CRS</w:t>
            </w:r>
          </w:p>
        </w:tc>
        <w:tc>
          <w:tcPr>
            <w:tcW w:w="167" w:type="pct"/>
            <w:shd w:val="clear" w:color="auto" w:fill="auto"/>
            <w:vAlign w:val="center"/>
            <w:hideMark/>
          </w:tcPr>
          <w:p w14:paraId="0DDEC0A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35925F0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4B55440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73</w:t>
            </w:r>
          </w:p>
        </w:tc>
        <w:tc>
          <w:tcPr>
            <w:tcW w:w="313" w:type="pct"/>
            <w:shd w:val="clear" w:color="auto" w:fill="auto"/>
            <w:vAlign w:val="center"/>
            <w:hideMark/>
          </w:tcPr>
          <w:p w14:paraId="211F6CE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17981D1E" w14:textId="77777777" w:rsidTr="00927C0A">
        <w:trPr>
          <w:jc w:val="center"/>
        </w:trPr>
        <w:tc>
          <w:tcPr>
            <w:tcW w:w="479" w:type="pct"/>
            <w:shd w:val="clear" w:color="auto" w:fill="auto"/>
            <w:vAlign w:val="center"/>
            <w:hideMark/>
          </w:tcPr>
          <w:p w14:paraId="4CC80A3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Nery, 2008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{"citationID":"17gg8joe74","properties":{"formattedCitation":"(Nery et al., 2008)","plainCitation":"(Nery et al., 2008)"},"citationItems":[{"id":1189,"uris":["http://zotero.org/users/991106/items/E78GJSGR"],"uri":["http://zotero.org/users/991106/items/E78GJSGR"],"itemData":{"id":1189,"type":"article-journal","title":"Temperament and character traits in patients with bipolar disorder and associations with comorbid alcoholism or anxiety disorders","container-title":"Journal of Psychiatric Research","page":"569-577","volume":"42","issue":"7","DOI":"10.1016/j.jpsychires.2007.06.004","author":[{"family":"Nery","given":"Fabiano G."},{"family":"Hatch","given":"John P."},{"family":"Glahn","given":"David C."},{"family":"Nicoletti","given":"Mark A."},{"family":"Serap Monkul","given":"E."},{"family":"Najt","given":"Pablo"},{"family":"Fonseca","given":"Manoela"},{"family":"Bowden","given":"Charles L."},{"family":"Robert Cloninger","given":"C."},{"family":"Soares","given":"Jair C."}],"issued":{"year":2008,"month":6},"accessed":{"year":2012,"month":4,"day":26},"page-first":"569"}}],"schema":"https://github.com/citation-style-language/schema/raw/master/csl-citation.json"}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(Nery et al., 2008)</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13BA47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58201DB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6321358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0C0F1E1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3B01111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32FAACC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NS, local media advertisements and flyers in the medical centres</w:t>
            </w:r>
          </w:p>
        </w:tc>
        <w:tc>
          <w:tcPr>
            <w:tcW w:w="141" w:type="pct"/>
            <w:shd w:val="clear" w:color="auto" w:fill="auto"/>
            <w:vAlign w:val="center"/>
            <w:hideMark/>
          </w:tcPr>
          <w:p w14:paraId="55C311F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3794984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any other axis I diagnosis except anxiety disorders/alcoholism, no significant medical problems, no neurological disorders, age ≥18</w:t>
            </w:r>
          </w:p>
        </w:tc>
        <w:tc>
          <w:tcPr>
            <w:tcW w:w="237" w:type="pct"/>
            <w:shd w:val="clear" w:color="auto" w:fill="auto"/>
            <w:vAlign w:val="center"/>
            <w:hideMark/>
          </w:tcPr>
          <w:p w14:paraId="5AA3B9E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 (9.3)</w:t>
            </w:r>
          </w:p>
        </w:tc>
        <w:tc>
          <w:tcPr>
            <w:tcW w:w="236" w:type="pct"/>
            <w:shd w:val="clear" w:color="auto" w:fill="auto"/>
            <w:vAlign w:val="center"/>
            <w:hideMark/>
          </w:tcPr>
          <w:p w14:paraId="5620D8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4514BB3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475FB8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SCID-I/P</w:t>
            </w:r>
          </w:p>
        </w:tc>
        <w:tc>
          <w:tcPr>
            <w:tcW w:w="167" w:type="pct"/>
            <w:shd w:val="clear" w:color="auto" w:fill="auto"/>
            <w:vAlign w:val="center"/>
            <w:hideMark/>
          </w:tcPr>
          <w:p w14:paraId="3E2965D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53504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 AD</w:t>
            </w:r>
          </w:p>
        </w:tc>
        <w:tc>
          <w:tcPr>
            <w:tcW w:w="184" w:type="pct"/>
            <w:shd w:val="clear" w:color="auto" w:fill="auto"/>
            <w:vAlign w:val="center"/>
            <w:hideMark/>
          </w:tcPr>
          <w:p w14:paraId="6E0BFDA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73</w:t>
            </w:r>
          </w:p>
        </w:tc>
        <w:tc>
          <w:tcPr>
            <w:tcW w:w="313" w:type="pct"/>
            <w:shd w:val="clear" w:color="auto" w:fill="auto"/>
            <w:vAlign w:val="center"/>
            <w:hideMark/>
          </w:tcPr>
          <w:p w14:paraId="5D0EB08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49629AC7" w14:textId="77777777" w:rsidTr="00927C0A">
        <w:trPr>
          <w:jc w:val="center"/>
        </w:trPr>
        <w:tc>
          <w:tcPr>
            <w:tcW w:w="479" w:type="pct"/>
            <w:shd w:val="clear" w:color="auto" w:fill="auto"/>
            <w:vAlign w:val="center"/>
            <w:hideMark/>
          </w:tcPr>
          <w:p w14:paraId="41A1C018"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Neves,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{"citationID":"158h542pp6","properties":{"formattedCitation":"(Neves et al., 2009)","plainCitation":"(Neves et al., 2009)"},"citationItems":[{"id":1191,"uris":["http://zotero.org/users/991106/items/JFBHBZZF"],"uri":["http://zotero.org/users/991106/items/JFBHBZZF"],"itemData":{"id":1191,"type":"article-journal","title":"Suicidal behavior in bipolar disorder: what is the influence of psychiatric comorbidities?","container-title":"The Journal of Clinical Psychiatry","page":"13-18","volume":"70","issue":"1","abstract":"OBJECTIVE\n\nTo assess the frequency of some psychiatric comorbidities found to be associated with suicidal behavior in previous studies and to evaluate their influence on suicidal behavior in a sample of patients with bipolar disorder.\n\n\nMETHOD\n\nWe assessed 239 bipolar patients from January 2005 to January 2007. Axis I diagnosis was performed according to the DSM-IV using a structured interview (the Mini-International Neuropsychiatric Interview-Plus), and borderline personality disorder was assessed using the Structured Clinical Interview for DSM-IV Axis II Personality Disorders. Lifetime suicide history was assessed using a semistructured interview in addition to a review of medical records.\n\n\nRESULTS\n\nThere were 99 patients (41.4%) with a history of previous suicide attempts. The psychiatric comorbidities associated with suicidal behavior were borderline personality disorder (chi(2) = 36.008, p = .0001), panic disorder (chi(2) = 5.537, p = .019), alcoholism (chi(2) = 12.820, p = .001), other drug addictions (chi(2) = 10.055, p = .02), generalized anxiety disorder (chi(2) = 10.216, p = .001), and smoking (chi(2) = 9.070, p = .003). However, when logistic regression analyses were used, only the diagnosis of border-line personality disorder remained significant (Wald chi(2) = 19.13, p = .0001). When analyzing the subtypes of suicide attempts, we found that borderline personality disorder and alcoholism were associated with violent suicide attempts.\n\n\nCONCLUSION\n\nA diagnosis of borderline personality disorder or alcoholism (only for violent sub-type of suicidal behavior) was the only comorbidity independently associated with suicide in patients with bipolar disorder. For suicide prevention, screening to identify patients at high risk for suicidal behavior should be performed routinely in patients with bipolar disorder.","note":"PMID: 19026263","shortTitle":"Suicidal behavior in bipolar disorder","journalAbbreviation":"J Clin Psychiatry","author":[{"family":"Neves","given":"Fernando Silva"},{"family":"Malloy-Diniz","given":"Leandro Fernandes"},{"family":"Corrêa","given":"Humberto"}],"issued":{"year":2009,"month":1},"accessed":{"year":2012,"month":4,"day":26},"page-first":"13"}}],"schema":"https://github.com/citation-style-language/schema/raw/master/csl-citation.json"}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(Neves et al., 2009)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5533B6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Brazil</w:t>
            </w:r>
          </w:p>
        </w:tc>
        <w:tc>
          <w:tcPr>
            <w:tcW w:w="136" w:type="pct"/>
            <w:shd w:val="clear" w:color="auto" w:fill="auto"/>
            <w:vAlign w:val="center"/>
            <w:hideMark/>
          </w:tcPr>
          <w:p w14:paraId="151A9A5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38A0A14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0556E85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721B63F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1FD79E5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2DE2BA7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6E17290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Euthymic based on clinical judgment</w:t>
            </w:r>
          </w:p>
        </w:tc>
        <w:tc>
          <w:tcPr>
            <w:tcW w:w="237" w:type="pct"/>
            <w:shd w:val="clear" w:color="auto" w:fill="auto"/>
            <w:vAlign w:val="center"/>
            <w:hideMark/>
          </w:tcPr>
          <w:p w14:paraId="098F2481"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6" w:type="pct"/>
            <w:shd w:val="clear" w:color="auto" w:fill="auto"/>
            <w:vAlign w:val="center"/>
            <w:hideMark/>
          </w:tcPr>
          <w:p w14:paraId="53782CA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4456AB1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4BEE345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MINI</w:t>
            </w:r>
          </w:p>
        </w:tc>
        <w:tc>
          <w:tcPr>
            <w:tcW w:w="167" w:type="pct"/>
            <w:shd w:val="clear" w:color="auto" w:fill="auto"/>
            <w:vAlign w:val="center"/>
            <w:hideMark/>
          </w:tcPr>
          <w:p w14:paraId="0C5B0D8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1C21D92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59950F2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239</w:t>
            </w:r>
          </w:p>
        </w:tc>
        <w:tc>
          <w:tcPr>
            <w:tcW w:w="313" w:type="pct"/>
            <w:shd w:val="clear" w:color="auto" w:fill="auto"/>
            <w:vAlign w:val="center"/>
            <w:hideMark/>
          </w:tcPr>
          <w:p w14:paraId="46731E6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2005-2007</w:t>
            </w:r>
          </w:p>
        </w:tc>
      </w:tr>
      <w:tr w:rsidR="00D3535C" w:rsidRPr="00694969" w14:paraId="5A442B35" w14:textId="77777777" w:rsidTr="00927C0A">
        <w:trPr>
          <w:jc w:val="center"/>
        </w:trPr>
        <w:tc>
          <w:tcPr>
            <w:tcW w:w="479" w:type="pct"/>
            <w:shd w:val="clear" w:color="auto" w:fill="auto"/>
            <w:vAlign w:val="center"/>
            <w:hideMark/>
          </w:tcPr>
          <w:p w14:paraId="66D8AF1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Nivoli, 2011 (44) Vieta  2001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{"citationID":"5voool3mj","properties":{"formattedCitation":"(Vieta et al., 2001)","plainCitation":"(Vieta et al., 2001)"},"citationItems":[{"id":222,"uris":["http://zotero.org/users/991106/items/ITAQCPEV"],"uri":["http://zotero.org/users/991106/items/ITAQCPEV"],"itemData":{"id":222,"type":"article-journal","title":"Clinical correlates of psychiatric comorbidity in bipolar I patients","container-title":"Bipolar Disorders","page":"253-258","volume":"3","issue":"5","abstract":"OBJECTIVES\n\nTo ascertain the clinical implications of psychiatric comorbidity in the course and outcome of bipolar I patients.\n\n\nMETHODS\n\nOne hundred and twenty-nine bipolar I outpatients in remission [Young Mania Rating Scale (Y-MRS) &lt; 7, Hamilton Depression Rating Scale (HDRS) &lt; 9] were assessed by means of the Structured Clinical Interview for DSM-III-R axis I and axis II (SCID-I and SCID-II) in order to detect all possible psychiatric comorbid diagnoses. The sample was split according to the presence of psychiatric comorbidity and the groups were compared.\n\n\nRESULTS\n\nPsychiatric comorbidity was detected in 31% of the sample. A higher number of mixed features, depressive episodes and suicide attempts and a predominance of depressive onset amongst comorbid bipolar patients were the most relevant differences between the two groups.\n\n\nCONCLUSIONS\n\nThere is an association between depression, suicidality and comorbidity in bipolar I disorder. As comorbidity had a clear relevance in the course and outcome of bipolar illness, this issue should be specifically assessed in clinical practice.","note":"PMID: 11903208","journalAbbreviation":"Bipolar Disord","author":[{"family":"Vieta","given":"E"},{"family":"Colom","given":"F"},{"family":"Corbella","given":"B"},{"family":"Martínez-Arán","given":"A"},{"family":"Reinares","given":"M"},{"family":"Benabarre","given":"A"},{"family":"Gastó","given":"C"}],"issued":{"year":2001,"month":10},"accessed":{"year":2012,"month":3,"day":26},"page-first":"253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(Vieta et al., 2001)</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21C0F2C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Spain</w:t>
            </w:r>
          </w:p>
        </w:tc>
        <w:tc>
          <w:tcPr>
            <w:tcW w:w="136" w:type="pct"/>
            <w:shd w:val="clear" w:color="auto" w:fill="auto"/>
            <w:vAlign w:val="center"/>
            <w:hideMark/>
          </w:tcPr>
          <w:p w14:paraId="022F4AD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6B57B01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1E0B37D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2F6A7A5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22E434C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27C9494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700BF45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Diagnostic concordance between two separate interviewers</w:t>
            </w:r>
          </w:p>
        </w:tc>
        <w:tc>
          <w:tcPr>
            <w:tcW w:w="237" w:type="pct"/>
            <w:shd w:val="clear" w:color="auto" w:fill="auto"/>
            <w:vAlign w:val="center"/>
            <w:hideMark/>
          </w:tcPr>
          <w:p w14:paraId="15AA850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49BD3C8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DSM-IV-TR</w:t>
            </w:r>
          </w:p>
        </w:tc>
        <w:tc>
          <w:tcPr>
            <w:tcW w:w="316" w:type="pct"/>
            <w:shd w:val="clear" w:color="auto" w:fill="auto"/>
            <w:vAlign w:val="center"/>
            <w:hideMark/>
          </w:tcPr>
          <w:p w14:paraId="7BC7AD4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w:t>
            </w:r>
          </w:p>
        </w:tc>
        <w:tc>
          <w:tcPr>
            <w:tcW w:w="497" w:type="pct"/>
            <w:shd w:val="clear" w:color="auto" w:fill="auto"/>
            <w:vAlign w:val="center"/>
            <w:hideMark/>
          </w:tcPr>
          <w:p w14:paraId="364E88E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w:t>
            </w:r>
          </w:p>
        </w:tc>
        <w:tc>
          <w:tcPr>
            <w:tcW w:w="167" w:type="pct"/>
            <w:shd w:val="clear" w:color="auto" w:fill="auto"/>
            <w:vAlign w:val="center"/>
            <w:hideMark/>
          </w:tcPr>
          <w:p w14:paraId="7DE5F9B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7AAA34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6EA099D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604</w:t>
            </w:r>
          </w:p>
        </w:tc>
        <w:tc>
          <w:tcPr>
            <w:tcW w:w="313" w:type="pct"/>
            <w:shd w:val="clear" w:color="auto" w:fill="auto"/>
            <w:vAlign w:val="center"/>
            <w:hideMark/>
          </w:tcPr>
          <w:p w14:paraId="223B5BF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1992-NA</w:t>
            </w:r>
          </w:p>
        </w:tc>
      </w:tr>
      <w:tr w:rsidR="00D3535C" w:rsidRPr="00694969" w14:paraId="2B916E64" w14:textId="77777777" w:rsidTr="00927C0A">
        <w:trPr>
          <w:jc w:val="center"/>
        </w:trPr>
        <w:tc>
          <w:tcPr>
            <w:tcW w:w="479" w:type="pct"/>
            <w:shd w:val="clear" w:color="auto" w:fill="auto"/>
            <w:vAlign w:val="center"/>
            <w:hideMark/>
          </w:tcPr>
          <w:p w14:paraId="043A8299"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Ongur,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{"citationID":"1t15b71lkn","properties":{"formattedCitation":"{\\rtf (\\uc0\\u214{}ng\\uc0\\u252{}r et al., 2009)}","plainCitation":"(Öngür et al., 2009)"},"citationItems":[{"id":1192,"uris":["http://zotero.org/users/991106/items/RC7AF2B8"],"uri":["http://zotero.org/users/991106/items/RC7AF2B8"],"itemData":{"id":1192,"type":"article-journal","title":"Clinical characteristics influencing age at onset in psychotic disorders","container-title":"Comprehensive Psychiatry","page":"13-19","volume":"50","issue":"1","abstract":"Background\nAge at onset of psychosis may carry clinical significance across psychotic disorders and appears to be associated with specific genetic abnormalities.\nMethods\nWe used the Structured Clinical Interview for Diagnostic and Statistical Manual of Mental Disorders, Fourth Edition (DSM-IV) to examine clinical characteristics contributing to age at onset variability in patients with schizophrenia (n = 80), schizoaffective disorder (n = 61), and bipolar disorder with psychotic features (n = 92).\nResults\nAge at onset did not differ across DSM-IV diagnostic groups. Multiple regression analyses revealed that comorbid lifetime cannabis, but not alcohol, abuse/dependence was associated with a statistically significant 3 years earlier age at onset of psychosis. Patients developed cannabis abuse/dependence an additional 3 years before psychosis. Patients with comorbid lifetime panic disorder also had a 4-year earlier age at onset of psychosis. The effects of panic disorder and cannabis abuse/dependence were independent of one another.\nConclusions\nEarly onset of psychosis, regardless of the specific DSM-IV diagnosis, is characterized by differential clinical features, notably a history of lifetime cannabis abuse/dependence. Panic disorder comorbidity is also associated with earlier age at onset of psychosis. Our findings indicate that examination of clinical and biological characteristics of patients with psychosis regardless of DSM-IV diagnosis can uncover relevant information.","DOI":"10.1016/j.comppsych.2008.06.002","author":[{"family":"Öngür","given":"Dost"},{"family":"Lin","given":"Lewei"},{"family":"Cohen","given":"Bruce M."}],"issued":{"year":2009,"month":1},"page-first":"13"}}],"schema":"https://github.com/citation-style-language/schema/raw/master/csl-citation.json"} </w:instrText>
            </w:r>
            <w:r w:rsidRPr="00694969">
              <w:rPr>
                <w:rFonts w:ascii="Times New Roman" w:eastAsia="Times New Roman" w:hAnsi="Times New Roman"/>
                <w:bCs/>
                <w:color w:val="000000"/>
                <w:sz w:val="18"/>
                <w:szCs w:val="18"/>
              </w:rPr>
              <w:fldChar w:fldCharType="separate"/>
            </w:r>
            <w:r w:rsidRPr="001966C6">
              <w:rPr>
                <w:rFonts w:ascii="Times New Roman" w:hAnsi="Times New Roman"/>
                <w:color w:val="000000"/>
                <w:sz w:val="18"/>
                <w:szCs w:val="24"/>
                <w:lang w:val="en-US"/>
              </w:rPr>
              <w:t>(Öngür et al., 2009)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53B0E21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43DED3F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5676805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B27AD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5C4943A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01B4571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 for an association genetic study</w:t>
            </w:r>
          </w:p>
        </w:tc>
        <w:tc>
          <w:tcPr>
            <w:tcW w:w="141" w:type="pct"/>
            <w:shd w:val="clear" w:color="auto" w:fill="auto"/>
            <w:vAlign w:val="center"/>
            <w:hideMark/>
          </w:tcPr>
          <w:p w14:paraId="7E7E2B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494D456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if symptoms due to medical illness or substance abuse, developmental disorder, head trauma</w:t>
            </w:r>
          </w:p>
        </w:tc>
        <w:tc>
          <w:tcPr>
            <w:tcW w:w="237" w:type="pct"/>
            <w:shd w:val="clear" w:color="auto" w:fill="auto"/>
            <w:vAlign w:val="center"/>
            <w:hideMark/>
          </w:tcPr>
          <w:p w14:paraId="346CA8E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18-65</w:t>
            </w:r>
          </w:p>
        </w:tc>
        <w:tc>
          <w:tcPr>
            <w:tcW w:w="236" w:type="pct"/>
            <w:shd w:val="clear" w:color="auto" w:fill="auto"/>
            <w:vAlign w:val="center"/>
            <w:hideMark/>
          </w:tcPr>
          <w:p w14:paraId="47999FD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6B9675E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with psychotic features</w:t>
            </w:r>
          </w:p>
        </w:tc>
        <w:tc>
          <w:tcPr>
            <w:tcW w:w="497" w:type="pct"/>
            <w:shd w:val="clear" w:color="auto" w:fill="auto"/>
            <w:vAlign w:val="center"/>
            <w:hideMark/>
          </w:tcPr>
          <w:p w14:paraId="063583C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w:t>
            </w:r>
          </w:p>
        </w:tc>
        <w:tc>
          <w:tcPr>
            <w:tcW w:w="167" w:type="pct"/>
            <w:shd w:val="clear" w:color="auto" w:fill="auto"/>
            <w:vAlign w:val="center"/>
            <w:hideMark/>
          </w:tcPr>
          <w:p w14:paraId="4E0DE6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0644279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7FB06EA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92</w:t>
            </w:r>
          </w:p>
        </w:tc>
        <w:tc>
          <w:tcPr>
            <w:tcW w:w="313" w:type="pct"/>
            <w:shd w:val="clear" w:color="auto" w:fill="auto"/>
            <w:vAlign w:val="center"/>
            <w:hideMark/>
          </w:tcPr>
          <w:p w14:paraId="2E91D47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77EB1288" w14:textId="77777777" w:rsidTr="00927C0A">
        <w:trPr>
          <w:jc w:val="center"/>
        </w:trPr>
        <w:tc>
          <w:tcPr>
            <w:tcW w:w="479" w:type="pct"/>
            <w:shd w:val="clear" w:color="auto" w:fill="auto"/>
            <w:vAlign w:val="center"/>
            <w:hideMark/>
          </w:tcPr>
          <w:p w14:paraId="0544C7E6"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Ostacher, 2006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{"citationID":"unv1osbs8","properties":{"formattedCitation":"(Ostacher M.J. et al., 2006)","plainCitation":"(Ostacher M.J. et al., 2006)"},"citationItems":[{"id":880,"uris":["http://zotero.org/users/991106/items/68WDKNW5"],"uri":["http://zotero.org/users/991106/items/68WDKNW5"],"itemData":{"id":880,"type":"article-journal","title":"The relationship between smoking and suicidal behavior, comorbidity, and course of illness in bipolar disorder.","container-title":"Journal of Clinical Psychiatry","page":"1907-1911","abstract":"Objectives: The rate of smoking in people with bipolar disorder is much greater than in the general population, but the implications of smoking for the course of bipolar disorder have not been well studied. The purpose of this retrospective study was to examine the relationship between smoking, severity of bipolar disorder, suicidal behavior, and psychiatric and substance use disorder comorbidity. Method: We evaluated 399 outpatients with bipolar disorder who were treated in a bipolar specialty clinic from December 1999 to October 2004. Diagnosis, mood state, course of illness, functioning, and psychiatric comorbidities were assessed using the Affective Disorders Evaluation and the Mini-International Neuropsychiatric Interview. Results: Of the 399 patients evaluated, 155 (38.8%) had a history of daily smoking. Having ever smoked was associated with earlier age at onset of first depressive or manic episode, lower Global Assessment of Functioning scores, higher Clinical Global Impressions-Bipolar Disorder scale scores, lifetime history of a suicide attempt (47% for smokers vs. 25% for those who had never smoked), and lifetime comorbid disorders: anxiety disorders, alcohol abuse and dependence, and substance abuse and dependence. In a logistic regression model including these factors, suicide attempts and substance dependence were significantly associated with smoking in patients with bipolar disorder. Conclusions: Bipolar patients with lifetime smoking were more likely to have earlier age at onset of mood disorder, greater severity of symptoms, poorer functioning, history of a suicide attempt, and a lifetime history of comorbid anxiety and substance use disorders. Smoking may be independently associated with suicidal behavior in bipolar disorder.","author":[{"family":"Ostacher M.J.","given":""},{"family":"Nierenberg A.A.","given":""},{"family":"Perlis R.H.","given":""},{"family":"Eidelman P.","given":""},{"family":"Borrelli D.J.","given":""},{"family":"Tran T.B.","given":""},{"family":"Ericson G.M.","given":""},{"family":"Weiss R.D.","given":""},{"family":"Sachs G.S.","given":""}],"issued":{"year":2006,"month":12},"accessed":{"year":2012,"month":4,"day":16},"page-first":"1907"}}],"schema":"https://github.com/citation-style-language/schema/raw/master/csl-citation.json"}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(Ostacher M.J. et al., 2006)</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AB586A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60FC05D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3F79F4E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44B456C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5571A7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04261FA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4598B15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0DD748F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w:t>
            </w:r>
          </w:p>
        </w:tc>
        <w:tc>
          <w:tcPr>
            <w:tcW w:w="237" w:type="pct"/>
            <w:shd w:val="clear" w:color="auto" w:fill="auto"/>
            <w:vAlign w:val="center"/>
            <w:hideMark/>
          </w:tcPr>
          <w:p w14:paraId="1718069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16-74</w:t>
            </w:r>
          </w:p>
        </w:tc>
        <w:tc>
          <w:tcPr>
            <w:tcW w:w="236" w:type="pct"/>
            <w:shd w:val="clear" w:color="auto" w:fill="auto"/>
            <w:vAlign w:val="center"/>
            <w:hideMark/>
          </w:tcPr>
          <w:p w14:paraId="0FC1082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7B617B7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w:t>
            </w:r>
          </w:p>
        </w:tc>
        <w:tc>
          <w:tcPr>
            <w:tcW w:w="497" w:type="pct"/>
            <w:shd w:val="clear" w:color="auto" w:fill="auto"/>
            <w:vAlign w:val="center"/>
            <w:hideMark/>
          </w:tcPr>
          <w:p w14:paraId="65CAFEF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MINI, ADE</w:t>
            </w:r>
          </w:p>
        </w:tc>
        <w:tc>
          <w:tcPr>
            <w:tcW w:w="167" w:type="pct"/>
            <w:shd w:val="clear" w:color="auto" w:fill="auto"/>
            <w:vAlign w:val="center"/>
            <w:hideMark/>
          </w:tcPr>
          <w:p w14:paraId="37A334B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0B29860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 AD</w:t>
            </w:r>
          </w:p>
        </w:tc>
        <w:tc>
          <w:tcPr>
            <w:tcW w:w="184" w:type="pct"/>
            <w:shd w:val="clear" w:color="auto" w:fill="auto"/>
            <w:vAlign w:val="center"/>
            <w:hideMark/>
          </w:tcPr>
          <w:p w14:paraId="5306991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388</w:t>
            </w:r>
          </w:p>
        </w:tc>
        <w:tc>
          <w:tcPr>
            <w:tcW w:w="313" w:type="pct"/>
            <w:shd w:val="clear" w:color="auto" w:fill="auto"/>
            <w:vAlign w:val="center"/>
            <w:hideMark/>
          </w:tcPr>
          <w:p w14:paraId="3F2B370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1999-2004</w:t>
            </w:r>
          </w:p>
        </w:tc>
      </w:tr>
      <w:tr w:rsidR="00D3535C" w:rsidRPr="00694969" w14:paraId="4E41E404" w14:textId="77777777" w:rsidTr="00927C0A">
        <w:trPr>
          <w:jc w:val="center"/>
        </w:trPr>
        <w:tc>
          <w:tcPr>
            <w:tcW w:w="479" w:type="pct"/>
            <w:shd w:val="clear" w:color="auto" w:fill="auto"/>
            <w:vAlign w:val="center"/>
            <w:hideMark/>
          </w:tcPr>
          <w:p w14:paraId="1032E97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Ostacher, 2010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{"citationID":"dvsmd24td","properties":{"formattedCitation":"(Ostacher et al., 2010)","plainCitation":"(Ostacher et al., 2010)"},"citationItems":[{"id":210,"uris":["http://zotero.org/users/991106/items/TRKM3H8P"],"uri":["http://zotero.org/users/991106/items/TRKM3H8P"],"itemData":{"id":210,"type":"article-journal","title":"Impact of substance use disorders on recovery from episodes of depression in bipolar disorder patients: prospective data from the Systematic Treatment Enhancement Program for Bipolar Disorder (STEP-BD)","container-title":"The American Journal of Psychiatry","page":"289-297","volume":"167","issue":"3","abstract":"OBJECTIVE\n\nBipolar disorder is highly comorbid with substance use disorders, and this comorbidity may be associated with a more severe course of illness, but the impact of comorbid substance abuse on recovery from major depressive episodes in these patients has not been adequately examined. The authors hypothesized that comorbid drug and alcohol use disorders would be associated with longer time to recovery in patients with bipolar disorder.\n\n\nMETHOD\n\nSubjects (N=3,750) with bipolar I or bipolar II disorder enrolled in the Systematic Treatment Enhancement Program for Bipolar Disorder (STEP-BD) were followed prospectively for up to 2 years. Prospectively observed depressive episodes were identified for this analysis. Subjects with a past or current drug or alcohol use disorder were compared with those with no history of drug or alcohol use disorders on time to recovery from depression and time until switch to a manic, hypomanic, or mixed episode.\n\n\nRESULTS\n\nDuring follow up, 2,154 subjects developed a new-onset major depressive episode; of these, 457 subjects switched to a manic, hypomanic, or mixed episode prior to recovery. Past or current substance use disorder did not predict time to recovery from a depressive episode relative to no substance use comorbidity. However, those with current or past substance use disorder were more likely to experience switch from depression directly to a manic, hypomanic, or mixed state.\n\n\nCONCLUSIONS\n\nCurrent or past substance use disorders were not associated with longer time to recovery from depression but may contribute to greater risk of switch into manic, mixed, or hypomanic states. The mechanism conferring this increased risk merits further study.","DOI":"10.1176/appi.ajp.2009.09020299","note":"PMID: 20008948","shortTitle":"Impact of substance use disorders on recovery from episodes of depression in bipolar disorder patients","journalAbbreviation":"Am J Psychiatry","author":[{"family":"Ostacher","given":"Michael J"},{"family":"Perlis","given":"Roy H"},{"family":"Nierenberg","given":"Andrew A"},{"family":"Calabrese","given":"Joseph"},{"family":"Stange","given":"Jonathan P"},{"family":"Salloum","given":"Ihsan"},{"family":"Weiss","given":"Roger D"},{"family":"Sachs","given":"Gary S"}],"issued":{"year":2010,"month":3},"accessed":{"year":2012,"month":3,"day":26},"page-first":"289"}}],"schema":"https://github.com/citation-style-language/schema/raw/master/csl-citation.json"}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(Ostacher et al., 2010)</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Baldassano, 2006</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{"citationID":"2lq5pe88r0","properties":{"formattedCitation":"(Baldassano, 2006)","plainCitation":"(Baldassano, 2006)"},"citationItems":[{"id":1195,"uris":["http://zotero.org/users/991106/items/CPGQ7A6F"],"uri":["http://zotero.org/users/991106/items/CPGQ7A6F"],"itemData":{"id":1195,"type":"article-journal","title":"Illness course, comorbidity, gender, and suicidality in patients with bipolar disorder","container-title":"The Journal of Clinical Psychiatry","page":"8-11","volume":"67 Suppl 11","abstract":"Among patients with bipolar disorder, comorbid conditions are common. Comorbidity is associated with a more difficult course of illness (such as longer episodes, shorter time euthymic, and earlier age at onset) and an increase in related problems (such as suicidality and violence). Data from the Systematic Treatment Enhancement Program for Bipolar Disorder (STEP-BD) reveal that anxiety disorders, attention-deficit/hyperactivity disorder, and substance and alcohol use disorder are conditions that commonly co-occur with bipolar disorder. This article details these findings and discusses the complications associated with these comorbid conditions. STEP-BD data about gender differences are also discussed, and correlates of suicidal ideation among patients entering the program are described.","note":"PMID: 17029490","journalAbbreviation":"J Clin Psychiatry","author":[{"family":"Baldassano","given":"Claudia F"}],"issued":{"year":2006},"accessed":{"year":2012,"month":4,"day":26},"page-first":"8"}}],"schema":"https://github.com/citation-style-language/schema/raw/master/csl-citation.json"}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(Baldassano, 2006)</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0C32353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7D31774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6DB9738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7E92A7D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5B3D9ED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6602D5A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STEP-BD</w:t>
            </w:r>
          </w:p>
        </w:tc>
        <w:tc>
          <w:tcPr>
            <w:tcW w:w="141" w:type="pct"/>
            <w:shd w:val="clear" w:color="auto" w:fill="auto"/>
            <w:vAlign w:val="center"/>
            <w:hideMark/>
          </w:tcPr>
          <w:p w14:paraId="15CB28B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2DE574B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Not in need of acute detoxification</w:t>
            </w:r>
          </w:p>
        </w:tc>
        <w:tc>
          <w:tcPr>
            <w:tcW w:w="237" w:type="pct"/>
            <w:shd w:val="clear" w:color="auto" w:fill="auto"/>
            <w:vAlign w:val="center"/>
            <w:hideMark/>
          </w:tcPr>
          <w:p w14:paraId="56BB0C2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&gt;15</w:t>
            </w:r>
          </w:p>
        </w:tc>
        <w:tc>
          <w:tcPr>
            <w:tcW w:w="236" w:type="pct"/>
            <w:shd w:val="clear" w:color="auto" w:fill="auto"/>
            <w:vAlign w:val="center"/>
            <w:hideMark/>
          </w:tcPr>
          <w:p w14:paraId="60CD600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41E9A0B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3AC6905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MINI, ADE</w:t>
            </w:r>
          </w:p>
        </w:tc>
        <w:tc>
          <w:tcPr>
            <w:tcW w:w="167" w:type="pct"/>
            <w:shd w:val="clear" w:color="auto" w:fill="auto"/>
            <w:vAlign w:val="center"/>
            <w:hideMark/>
          </w:tcPr>
          <w:p w14:paraId="6E9B9AD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 C</w:t>
            </w:r>
          </w:p>
        </w:tc>
        <w:tc>
          <w:tcPr>
            <w:tcW w:w="194" w:type="pct"/>
            <w:shd w:val="clear" w:color="auto" w:fill="auto"/>
            <w:vAlign w:val="center"/>
            <w:hideMark/>
          </w:tcPr>
          <w:p w14:paraId="628F158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639882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2154</w:t>
            </w:r>
          </w:p>
        </w:tc>
        <w:tc>
          <w:tcPr>
            <w:tcW w:w="313" w:type="pct"/>
            <w:shd w:val="clear" w:color="auto" w:fill="auto"/>
            <w:vAlign w:val="center"/>
            <w:hideMark/>
          </w:tcPr>
          <w:p w14:paraId="0829FFA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1999-2005</w:t>
            </w:r>
          </w:p>
        </w:tc>
      </w:tr>
      <w:tr w:rsidR="00D3535C" w:rsidRPr="00694969" w14:paraId="68DF5942" w14:textId="77777777" w:rsidTr="00927C0A">
        <w:trPr>
          <w:jc w:val="center"/>
        </w:trPr>
        <w:tc>
          <w:tcPr>
            <w:tcW w:w="479" w:type="pct"/>
            <w:shd w:val="clear" w:color="auto" w:fill="auto"/>
            <w:vAlign w:val="center"/>
            <w:hideMark/>
          </w:tcPr>
          <w:p w14:paraId="50D53D53"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Pini, 1999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{"citationID":"1tpp7k4n97","properties":{"formattedCitation":"(Pini et al., 1999)","plainCitation":"(Pini et al., 1999)"},"citationItems":[{"id":212,"uris":["http://zotero.org/users/991106/items/H3DAHXHX"],"uri":["http://zotero.org/users/991106/items/H3DAHXHX"],"itemData":{"id":212,"type":"article-journal","title":"Axis I comorbidity in bipolar disorder with psychotic features","container-title":"The British Journal of Psychiatry: The Journal of Mental Science","page":"467-471","volume":"175","abstract":"BACKGROUND\n\nAxis I comorbidities are prevalent among patients with severe bipolar disorder but the clinical and psychopathological implications are not clear.\n\n\nAIMS\n\nTo investigate characteristics of four groups of patients categorised as follows: substance abuse only (group 1), substance abuse associated with other Axis I disorders (group 2), non-substance-abuse Axis I comorbidity (group 3), no psychiatric comorbidity (group 4).\n\n\nMETHOD\n\nConsecutive patients with bipolar disorder with psychotic features (n = 125) were assessed using the Structured Clinical Interview for DSM-III-R--patient version, and several psychopathological scales.\n\n\nRESULTS\n\nBy comparison with group 4, group 1 had a higher risk of having mood-incongruent delusions, group 2 had an earlier age at onset of mood disorder, a more frequent onset with a mixed state and a higher risk of suicide, and group 3 had more severe anxiety and a better awareness of illness.\n\n\nCONCLUSIONS\n\nSubstance abuse, non-substance-abuse Axis I comorbidity and their reciprocal association are associated with different characteristics of bipolar disorder.","note":"PMID: 10789280","journalAbbreviation":"Br J Psychiatry","author":[{"family":"Pini","given":"S"},{"family":"Dell'Osso","given":"L"},{"family":"Mastrocinque","given":"C"},{"family":"Marcacci","given":"G"},{"family":"Papasogli","given":"A"},{"family":"Vignoli","given":"S"},{"family":"Pallanti","given":"S"},{"family":"Cassano","given":"G"}],"issued":{"year":1999,"month":11},"accessed":{"year":2012,"month":3,"day":26},"page-first":"467"}}],"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(Pini et al., 1999)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1F9E8B1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Italy</w:t>
            </w:r>
          </w:p>
        </w:tc>
        <w:tc>
          <w:tcPr>
            <w:tcW w:w="136" w:type="pct"/>
            <w:shd w:val="clear" w:color="auto" w:fill="auto"/>
            <w:vAlign w:val="center"/>
            <w:hideMark/>
          </w:tcPr>
          <w:p w14:paraId="204BE24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1A358D1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1372CBD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360346E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36C31A0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75CA54C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6E237F7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acute intoxication or withdrawal</w:t>
            </w:r>
          </w:p>
        </w:tc>
        <w:tc>
          <w:tcPr>
            <w:tcW w:w="237" w:type="pct"/>
            <w:shd w:val="clear" w:color="auto" w:fill="auto"/>
            <w:vAlign w:val="center"/>
            <w:hideMark/>
          </w:tcPr>
          <w:p w14:paraId="62DE713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&gt;16</w:t>
            </w:r>
          </w:p>
        </w:tc>
        <w:tc>
          <w:tcPr>
            <w:tcW w:w="236" w:type="pct"/>
            <w:shd w:val="clear" w:color="auto" w:fill="auto"/>
            <w:vAlign w:val="center"/>
            <w:hideMark/>
          </w:tcPr>
          <w:p w14:paraId="0AAA3B9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shd w:val="clear" w:color="auto" w:fill="auto"/>
            <w:vAlign w:val="center"/>
            <w:hideMark/>
          </w:tcPr>
          <w:p w14:paraId="3FBD36A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with psychotic features</w:t>
            </w:r>
          </w:p>
        </w:tc>
        <w:tc>
          <w:tcPr>
            <w:tcW w:w="497" w:type="pct"/>
            <w:shd w:val="clear" w:color="auto" w:fill="auto"/>
            <w:vAlign w:val="center"/>
            <w:hideMark/>
          </w:tcPr>
          <w:p w14:paraId="58E63E8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w:t>
            </w:r>
          </w:p>
        </w:tc>
        <w:tc>
          <w:tcPr>
            <w:tcW w:w="167" w:type="pct"/>
            <w:shd w:val="clear" w:color="auto" w:fill="auto"/>
            <w:vAlign w:val="center"/>
            <w:hideMark/>
          </w:tcPr>
          <w:p w14:paraId="13F9415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C4C9C5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w:t>
            </w:r>
          </w:p>
        </w:tc>
        <w:tc>
          <w:tcPr>
            <w:tcW w:w="184" w:type="pct"/>
            <w:shd w:val="clear" w:color="auto" w:fill="auto"/>
            <w:vAlign w:val="center"/>
            <w:hideMark/>
          </w:tcPr>
          <w:p w14:paraId="0215B6F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125</w:t>
            </w:r>
          </w:p>
        </w:tc>
        <w:tc>
          <w:tcPr>
            <w:tcW w:w="313" w:type="pct"/>
            <w:shd w:val="clear" w:color="auto" w:fill="auto"/>
            <w:vAlign w:val="center"/>
            <w:hideMark/>
          </w:tcPr>
          <w:p w14:paraId="16196FB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7C5389A8" w14:textId="77777777" w:rsidTr="00927C0A">
        <w:trPr>
          <w:jc w:val="center"/>
        </w:trPr>
        <w:tc>
          <w:tcPr>
            <w:tcW w:w="479" w:type="pct"/>
            <w:shd w:val="clear" w:color="auto" w:fill="auto"/>
            <w:vAlign w:val="center"/>
            <w:hideMark/>
          </w:tcPr>
          <w:p w14:paraId="5B701609"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Salloum, 2002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{"citationID":"15klhk3cf8","properties":{"formattedCitation":"(Salloum et al., 2002)","plainCitation":"(Salloum et al., 2002)"},"citationItems":[{"id":1201,"uris":["http://zotero.org/users/991106/items/Z7INRABJ"],"uri":["http://zotero.org/users/991106/items/Z7INRABJ"],"itemData":{"id":1201,"type":"article-journal","title":"Impact of concurrent alcohol misuse on symptom presentation of acute mania at initial evaluation","container-title":"Bipolar Disorders","page":"418-421","volume":"4","issue":"6","abstract":"Objectives:  The aim of this study was to evaluate the impact of current alcohol misuse on symptom presentation of acute mania.\nMethods:  The impact of concurrent alcohol misuse on symptom presentation of acute mania was examined by comparing comorbid subjects with acute bipolar mania complicated by current alcohol misuse (n=60) with subjects with acute bipolar mania without current alcohol misuse (n=196).\nResults:  Age- and gender-controlled analysis revealed that the comorbid group presented with more severe psychopathology, as indicated by higher number of total mood-related symptoms as well as of higher total number of manic symptoms. Specifically, they presented with significantly higher rates of mood lability and impulsivity, and also demonstrated higher rates of violent behavior, and other drug use.\nConclusions:  Acute mania complicated by current alcohol misuse is differentiated from acute mania without alcohol misuse by the presence of higher numbers of manic symptoms and increased high risk behavior such as mood lability, impulsivity, violence, and other drug abuse.","DOI":"10.1034/j.1399-5618.2002.01194.x","language":"en","author":[{"family":"Salloum","given":"Ihsan M"},{"family":"Cornelius","given":"Jack R"},{"family":"Mezzich","given":"Juan E"},{"family":"Kirisci","given":"Levent"}],"issued":{"year":2002,"month":12,"day":11},"accessed":{"year":2012,"month":4,"day":26},"page-first":"418"}}],"schema":"https://github.com/citation-style-language/schema/raw/master/csl-citation.json"}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(Salloum et al., 2002)</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60A480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037A694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0A255A6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5609EF3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562A197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281FF5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6D12433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70AA8B2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Acute</w:t>
            </w:r>
          </w:p>
        </w:tc>
        <w:tc>
          <w:tcPr>
            <w:tcW w:w="237" w:type="pct"/>
            <w:shd w:val="clear" w:color="auto" w:fill="auto"/>
            <w:vAlign w:val="center"/>
            <w:hideMark/>
          </w:tcPr>
          <w:p w14:paraId="59A9F55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w:t>
            </w:r>
          </w:p>
        </w:tc>
        <w:tc>
          <w:tcPr>
            <w:tcW w:w="236" w:type="pct"/>
            <w:shd w:val="clear" w:color="auto" w:fill="auto"/>
            <w:vAlign w:val="center"/>
            <w:hideMark/>
          </w:tcPr>
          <w:p w14:paraId="683518A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 DSM-III-R</w:t>
            </w:r>
          </w:p>
        </w:tc>
        <w:tc>
          <w:tcPr>
            <w:tcW w:w="316" w:type="pct"/>
            <w:shd w:val="clear" w:color="auto" w:fill="auto"/>
            <w:vAlign w:val="center"/>
            <w:hideMark/>
          </w:tcPr>
          <w:p w14:paraId="57FF1AD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497" w:type="pct"/>
            <w:shd w:val="clear" w:color="auto" w:fill="auto"/>
            <w:vAlign w:val="center"/>
            <w:hideMark/>
          </w:tcPr>
          <w:p w14:paraId="70B5FDC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IEF</w:t>
            </w:r>
          </w:p>
        </w:tc>
        <w:tc>
          <w:tcPr>
            <w:tcW w:w="167" w:type="pct"/>
            <w:shd w:val="clear" w:color="auto" w:fill="auto"/>
            <w:vAlign w:val="center"/>
            <w:hideMark/>
          </w:tcPr>
          <w:p w14:paraId="10D59A4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94" w:type="pct"/>
            <w:shd w:val="clear" w:color="auto" w:fill="auto"/>
            <w:textDirection w:val="btLr"/>
            <w:vAlign w:val="center"/>
            <w:hideMark/>
          </w:tcPr>
          <w:p w14:paraId="6D8D62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Alcohol misuse</w:t>
            </w:r>
          </w:p>
        </w:tc>
        <w:tc>
          <w:tcPr>
            <w:tcW w:w="184" w:type="pct"/>
            <w:shd w:val="clear" w:color="auto" w:fill="auto"/>
            <w:vAlign w:val="center"/>
            <w:hideMark/>
          </w:tcPr>
          <w:p w14:paraId="63F9490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256</w:t>
            </w:r>
          </w:p>
        </w:tc>
        <w:tc>
          <w:tcPr>
            <w:tcW w:w="313" w:type="pct"/>
            <w:shd w:val="clear" w:color="auto" w:fill="auto"/>
            <w:vAlign w:val="center"/>
            <w:hideMark/>
          </w:tcPr>
          <w:p w14:paraId="6D73536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5DE9D1AC" w14:textId="77777777" w:rsidTr="00927C0A">
        <w:trPr>
          <w:jc w:val="center"/>
        </w:trPr>
        <w:tc>
          <w:tcPr>
            <w:tcW w:w="479" w:type="pct"/>
            <w:shd w:val="clear" w:color="auto" w:fill="auto"/>
            <w:vAlign w:val="center"/>
            <w:hideMark/>
          </w:tcPr>
          <w:p w14:paraId="2BD4D9F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Suzanne, 2002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{"citationID":"aj0cfci5h","properties":{"formattedCitation":"(Suzanne I. et al., 2001)","plainCitation":"(Suzanne I. et al., 2001)"},"citationItems":[{"id":638,"uris":["http://zotero.org/users/991106/items/524XCC9I"],"uri":["http://zotero.org/users/991106/items/524XCC9I"],"itemData":{"id":638,"type":"article-journal","title":"Course and socio-familial outcome of bipolar mood disorders","container-title":"Annales Medico-Psychologiques","page":"554-559","abstract":"Bipolar disorders bear usually a favourable prognosis, with a recovery of normal life in the intervals between two episodes of their illness. Nevertheless, recent evaluations dealing with its course incites to caution: high marital instability, social inadequacy, high rates of alcohol and other drugs addiction, of suicide, have been mentioned by various researchers. Our team has studied the following aspects: professional integration, marital status, rate of suicide in a population suffering from mood disorders. We have compared bipolar patients with a group of unipolar patients. As far an prognosis in bipolar patients is concerned our findings are rather re-assuring: marital stability and professional integration are similar in the two groups alcohol and drugs comorbidity are low in both, the rate of suicide is lower in the bipolar group than in the unipolar. 2001 Editions scientifiques et medicales Elsevier SAS.","DOI":"http://dx.doi.org/10.1016/S0003-4487%2801%2900081-6","author":[{"family":"Suzanne I.","given":""},{"family":"Fourquet F.","given":""},{"family":"Degiovanni A.","given":""},{"family":"Gaillard P.","given":""}],"issued":{"year":2001},"accessed":{"year":2012,"month":4,"day":16},"page-first":"554"}}],"schema":"https://github.com/citation-style-language/schema/raw/master/csl-citation.json"}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(Suzanne I. et al., 2001)</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1FBA637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France</w:t>
            </w:r>
          </w:p>
        </w:tc>
        <w:tc>
          <w:tcPr>
            <w:tcW w:w="136" w:type="pct"/>
            <w:shd w:val="clear" w:color="auto" w:fill="auto"/>
            <w:vAlign w:val="center"/>
            <w:hideMark/>
          </w:tcPr>
          <w:p w14:paraId="4C85E54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47B9BEF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3BDFF25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1960703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23BE80F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5E66756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1BB2929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w:t>
            </w:r>
          </w:p>
        </w:tc>
        <w:tc>
          <w:tcPr>
            <w:tcW w:w="237" w:type="pct"/>
            <w:shd w:val="clear" w:color="auto" w:fill="auto"/>
            <w:vAlign w:val="center"/>
            <w:hideMark/>
          </w:tcPr>
          <w:p w14:paraId="2CAE57B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17-93</w:t>
            </w:r>
          </w:p>
        </w:tc>
        <w:tc>
          <w:tcPr>
            <w:tcW w:w="236" w:type="pct"/>
            <w:shd w:val="clear" w:color="auto" w:fill="auto"/>
            <w:vAlign w:val="center"/>
            <w:hideMark/>
          </w:tcPr>
          <w:p w14:paraId="3768BFE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ICD-10</w:t>
            </w:r>
          </w:p>
        </w:tc>
        <w:tc>
          <w:tcPr>
            <w:tcW w:w="316" w:type="pct"/>
            <w:shd w:val="clear" w:color="auto" w:fill="auto"/>
            <w:vAlign w:val="center"/>
            <w:hideMark/>
          </w:tcPr>
          <w:p w14:paraId="4897F83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Bipolar disorder</w:t>
            </w:r>
          </w:p>
        </w:tc>
        <w:tc>
          <w:tcPr>
            <w:tcW w:w="497" w:type="pct"/>
            <w:shd w:val="clear" w:color="auto" w:fill="auto"/>
            <w:vAlign w:val="center"/>
            <w:hideMark/>
          </w:tcPr>
          <w:p w14:paraId="091AE96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Unstructured, Retrospective chart review</w:t>
            </w:r>
          </w:p>
        </w:tc>
        <w:tc>
          <w:tcPr>
            <w:tcW w:w="167" w:type="pct"/>
            <w:shd w:val="clear" w:color="auto" w:fill="auto"/>
            <w:vAlign w:val="center"/>
            <w:hideMark/>
          </w:tcPr>
          <w:p w14:paraId="68797C9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94" w:type="pct"/>
            <w:shd w:val="clear" w:color="auto" w:fill="auto"/>
            <w:vAlign w:val="center"/>
            <w:hideMark/>
          </w:tcPr>
          <w:p w14:paraId="17AEB5E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248640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77</w:t>
            </w:r>
          </w:p>
        </w:tc>
        <w:tc>
          <w:tcPr>
            <w:tcW w:w="313" w:type="pct"/>
            <w:shd w:val="clear" w:color="auto" w:fill="auto"/>
            <w:vAlign w:val="center"/>
            <w:hideMark/>
          </w:tcPr>
          <w:p w14:paraId="4D76B4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1998</w:t>
            </w:r>
          </w:p>
        </w:tc>
      </w:tr>
      <w:tr w:rsidR="00D3535C" w:rsidRPr="00694969" w14:paraId="75CD5FB8" w14:textId="77777777" w:rsidTr="00927C0A">
        <w:trPr>
          <w:jc w:val="center"/>
        </w:trPr>
        <w:tc>
          <w:tcPr>
            <w:tcW w:w="479" w:type="pct"/>
            <w:shd w:val="clear" w:color="auto" w:fill="auto"/>
            <w:vAlign w:val="center"/>
            <w:hideMark/>
          </w:tcPr>
          <w:p w14:paraId="6E1D925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Slama, 2004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{"citationID":"2lsdnads1s","properties":{"formattedCitation":"(Slama et al., 2004)","plainCitation":"(Slama et al., 2004)"},"citationItems":[{"id":215,"uris":["http://zotero.org/users/991106/items/3ZAPVNM8"],"uri":["http://zotero.org/users/991106/items/3ZAPVNM8"],"itemData":{"id":215,"type":"article-journal","title":"Bipolar patients with suicidal behavior: toward the identification of a clinical subgroup","container-title":"The Journal of Clinical Psychiatry","page":"1035-1039","volume":"65","issue":"8","abstract":"BACKGROUND\n\nSuicide is the most severe and frequent complication of bipolar disorder, but little is known about the clinical characteristics of bipolar patients at risk of suicide. The purpose of this study was to identify those characteristics.\n\n\nMETHOD\n\nWe studied 307 prospectively recruited DSM-IV-diagnosed bipolar I or II patients from November 1994 through October 2001. Semi-structured diagnostic interviews (the Diagnostic Interview for Genetic Studies and the Family Interview for Genetic Studies) were used to determine the diagnosis of bipolar disorder and its lifetime description, lifetime comorbid Axis I disorder diagnoses, familial history of psychiatric disorders and demographic characteristics.\n\n\nRESULTS\n\nOne hundred twenty-nine bipolar patients (42%) had made at least 1 suicide attempt in their life. Lifetime history of suicidal behavior was associated with history of suicidal behavior in first-degree relatives but not with a familial history of mood disorder. Early age at onset of mood disorder, total number of previous depressive episodes, alcohol and tobacco use, social phobia, antidepressant-induced mania, and personal history of head injury were associated with suicidal behavior. No association was observed with gender or diagnosis of bipolar I or II disorder. Social phobias, tobacco use, and personal history of head injury were no longer associated with suicidal behavior in the multivariate analysis.\n\n\nCONCLUSION\n\nBipolar patients with early age at bipolar disorder onset, high number of depressive episodes, personal history of antidepressant-induced mania, comorbid alcohol abuse, and suicidal behavior constitute a clinical subgroup at risk of suicidal behavior. This information, as well as familial history of suicide behavior, should improve suicide risk assessment in bipolar patients.","note":"PMID: 15323586","shortTitle":"Bipolar patients with suicidal behavior","journalAbbreviation":"J Clin Psychiatry","author":[{"family":"Slama","given":"Frédéric"},{"family":"Bellivier","given":"Frank"},{"family":"Henry","given":"Chantal"},{"family":"Rousseva","given":"Angela"},{"family":"Etain","given":"Bruno"},{"family":"Rouillon","given":"Frédéric"},{"family":"Leboyer","given":"Marion"}],"issued":{"year":2004,"month":8},"accessed":{"year":2012,"month":3,"day":26},"page-first":"1035"}}],"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(Slama et al., 2004)</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7F84122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France</w:t>
            </w:r>
          </w:p>
        </w:tc>
        <w:tc>
          <w:tcPr>
            <w:tcW w:w="136" w:type="pct"/>
            <w:shd w:val="clear" w:color="auto" w:fill="auto"/>
            <w:vAlign w:val="center"/>
            <w:hideMark/>
          </w:tcPr>
          <w:p w14:paraId="08B980C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4F8EB3C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3092BB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0840FBA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4003B74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Part of a genetic study</w:t>
            </w:r>
          </w:p>
        </w:tc>
        <w:tc>
          <w:tcPr>
            <w:tcW w:w="141" w:type="pct"/>
            <w:shd w:val="clear" w:color="auto" w:fill="auto"/>
            <w:vAlign w:val="center"/>
            <w:hideMark/>
          </w:tcPr>
          <w:p w14:paraId="699ABE5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7084D52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Euthymic</w:t>
            </w:r>
          </w:p>
        </w:tc>
        <w:tc>
          <w:tcPr>
            <w:tcW w:w="237" w:type="pct"/>
            <w:shd w:val="clear" w:color="auto" w:fill="auto"/>
            <w:vAlign w:val="center"/>
            <w:hideMark/>
          </w:tcPr>
          <w:p w14:paraId="32F18F22"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6" w:type="pct"/>
            <w:shd w:val="clear" w:color="auto" w:fill="auto"/>
            <w:vAlign w:val="center"/>
            <w:hideMark/>
          </w:tcPr>
          <w:p w14:paraId="780CE91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2256D3C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78062FC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DIGS</w:t>
            </w:r>
          </w:p>
        </w:tc>
        <w:tc>
          <w:tcPr>
            <w:tcW w:w="167" w:type="pct"/>
            <w:shd w:val="clear" w:color="auto" w:fill="auto"/>
            <w:vAlign w:val="center"/>
            <w:hideMark/>
          </w:tcPr>
          <w:p w14:paraId="206507D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EEAB5D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w:t>
            </w:r>
          </w:p>
        </w:tc>
        <w:tc>
          <w:tcPr>
            <w:tcW w:w="184" w:type="pct"/>
            <w:shd w:val="clear" w:color="auto" w:fill="auto"/>
            <w:vAlign w:val="center"/>
            <w:hideMark/>
          </w:tcPr>
          <w:p w14:paraId="6D4E16A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307</w:t>
            </w:r>
          </w:p>
        </w:tc>
        <w:tc>
          <w:tcPr>
            <w:tcW w:w="313" w:type="pct"/>
            <w:shd w:val="clear" w:color="auto" w:fill="auto"/>
            <w:vAlign w:val="center"/>
            <w:hideMark/>
          </w:tcPr>
          <w:p w14:paraId="67C7C49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1994-2001</w:t>
            </w:r>
          </w:p>
        </w:tc>
      </w:tr>
      <w:tr w:rsidR="00D3535C" w:rsidRPr="00694969" w14:paraId="293CB60B" w14:textId="77777777" w:rsidTr="00927C0A">
        <w:trPr>
          <w:jc w:val="center"/>
        </w:trPr>
        <w:tc>
          <w:tcPr>
            <w:tcW w:w="479" w:type="pct"/>
            <w:shd w:val="clear" w:color="auto" w:fill="auto"/>
            <w:vAlign w:val="center"/>
            <w:hideMark/>
          </w:tcPr>
          <w:p w14:paraId="62DDFCA5"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Strakowski, 1996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{"citationID":"18sg6e633q","properties":{"formattedCitation":"(Strakowski et al., 1996)","plainCitation":"(Strakowski et al., 1996)"},"citationItems":[{"id":217,"uris":["http://zotero.org/users/991106/items/DJ666AKX"],"uri":["http://zotero.org/users/991106/items/DJ666AKX"],"itemData":{"id":217,"type":"article-journal","title":"The effects of antecedent substance abuse on the development of first-episode psychotic mania","container-title":"Journal of Psychiatric Research","page":"59-68","volume":"30","issue":"1","abstract":"We examined associations of antecedent drug and alcohol abuse with age of onset of bipolar disorder and the time to hospitalization in a sample of 59 patients presenting with their first episode of psychotic mania. Patients with first-episode manic or mixed bipolar disorder with psychotic features were recruited from consecutive hospitalizations and evaluated using structured diagnostic instruments. Antecedent alcohol abuse was present in 12 patients (20%), and antecedent drug abuse in 19 (32%). Antecedent alcohol abuse was associated with a later age of onset of the bipolar disorder, although antecedent drug abuse was not associated with age of onset. Patients with antecedent drug or alcohol abuse required hospitalization sooner than those without. These preliminary findings suggest that patients with bipolar disorder and antecedent alcohol abuse may have a later onset of their affective illness, perhaps representing a subgroup of patients in whom previous alcohol abuse is necessary to precipitate an affective episode. Regardless, the presence of antecedent substance abuse leads to more rapid hospitalization in these patients. Our results should be considered preliminary, given the small sample size and the post-hoc design of the study. Additional prospective studies of patients with new onset bipolar disorder and antecedent substance abuse syndromes are needed to further clarify the complex relationships between substance abuse and bipolar disorder.","note":"PMID: 8736468","journalAbbreviation":"J Psychiatr Res","author":[{"family":"Strakowski","given":"S M"},{"family":"McElroy","given":"S L"},{"family":"Keck","given":"P E, Jr"},{"family":"West","given":"S A"}],"issued":{"year":1996,"month":2},"accessed":{"year":2012,"month":3,"day":26},"page-first":"59"}}],"schema":"https://github.com/citation-style-language/schema/raw/master/csl-citation.json"}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(Strakowski et al., 1996)</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2005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{"citationID":"28akfqlklp","properties":{"formattedCitation":"(Strakowski S.M. et al., 2005)","plainCitation":"(Strakowski S.M. et al., 2005)"},"citationItems":[{"id":930,"uris":["http://zotero.org/users/991106/items/KW4JHHBW"],"uri":["http://zotero.org/users/991106/items/KW4JHHBW"],"itemData":{"id":930,"type":"article-journal","title":"Effects of co-occurring alcohol abuse on the course of bipolar disorder following a first hospitalization for mania.","container-title":"Archives of General Psychiatry","page":"851-858","abstract":"Context: Alcohol-use disorders are common co-occurring conditions affecting bipolar patients, and this co-occurrence is negatively associated with outcome. Objective: The primary goal of this study was to identify how the relative onsets of alcohol-use and bipolar disorders affect the subsequent courses of illness in patients with both conditions. Design and Setting: Inception cohort at an academic medical center. Patients: Patients meeting criteria for type I bipolar disorder, manic or mixed, with ages of 12 to 45 years, no prior hospitalizations, and minimal prior treatment. We enrolled 144 subjects who were followed up for up to 5 years, including 27 subjects in whom the onset of an alcohol-use disorder preceded the onset of bipolar disorder (Alcohol First), 33 subjects in whom bipolar disorder onset preceded or was concurrent with the onset of alcohol abuse (Bipolar First), and 83 subjects with bipolar disorder only (No Alcohol). Main Outcome Measures: Symptomatic recovery and recurrence of both conditions and percentage of follow-up with affective episodes and affective and alcohol-use disorder symptoms. Results: The Alcohol First group was older and more likely to recover and recover more quickly than the other groups. Affective symptomatic recurrence curves were similar among groups. The Bipolar First group spent more time with affective episodes and symptoms of an alcohol-use disorder during follow-up than the Alcohol First group. Hospitalization was associated with a period of decreased alcohol abuse, although recurrence of the alcohol-use disorder was common. Conclusions: The relative age at onset of alcohol-use and bipolar disorders is associated with differences in the course of both conditions. A first hospitalization for mania is associated with a period of recovery from comorbid alcohol abuse, suggesting this posthospital time may provide an opportunity to treat this co-occurring condition. 2005 American Medical Association. All rights reserved.","DOI":"http://dx.doi.org/10.1001/archpsyc.62.8.851","author":[{"family":"Strakowski S.M.","given":""},{"family":"DelBello M.P.","given":""},{"family":"Fleck D.E.","given":""},{"family":"Adler C.M.","given":""},{"family":"Anthenelli R.M.","given":""},{"family":"Keck Jr. P.E.","given":""},{"family":"Arnold L.M.","given":""},{"family":"Amicone J.","given":""}],"issued":{"year":2005,"month":8},"accessed":{"year":2012,"month":4,"day":16},"page-first":"851"}}],"schema":"https://github.com/citation-style-language/schema/raw/master/csl-citation.json"}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(Strakowski S.M. et al., 2005)</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Fleck 2006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{"citationID":"30r6u3n36","properties":{"formattedCitation":"(Fleck et al., 2006)","plainCitation":"(Fleck et al., 2006)"},"citationItems":[{"id":219,"uris":["http://zotero.org/users/991106/items/4UNI5A3W"],"uri":["http://zotero.org/users/991106/items/4UNI5A3W"],"itemData":{"id":219,"type":"article-journal","title":"Concurrent tracking of alcohol use and bipolar disorder symptoms","container-title":"Bipolar Disorders","page":"338-344","volume":"8","issue":"4","abstract":"OBJECTIVES\n\nAlcohol use disorders (AUDs) are common co-occurring conditions in patients with bipolar disorder (BD), but it is unclear whether or not AUD and BD symptoms are temporally correlated. The primary aim of this analysis was to examine concurrent symptom tracking and how the relative onsets of AUD and BD influence the concurrent tracking of symptoms.\n\n\nMETHODS\n\nParticipants met DSM-IV criteria for bipolar I disorder, manic or mixed, with no prior hospitalizations and minimal treatment. Patients were rated for alcohol use and bipolar symptom severity on a weekly basis for up to 7 years. For analysis purposes, patients were placed into groups with no AUD (BD Only; n = 21), onset of AUD either concurrent with or after the onset of bipolar symptoms (BD First; n = 32), and onset of AUD at least 1 year before the onset of bipolar symptoms (AUD First; n = 18).\n\n\nRESULTS\n\nNone of the patient groups demonstrate consistent positive or negative temporal correlations between alcohol use and affective symptoms. However, there were significant between-group differences on the relationship of symptom tracking and age of BD onset. For the AUD First group, the correlation between age of BD onset and symptom tracking was positive 0.41. However, for the BD First and BD Only groups the correlations were negative (-0.32 and -0.41, respectively). Moreover, for patients whose BD onset was &lt; or =18 years old, the correlation between age of onset and tracking was -0.47.\n\n\nCONCLUSIONS\n\nThese findings suggest that although there is no direct temporal correlation of AUD and BD symptoms in subgroups of BD patients, age at illness onset contributes to the complex relationship between BD and AUD. For younger patients there may be a greater likelihood that alcohol use and bipolar symptoms increase or decrease in unison.","DOI":"10.1111/j.1399-5618.2006.00332.x","note":"PMID: 16879134","journalAbbreviation":"Bipolar Disord","author":[{"family":"Fleck","given":"David E"},{"family":"Arndt","given":"Stephan"},{"family":"DelBello","given":"Melissa P"},{"family":"Strakowski","given":"Stephen M"}],"issued":{"year":2006,"month":8},"accessed":{"year":2012,"month":3,"day":26},"page-first":"338"}}],"schema":"https://github.com/citation-style-language/schema/raw/master/csl-citation.json"}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(Fleck et al., 2006)</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w:t>
            </w:r>
          </w:p>
        </w:tc>
        <w:tc>
          <w:tcPr>
            <w:tcW w:w="362" w:type="pct"/>
            <w:shd w:val="clear" w:color="auto" w:fill="auto"/>
            <w:vAlign w:val="center"/>
            <w:hideMark/>
          </w:tcPr>
          <w:p w14:paraId="793227D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14307F5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2392D54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530BB0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0271689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w:t>
            </w:r>
          </w:p>
        </w:tc>
        <w:tc>
          <w:tcPr>
            <w:tcW w:w="587" w:type="pct"/>
            <w:shd w:val="clear" w:color="auto" w:fill="auto"/>
            <w:vAlign w:val="center"/>
            <w:hideMark/>
          </w:tcPr>
          <w:p w14:paraId="53C71B7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University of Cincinnati First-Episode Mania Study</w:t>
            </w:r>
          </w:p>
        </w:tc>
        <w:tc>
          <w:tcPr>
            <w:tcW w:w="141" w:type="pct"/>
            <w:shd w:val="clear" w:color="auto" w:fill="auto"/>
            <w:vAlign w:val="center"/>
            <w:hideMark/>
          </w:tcPr>
          <w:p w14:paraId="1875623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6A45115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intoxication or withdrawal, 1st hospitalization</w:t>
            </w:r>
          </w:p>
        </w:tc>
        <w:tc>
          <w:tcPr>
            <w:tcW w:w="237" w:type="pct"/>
            <w:shd w:val="clear" w:color="auto" w:fill="auto"/>
            <w:vAlign w:val="center"/>
            <w:hideMark/>
          </w:tcPr>
          <w:p w14:paraId="76B66BF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12-45</w:t>
            </w:r>
          </w:p>
        </w:tc>
        <w:tc>
          <w:tcPr>
            <w:tcW w:w="236" w:type="pct"/>
            <w:shd w:val="clear" w:color="auto" w:fill="auto"/>
            <w:vAlign w:val="center"/>
            <w:hideMark/>
          </w:tcPr>
          <w:p w14:paraId="4F5932F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 DSM-III-R, DSM-IV</w:t>
            </w:r>
          </w:p>
        </w:tc>
        <w:tc>
          <w:tcPr>
            <w:tcW w:w="316" w:type="pct"/>
            <w:shd w:val="clear" w:color="auto" w:fill="auto"/>
            <w:vAlign w:val="center"/>
            <w:hideMark/>
          </w:tcPr>
          <w:p w14:paraId="2C04B27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with psychotic features</w:t>
            </w:r>
          </w:p>
        </w:tc>
        <w:tc>
          <w:tcPr>
            <w:tcW w:w="497" w:type="pct"/>
            <w:shd w:val="clear" w:color="auto" w:fill="auto"/>
            <w:vAlign w:val="center"/>
            <w:hideMark/>
          </w:tcPr>
          <w:p w14:paraId="4B3ED0A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SCID-I/P</w:t>
            </w:r>
          </w:p>
        </w:tc>
        <w:tc>
          <w:tcPr>
            <w:tcW w:w="167" w:type="pct"/>
            <w:shd w:val="clear" w:color="auto" w:fill="auto"/>
            <w:vAlign w:val="center"/>
            <w:hideMark/>
          </w:tcPr>
          <w:p w14:paraId="43D664B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12E28B1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17FF87B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144</w:t>
            </w:r>
          </w:p>
        </w:tc>
        <w:tc>
          <w:tcPr>
            <w:tcW w:w="313" w:type="pct"/>
            <w:shd w:val="clear" w:color="auto" w:fill="auto"/>
            <w:vAlign w:val="center"/>
            <w:hideMark/>
          </w:tcPr>
          <w:p w14:paraId="4106497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1996-2003</w:t>
            </w:r>
          </w:p>
        </w:tc>
      </w:tr>
      <w:tr w:rsidR="00D3535C" w:rsidRPr="00694969" w14:paraId="42C835BC" w14:textId="77777777" w:rsidTr="00927C0A">
        <w:trPr>
          <w:jc w:val="center"/>
        </w:trPr>
        <w:tc>
          <w:tcPr>
            <w:tcW w:w="479" w:type="pct"/>
            <w:shd w:val="clear" w:color="auto" w:fill="auto"/>
            <w:vAlign w:val="center"/>
            <w:hideMark/>
          </w:tcPr>
          <w:p w14:paraId="192081BD"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Suominen, 2009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{"citationID":"hoolb7c24","properties":{"formattedCitation":"(Suominen et al., 2009)","plainCitation":"(Suominen et al., 2009)"},"citationItems":[{"id":220,"uris":["http://zotero.org/users/991106/items/V2JPCICM"],"uri":["http://zotero.org/users/991106/items/V2JPCICM"],"itemData":{"id":220,"type":"article-journal","title":"Gender differences in bipolar disorder type I and II","container-title":"Acta Psychiatrica Scandinavica","page":"464-473","volume":"120","issue":"6","abstract":"OBJECTIVE\n\nWe investigated gender differences in bipolar disorder (BD) type I and II in a representative cohort of secondary care psychiatric in- and out-patients.\n\n\nMETHOD\n\nIn the prospective, naturalistic Jorvi Bipolar Study of 191 secondary care psychiatric in- and out-patients, 160 patients (85.1%) could be followed up for 18 months with a life chart.\n\n\nRESULTS\n\nAfter adjusting for confounders, no marked differences in illness-related characteristics were found. However, female patients with BD had more lifetime comorbid eating disorders (P &lt; 0.001, OR = 5.99, 95% CI 2.12-16.93) but less substance use disorders (P &lt; 0.001, OR = 0.29, 95% CI 0.16-0.56) than males. Median time to recurrence after remission was 3.1 months longer among men than women, female gender carrying a higher hazard of recurrence (P = 0.006, HR = 2.00, 95% CI 1.22-3.27).\n\n\nCONCLUSION\n\nMen and women with type I and II BD have fairly similar illness-related clinical characteristics, but their profile of comorbid disorders may differ significantly, particularly regarding substance use and eating disorders. In medium-term follow-up, females appear to have a higher hazard of recurrence than males.","DOI":"10.1111/j.1600-0447.2009.01407.x","note":"PMID: 19476453","journalAbbreviation":"Acta Psychiatr Scand","author":[{"family":"Suominen","given":"K"},{"family":"Mantere","given":"O"},{"family":"Valtonen","given":"H"},{"family":"Arvilommi","given":"P"},{"family":"Leppämäki","given":"S"},{"family":"Isometsä","given":"E"}],"issued":{"year":2009,"month":12},"accessed":{"year":2012,"month":3,"day":26},"page-first":"464"}}],"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(Suominen et al., 2009)</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0F1DFCE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Finland</w:t>
            </w:r>
          </w:p>
        </w:tc>
        <w:tc>
          <w:tcPr>
            <w:tcW w:w="136" w:type="pct"/>
            <w:shd w:val="clear" w:color="auto" w:fill="auto"/>
            <w:vAlign w:val="center"/>
            <w:hideMark/>
          </w:tcPr>
          <w:p w14:paraId="0C7C5AE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F</w:t>
            </w:r>
          </w:p>
        </w:tc>
        <w:tc>
          <w:tcPr>
            <w:tcW w:w="181" w:type="pct"/>
            <w:shd w:val="clear" w:color="auto" w:fill="auto"/>
            <w:vAlign w:val="center"/>
            <w:hideMark/>
          </w:tcPr>
          <w:p w14:paraId="19B804B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439AC90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241F3A3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5D08D83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from the Jorvi Bipolar Study</w:t>
            </w:r>
          </w:p>
        </w:tc>
        <w:tc>
          <w:tcPr>
            <w:tcW w:w="141" w:type="pct"/>
            <w:shd w:val="clear" w:color="auto" w:fill="auto"/>
            <w:vAlign w:val="center"/>
            <w:hideMark/>
          </w:tcPr>
          <w:p w14:paraId="375BDBC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5A0BF9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Current episode</w:t>
            </w:r>
          </w:p>
        </w:tc>
        <w:tc>
          <w:tcPr>
            <w:tcW w:w="237" w:type="pct"/>
            <w:shd w:val="clear" w:color="auto" w:fill="auto"/>
            <w:vAlign w:val="center"/>
            <w:hideMark/>
          </w:tcPr>
          <w:p w14:paraId="187BEFE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18-59</w:t>
            </w:r>
          </w:p>
        </w:tc>
        <w:tc>
          <w:tcPr>
            <w:tcW w:w="236" w:type="pct"/>
            <w:shd w:val="clear" w:color="auto" w:fill="auto"/>
            <w:vAlign w:val="center"/>
            <w:hideMark/>
          </w:tcPr>
          <w:p w14:paraId="65AEC84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7D4747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w:t>
            </w:r>
          </w:p>
        </w:tc>
        <w:tc>
          <w:tcPr>
            <w:tcW w:w="497" w:type="pct"/>
            <w:shd w:val="clear" w:color="auto" w:fill="auto"/>
            <w:vAlign w:val="center"/>
            <w:hideMark/>
          </w:tcPr>
          <w:p w14:paraId="3287558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SCID-I/P</w:t>
            </w:r>
          </w:p>
        </w:tc>
        <w:tc>
          <w:tcPr>
            <w:tcW w:w="167" w:type="pct"/>
            <w:shd w:val="clear" w:color="auto" w:fill="auto"/>
            <w:vAlign w:val="center"/>
            <w:hideMark/>
          </w:tcPr>
          <w:p w14:paraId="0CE9D06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00EBB7A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AA, AD</w:t>
            </w:r>
          </w:p>
        </w:tc>
        <w:tc>
          <w:tcPr>
            <w:tcW w:w="184" w:type="pct"/>
            <w:shd w:val="clear" w:color="auto" w:fill="auto"/>
            <w:vAlign w:val="center"/>
            <w:hideMark/>
          </w:tcPr>
          <w:p w14:paraId="6DF19E7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191</w:t>
            </w:r>
          </w:p>
        </w:tc>
        <w:tc>
          <w:tcPr>
            <w:tcW w:w="313" w:type="pct"/>
            <w:shd w:val="clear" w:color="auto" w:fill="auto"/>
            <w:vAlign w:val="center"/>
            <w:hideMark/>
          </w:tcPr>
          <w:p w14:paraId="695A284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2002-2003</w:t>
            </w:r>
          </w:p>
        </w:tc>
      </w:tr>
      <w:tr w:rsidR="00D3535C" w:rsidRPr="00694969" w14:paraId="09976C71" w14:textId="77777777" w:rsidTr="00927C0A">
        <w:trPr>
          <w:jc w:val="center"/>
        </w:trPr>
        <w:tc>
          <w:tcPr>
            <w:tcW w:w="479" w:type="pct"/>
            <w:shd w:val="clear" w:color="auto" w:fill="auto"/>
            <w:vAlign w:val="center"/>
            <w:hideMark/>
          </w:tcPr>
          <w:p w14:paraId="15C25680"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Tsai, 1997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{"citationID":"2onvklnn26","properties":{"formattedCitation":"(Tsai et al., 1997)","plainCitation":"(Tsai et al., 1997)"},"citationItems":[{"id":221,"uris":["http://zotero.org/users/991106/items/6PFURPCQ"],"uri":["http://zotero.org/users/991106/items/6PFURPCQ"],"itemData":{"id":221,"type":"article-journal","title":"Alcohol problems and long-term psychosocial outcome in Chinese patients with bipolar disorder","container-title":"Journal of Affective Disorders","page":"143-150","volume":"46","issue":"2","abstract":"BACKGROUND\n\nA high comorbidity of alcohol use disorders among Western bipolar patients is recognized and worsens the outcome of bipolar illness. In view of lower prevalence of alcohol use disorders in some Asian groups, we attempted to investigate the alcohol problems among Chinese bipolar patients in Taiwan.\n\n\nMETHODS\n\nThe clinical data of bipolar patients (DSM-III-R) having been followed-up naturally for at least 15 years were obtained by a combination of chart reviews and interviews with patients and family members.\n\n\nRESULTS\n\nBased on a retrospective chart review of 158 patients, 8.2% of them were found to have alcohol problems. The lifetime prevalence of alcohol abuse was 6.9%, and of alcohol dependence 3.0% among 101 subjects accepting interview. According to the Global Assessment of Functioning Scale (APA, 1994) nearly one-third of them were clearly dysfunctional.\n\n\nLIMITATION\n\nAs subjects had a greater mean age, the age-related effects probably worsened the psychosocial outcome and reduced the incidence of new substance abuse.\n\n\nCONCLUSION\n\nChinese bipolar patients, despite a lower comorbidity of alcohol use disorders, do not have a more favorable long-term psychosocial outcome (marriage, work, and social adjustment) than Western patients.","note":"PMID: 9479618","journalAbbreviation":"J Affect Disord","author":[{"family":"Tsai","given":"S Y"},{"family":"Chen","given":"C C"},{"family":"Yeh","given":"E K"}],"issued":{"year":1997,"month":11},"accessed":{"year":2012,"month":3,"day":26},"page-first":"143"}}],"schema":"https://github.com/citation-style-language/schema/raw/master/csl-citation.json"}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(Tsai et al., 1997)</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5B7D20E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Taiwan</w:t>
            </w:r>
          </w:p>
        </w:tc>
        <w:tc>
          <w:tcPr>
            <w:tcW w:w="136" w:type="pct"/>
            <w:shd w:val="clear" w:color="auto" w:fill="auto"/>
            <w:vAlign w:val="center"/>
            <w:hideMark/>
          </w:tcPr>
          <w:p w14:paraId="6A6309F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748130D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1B3BEDE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w:t>
            </w:r>
          </w:p>
        </w:tc>
        <w:tc>
          <w:tcPr>
            <w:tcW w:w="226" w:type="pct"/>
            <w:shd w:val="clear" w:color="auto" w:fill="auto"/>
            <w:vAlign w:val="center"/>
            <w:hideMark/>
          </w:tcPr>
          <w:p w14:paraId="652318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0E654A5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w:t>
            </w:r>
          </w:p>
        </w:tc>
        <w:tc>
          <w:tcPr>
            <w:tcW w:w="141" w:type="pct"/>
            <w:shd w:val="clear" w:color="auto" w:fill="auto"/>
            <w:vAlign w:val="center"/>
            <w:hideMark/>
          </w:tcPr>
          <w:p w14:paraId="5EE1498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03CE0DF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Treated for more than 15y</w:t>
            </w:r>
          </w:p>
        </w:tc>
        <w:tc>
          <w:tcPr>
            <w:tcW w:w="237" w:type="pct"/>
            <w:shd w:val="clear" w:color="auto" w:fill="auto"/>
            <w:vAlign w:val="center"/>
            <w:hideMark/>
          </w:tcPr>
          <w:p w14:paraId="12FB96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33-70</w:t>
            </w:r>
          </w:p>
        </w:tc>
        <w:tc>
          <w:tcPr>
            <w:tcW w:w="236" w:type="pct"/>
            <w:shd w:val="clear" w:color="auto" w:fill="auto"/>
            <w:vAlign w:val="center"/>
            <w:hideMark/>
          </w:tcPr>
          <w:p w14:paraId="58BEF77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DSM-III-R</w:t>
            </w:r>
          </w:p>
        </w:tc>
        <w:tc>
          <w:tcPr>
            <w:tcW w:w="316" w:type="pct"/>
            <w:shd w:val="clear" w:color="auto" w:fill="auto"/>
            <w:vAlign w:val="center"/>
            <w:hideMark/>
          </w:tcPr>
          <w:p w14:paraId="3127E27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w:t>
            </w:r>
          </w:p>
        </w:tc>
        <w:tc>
          <w:tcPr>
            <w:tcW w:w="497" w:type="pct"/>
            <w:shd w:val="clear" w:color="auto" w:fill="auto"/>
            <w:vAlign w:val="center"/>
            <w:hideMark/>
          </w:tcPr>
          <w:p w14:paraId="6227304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PDA</w:t>
            </w:r>
          </w:p>
        </w:tc>
        <w:tc>
          <w:tcPr>
            <w:tcW w:w="167" w:type="pct"/>
            <w:shd w:val="clear" w:color="auto" w:fill="auto"/>
            <w:vAlign w:val="center"/>
            <w:hideMark/>
          </w:tcPr>
          <w:p w14:paraId="147470E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21C4EF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30D6B8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101</w:t>
            </w:r>
          </w:p>
        </w:tc>
        <w:tc>
          <w:tcPr>
            <w:tcW w:w="313" w:type="pct"/>
            <w:shd w:val="clear" w:color="auto" w:fill="auto"/>
            <w:vAlign w:val="center"/>
            <w:hideMark/>
          </w:tcPr>
          <w:p w14:paraId="54E2530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1995-1996</w:t>
            </w:r>
          </w:p>
        </w:tc>
      </w:tr>
      <w:tr w:rsidR="00D3535C" w:rsidRPr="00694969" w14:paraId="2F0BC0F6" w14:textId="77777777" w:rsidTr="00927C0A">
        <w:trPr>
          <w:jc w:val="center"/>
        </w:trPr>
        <w:tc>
          <w:tcPr>
            <w:tcW w:w="479" w:type="pct"/>
            <w:shd w:val="clear" w:color="auto" w:fill="auto"/>
            <w:vAlign w:val="center"/>
            <w:hideMark/>
          </w:tcPr>
          <w:p w14:paraId="1127D012"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Tsai, 2012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{"citationID":"2pgsbf770v","properties":{"formattedCitation":"(Tsai H.-C. et al., 2012)","plainCitation":"(Tsai H.-C. et al., 2012)"},"citationItems":[{"id":241,"uris":["http://zotero.org/users/991106/items/TPANDJTS"],"uri":["http://zotero.org/users/991106/items/TPANDJTS"],"itemData":{"id":241,"type":"article-journal","title":"Empirically derived subgroups of bipolar i patients with different comorbidity patterns of anxiety and substance use disorders in Han Chinese population.","container-title":"Journal of Affective Disorders","page":"1-2","abstract":"Objective: Bipolar-I disorder (BPI) often co-occurred with anxiety (ANX) and substance use disorders (SUD), which poses challenges in public health and clinical treatment, and adds complexity in searching for relevant etiologic factors. The present study sought to identify subgroups of BPI patients using comorbidity patterns with ANX and SUD. Methods: Clinical patients (N = 306) diagnosed with BPI were recruited and interviewed using the Composite International Diagnostic Interview to collect data on demographics and clinical features, including episodic information, impairments, and lifetime diagnoses of ANX (panic, agoraphobia, generalized anxiety disorder, specific and social phobia) and SUD (nicotine dependence, alcohol use and drug use disorder). We applied latent class analysis to empirically derive classes of BPI. A number of exogenous variables were examined for each class. Results: A three-class model provides excellent discriminability for subgrouping BPI patients with different comorbidity patterns. The BPI-LOW class (83.99%) had more pure mania without most lifetime comorbidity, higher numbers of last year mania episodes, and less suicidality and impairments. The BPI-ANX class (3.60%) was female predominant, tended to comorbid with multiple anxiety disorders but no SUD, and had early onset age. The BPI-SUD class (12.42%) was male predominant, had high prevalence of lifetime SUD and frequent mood episodes in the last year. Both the BPI-ANX and BPI-SUD classes had severe functional impairments and suicidal behaviors. Limitations: Clinical information was retrospectively collected. Besides, we did not comprehensively access lifetime comorbidity for all psychiatric disorders. Conclusion: The three empirically identified subgroups of BPI patients exhibited distinguished comorbidity patterns and clinical features, including suicidal behaviors, frequent mood episodes and functional impairments. Our findings have clinical implication in intervention and treatment as well as to explore their different underlying mechanisms. 2011 Elsevier B.V.","DOI":"http://dx.doi.org/10.1016/j.jad.2011.08.015","author":[{"family":"Tsai H.-C.","given":""},{"family":"Lu M.-K.","given":""},{"family":"Yang Y.-K.","given":""},{"family":"Huang M.-C.","given":""},{"family":"Yeh T.-L.","given":""},{"family":"Chen W.-J.","given":""},{"family":"Lu R.-B.","given":""},{"family":"Kuo P.-H.","given":""}],"issued":{"year":2012,"month":1},"accessed":{"year":2012,"month":4,"day":16},"page-first":"1"}}],"schema":"https://github.com/citation-style-language/schema/raw/master/csl-citation.json"}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(Tsai H.-C. et al., 2012)</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F65EBA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Taiwan</w:t>
            </w:r>
          </w:p>
        </w:tc>
        <w:tc>
          <w:tcPr>
            <w:tcW w:w="136" w:type="pct"/>
            <w:shd w:val="clear" w:color="auto" w:fill="auto"/>
            <w:vAlign w:val="center"/>
            <w:hideMark/>
          </w:tcPr>
          <w:p w14:paraId="440F1AF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w:t>
            </w:r>
          </w:p>
        </w:tc>
        <w:tc>
          <w:tcPr>
            <w:tcW w:w="181" w:type="pct"/>
            <w:shd w:val="clear" w:color="auto" w:fill="auto"/>
            <w:vAlign w:val="center"/>
            <w:hideMark/>
          </w:tcPr>
          <w:p w14:paraId="128A951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6986EDB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A+GP</w:t>
            </w:r>
          </w:p>
        </w:tc>
        <w:tc>
          <w:tcPr>
            <w:tcW w:w="226" w:type="pct"/>
            <w:shd w:val="clear" w:color="auto" w:fill="auto"/>
            <w:vAlign w:val="center"/>
            <w:hideMark/>
          </w:tcPr>
          <w:p w14:paraId="7859AB0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2303959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part of a family study</w:t>
            </w:r>
          </w:p>
        </w:tc>
        <w:tc>
          <w:tcPr>
            <w:tcW w:w="141" w:type="pct"/>
            <w:shd w:val="clear" w:color="auto" w:fill="auto"/>
            <w:vAlign w:val="center"/>
            <w:hideMark/>
          </w:tcPr>
          <w:p w14:paraId="5B8FB95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w:t>
            </w:r>
          </w:p>
        </w:tc>
        <w:tc>
          <w:tcPr>
            <w:tcW w:w="562" w:type="pct"/>
            <w:shd w:val="clear" w:color="auto" w:fill="auto"/>
            <w:vAlign w:val="center"/>
            <w:hideMark/>
          </w:tcPr>
          <w:p w14:paraId="33C5605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No substance-induced BD</w:t>
            </w:r>
          </w:p>
        </w:tc>
        <w:tc>
          <w:tcPr>
            <w:tcW w:w="237" w:type="pct"/>
            <w:shd w:val="clear" w:color="auto" w:fill="auto"/>
            <w:vAlign w:val="center"/>
            <w:hideMark/>
          </w:tcPr>
          <w:p w14:paraId="360DFCD7" w14:textId="77777777" w:rsidR="00D3535C" w:rsidRPr="00694969" w:rsidRDefault="00D3535C" w:rsidP="00927C0A">
            <w:pPr>
              <w:spacing w:after="0"/>
              <w:jc w:val="center"/>
              <w:rPr>
                <w:rFonts w:ascii="Times New Roman" w:eastAsia="Times New Roman" w:hAnsi="Times New Roman"/>
                <w:color w:val="000000"/>
                <w:sz w:val="18"/>
                <w:szCs w:val="18"/>
              </w:rPr>
            </w:pPr>
          </w:p>
        </w:tc>
        <w:tc>
          <w:tcPr>
            <w:tcW w:w="236" w:type="pct"/>
            <w:shd w:val="clear" w:color="auto" w:fill="auto"/>
            <w:vAlign w:val="center"/>
            <w:hideMark/>
          </w:tcPr>
          <w:p w14:paraId="51A99B0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72AD03A0"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72711825"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CIDI</w:t>
            </w:r>
          </w:p>
        </w:tc>
        <w:tc>
          <w:tcPr>
            <w:tcW w:w="167" w:type="pct"/>
            <w:shd w:val="clear" w:color="auto" w:fill="auto"/>
            <w:vAlign w:val="center"/>
            <w:hideMark/>
          </w:tcPr>
          <w:p w14:paraId="77B8299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6F1F8FB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28D8686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306</w:t>
            </w:r>
          </w:p>
        </w:tc>
        <w:tc>
          <w:tcPr>
            <w:tcW w:w="313" w:type="pct"/>
            <w:shd w:val="clear" w:color="auto" w:fill="auto"/>
            <w:vAlign w:val="center"/>
            <w:hideMark/>
          </w:tcPr>
          <w:p w14:paraId="112AB91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4A0E7C63" w14:textId="77777777" w:rsidTr="00927C0A">
        <w:trPr>
          <w:jc w:val="center"/>
        </w:trPr>
        <w:tc>
          <w:tcPr>
            <w:tcW w:w="479" w:type="pct"/>
            <w:shd w:val="clear" w:color="auto" w:fill="auto"/>
            <w:vAlign w:val="center"/>
            <w:hideMark/>
          </w:tcPr>
          <w:p w14:paraId="70F65EC7"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Van Roy, 2010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{"citationID":"1vd7akhl63","properties":{"formattedCitation":"(Van Roy et al., 2010)","plainCitation":"(Van Roy et al., 2010)"},"citationItems":[{"id":1217,"uris":["http://zotero.org/users/991106/items/FU8T9AGX"],"uri":["http://zotero.org/users/991106/items/FU8T9AGX"],"itemData":{"id":1217,"type":"article-journal","title":"[Comorbid anxiety disorders and alcohol-related disorders in a population of bipolar I disorder: investigation in a Flemish population]","container-title":"Tijdschrift Voor Psychiatrie","page":"69-78","volume":"52","issue":"2","abstract":"BACKGROUND\n\nBipolar I disorder (bp i) is a very debilitating psychiatric disorder which is frequently associated with comorbid psychiatric and somatic disorders. Many studies in other countries show strongly elevated prevalences of anxiety disorders and alcohol-related disorders in the bp i population, but so far no data on this topic are available with regard to the Flemish population.\n\n\nAIM\n\nTo determine the prevalence of anxiety disorders and alcohol-related disorders in a Flemish population of bp i outpatients in remission and to find out whether comorbidity of these disorders is linked to the onset of the disorder at a younger age.\n\n\nMETHOD\n\nSixty-nine bp i patients in remission were given structured interviews at home and the results were compared with the Belgian prevalence reported in the European Study of the Epidemiology of Mental Disorders (esemed) project. results Both the prevalence of the alcohol-related disorders (15 of 69 patients or 21.7%) and the prevalence of anxiety disorders (17 patients or 24.6%) were elevated compared to the general population (8.1 and 13.2% respectively). Among the anxiety disorders the prevalence was elevated for panic disorder, social phobia and post-traumatic stress disorder. No significant association was found between the comorbidity and the patient's age at the onset of the illness.\n\n\nCONCLUSION\n\nThe prevalence of anxiety disorders and alcohol-related disorders in an outpatient population of Flemish patients with bp i in remission is elevated.","note":"PMID: 20146178","shortTitle":"[Comorbid anxiety disorders and alcohol-related disorders in a population of bipolar I disorder","journalAbbreviation":"Tijdschr Psychiatr","author":[{"family":"Van Roy","given":"R"},{"family":"Van Den Eede","given":"F"},{"family":"Peeters","given":"K"},{"family":"Kenis","given":"C"},{"family":"Sabbe","given":"B G C"},{"family":"Claes","given":"S J"}],"issued":{"year":2010},"accessed":{"year":2012,"month":4,"day":26},"page-first":"69"}}],"schema":"https://github.com/citation-style-language/schema/raw/master/csl-citation.json"}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(Van Roy et al., 2010)</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369EE81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Belgium</w:t>
            </w:r>
          </w:p>
        </w:tc>
        <w:tc>
          <w:tcPr>
            <w:tcW w:w="136" w:type="pct"/>
            <w:shd w:val="clear" w:color="auto" w:fill="auto"/>
            <w:vAlign w:val="center"/>
            <w:hideMark/>
          </w:tcPr>
          <w:p w14:paraId="093A6E2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E</w:t>
            </w:r>
          </w:p>
        </w:tc>
        <w:tc>
          <w:tcPr>
            <w:tcW w:w="181" w:type="pct"/>
            <w:shd w:val="clear" w:color="auto" w:fill="auto"/>
            <w:vAlign w:val="center"/>
            <w:hideMark/>
          </w:tcPr>
          <w:p w14:paraId="219FD58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181" w:type="pct"/>
            <w:shd w:val="clear" w:color="auto" w:fill="auto"/>
            <w:vAlign w:val="center"/>
            <w:hideMark/>
          </w:tcPr>
          <w:p w14:paraId="0BCFB1AE"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GP</w:t>
            </w:r>
          </w:p>
        </w:tc>
        <w:tc>
          <w:tcPr>
            <w:tcW w:w="226" w:type="pct"/>
            <w:shd w:val="clear" w:color="auto" w:fill="auto"/>
            <w:vAlign w:val="center"/>
            <w:hideMark/>
          </w:tcPr>
          <w:p w14:paraId="39E009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OUT</w:t>
            </w:r>
          </w:p>
        </w:tc>
        <w:tc>
          <w:tcPr>
            <w:tcW w:w="587" w:type="pct"/>
            <w:shd w:val="clear" w:color="auto" w:fill="auto"/>
            <w:vAlign w:val="center"/>
            <w:hideMark/>
          </w:tcPr>
          <w:p w14:paraId="62DC0A11"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NS, part of a genetic study</w:t>
            </w:r>
          </w:p>
        </w:tc>
        <w:tc>
          <w:tcPr>
            <w:tcW w:w="141" w:type="pct"/>
            <w:shd w:val="clear" w:color="auto" w:fill="auto"/>
            <w:vAlign w:val="center"/>
            <w:hideMark/>
          </w:tcPr>
          <w:p w14:paraId="2E7B1A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43C0D2A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remission</w:t>
            </w:r>
          </w:p>
        </w:tc>
        <w:tc>
          <w:tcPr>
            <w:tcW w:w="237" w:type="pct"/>
            <w:shd w:val="clear" w:color="auto" w:fill="auto"/>
            <w:vAlign w:val="center"/>
            <w:hideMark/>
          </w:tcPr>
          <w:p w14:paraId="575E9E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18-74</w:t>
            </w:r>
          </w:p>
        </w:tc>
        <w:tc>
          <w:tcPr>
            <w:tcW w:w="236" w:type="pct"/>
            <w:shd w:val="clear" w:color="auto" w:fill="auto"/>
            <w:vAlign w:val="center"/>
            <w:hideMark/>
          </w:tcPr>
          <w:p w14:paraId="63F6269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DSM-IV</w:t>
            </w:r>
          </w:p>
        </w:tc>
        <w:tc>
          <w:tcPr>
            <w:tcW w:w="316" w:type="pct"/>
            <w:shd w:val="clear" w:color="auto" w:fill="auto"/>
            <w:vAlign w:val="center"/>
            <w:hideMark/>
          </w:tcPr>
          <w:p w14:paraId="75329F94"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w:t>
            </w:r>
          </w:p>
        </w:tc>
        <w:tc>
          <w:tcPr>
            <w:tcW w:w="497" w:type="pct"/>
            <w:shd w:val="clear" w:color="auto" w:fill="auto"/>
            <w:vAlign w:val="center"/>
            <w:hideMark/>
          </w:tcPr>
          <w:p w14:paraId="3220EA3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MINI Plus, SCID-I/P</w:t>
            </w:r>
          </w:p>
        </w:tc>
        <w:tc>
          <w:tcPr>
            <w:tcW w:w="167" w:type="pct"/>
            <w:shd w:val="clear" w:color="auto" w:fill="auto"/>
            <w:vAlign w:val="center"/>
            <w:hideMark/>
          </w:tcPr>
          <w:p w14:paraId="33C6777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w:t>
            </w:r>
          </w:p>
        </w:tc>
        <w:tc>
          <w:tcPr>
            <w:tcW w:w="194" w:type="pct"/>
            <w:shd w:val="clear" w:color="auto" w:fill="auto"/>
            <w:vAlign w:val="center"/>
            <w:hideMark/>
          </w:tcPr>
          <w:p w14:paraId="5FE27D4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AUD</w:t>
            </w:r>
          </w:p>
        </w:tc>
        <w:tc>
          <w:tcPr>
            <w:tcW w:w="184" w:type="pct"/>
            <w:shd w:val="clear" w:color="auto" w:fill="auto"/>
            <w:vAlign w:val="center"/>
            <w:hideMark/>
          </w:tcPr>
          <w:p w14:paraId="0EEDE817"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69</w:t>
            </w:r>
          </w:p>
        </w:tc>
        <w:tc>
          <w:tcPr>
            <w:tcW w:w="313" w:type="pct"/>
            <w:shd w:val="clear" w:color="auto" w:fill="auto"/>
            <w:vAlign w:val="center"/>
            <w:hideMark/>
          </w:tcPr>
          <w:p w14:paraId="57ED6A2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NA</w:t>
            </w:r>
          </w:p>
        </w:tc>
      </w:tr>
      <w:tr w:rsidR="00D3535C" w:rsidRPr="00694969" w14:paraId="54D98F9E" w14:textId="77777777" w:rsidTr="00927C0A">
        <w:trPr>
          <w:jc w:val="center"/>
        </w:trPr>
        <w:tc>
          <w:tcPr>
            <w:tcW w:w="479" w:type="pct"/>
            <w:shd w:val="clear" w:color="auto" w:fill="auto"/>
            <w:vAlign w:val="center"/>
            <w:hideMark/>
          </w:tcPr>
          <w:p w14:paraId="28C6C579" w14:textId="77777777" w:rsidR="00D3535C" w:rsidRPr="00694969" w:rsidRDefault="00D3535C" w:rsidP="00927C0A">
            <w:pPr>
              <w:spacing w:after="0"/>
              <w:jc w:val="center"/>
              <w:rPr>
                <w:rFonts w:ascii="Times New Roman" w:eastAsia="Times New Roman" w:hAnsi="Times New Roman"/>
                <w:bCs/>
                <w:color w:val="000000"/>
                <w:sz w:val="18"/>
                <w:szCs w:val="18"/>
              </w:rPr>
            </w:pPr>
            <w:r w:rsidRPr="00694969">
              <w:rPr>
                <w:rFonts w:ascii="Times New Roman" w:eastAsia="Times New Roman" w:hAnsi="Times New Roman"/>
                <w:bCs/>
                <w:color w:val="000000"/>
                <w:sz w:val="18"/>
                <w:szCs w:val="18"/>
              </w:rPr>
              <w:t xml:space="preserve">Winokur, 1998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{"citationID":"1fjcekngvu","properties":{"formattedCitation":"(Winokur et al., 1998)","plainCitation":"(Winokur et al., 1998)"},"citationItems":[{"id":223,"uris":["http://zotero.org/users/991106/items/3KQN6TDV"],"uri":["http://zotero.org/users/991106/items/3KQN6TDV"],"itemData":{"id":223,"type":"article-journal","title":"Alcoholism and drug abuse in three groups--bipolar I, unipolars and their acquaintances","container-title":"Journal of Affective Disorders","page":"81-89","volume":"50","issue":"2-3","abstract":"OBJECTIVE\n\nPrevious work has shown that manic-depressive illness and alcohol abuse are linked. This study further explores the relationship of alcohol and drug abuse in bipolar I patients and unipolar depressives and a comparison group obtained through the acquaintance method.\n\n\nMETHOD\n\nDiagnosis was accomplished according to Research Diagnostic Criteria (RDC): controls = 469; bipolars = 277; unipolar depressives = 678. Systematic data were gathered using the SADS on lifetime and current drug abuse and alcoholism. Both patients and comparison subjects were then followed prospectively for 10 years. First degree family members were interviewed using the RDC family history method.\n\n\nRESULTS\n\nThe group of bipolar patients and the group of unipolar patients had higher rates of drug and alcohol abuse than the comparison group when primary and secondary affective disorder patients were combined. However, primary unipolar patients did not have higher rates of alcohol or drug abuse than the comparison group. In contrast, primary bipolar patients had higher rates of alcoholism, stimulant abuse, and ever having abused a drug than the primary unipolar group and the control group. In an evaluation of the bipolar patients, drug abusers were significantly younger at intake and had a significantly younger age of onset of bipolar disorder. There was a significant increase in family history of mania or schizoaffective mania in the drug-abusing bipolar patients as compared to the non-abusing bipolar patients.\n\n\nLIMITATION\n\nAs in all adult samples of patients with affective illness, the chronology of alcohol and substance problems vis-à-vis the onset of illness was determined retrospectively.\n\n\nCONCLUSIONS\n\n(1) Alcoholism and drug abuse are more frequent in bipolar than unipolar patients. (2) The drug abuse of bipolar patients tends toward the abuse of stimulant drugs. (3) In a bipolar patient, familial diathesis for mania is significantly associated with the abuse of alcohol and drugs. (4) More provocatively, these findings suggest the hypothesis of a common familial-genetic diathesis for a subtype of bipolar I, alcohol and stimulant abuse.\n\n\nCLINICAL IMPLICATIONS\n\nThe present analyses, coupled with two previous ones from the CDS, suggest that drug abuse may precipitate an earlier onset of bipolar I disorder in those who already have a familial predisposition for mania. Furthermore, in dually diagnosed patients with manic-depressive and alcohol/stimulant abuse history, mood stabilization of the bipolar disorder represents a rational approach to control concurrent alcohol and drug problems, and should be studied in systematic controlled trials.","note":"PMID: 9858067","journalAbbreviation":"J Affect Disord","author":[{"family":"Winokur","given":"G"},{"family":"Turvey","given":"C"},{"family":"Akiskal","given":"H"},{"family":"Coryell","given":"W"},{"family":"Solomon","given":"D"},{"family":"Leon","given":"A"},{"family":"Mueller","given":"T"},{"family":"Endicott","given":"J"},{"family":"Maser","given":"J"},{"family":"Keller","given":"M"}],"issued":{"year":1998,"month":9},"accessed":{"year":2012,"month":3,"day":26},"page-first":"81"}}],"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(Winokur et al., 1998)</w:t>
            </w:r>
            <w:r w:rsidRPr="00694969">
              <w:rPr>
                <w:rFonts w:ascii="Times New Roman" w:eastAsia="Times New Roman" w:hAnsi="Times New Roman"/>
                <w:bCs/>
                <w:color w:val="000000"/>
                <w:sz w:val="18"/>
                <w:szCs w:val="18"/>
              </w:rPr>
              <w:fldChar w:fldCharType="end"/>
            </w:r>
            <w:r w:rsidRPr="00694969">
              <w:rPr>
                <w:rFonts w:ascii="Times New Roman" w:eastAsia="Times New Roman" w:hAnsi="Times New Roman"/>
                <w:bCs/>
                <w:color w:val="000000"/>
                <w:sz w:val="18"/>
                <w:szCs w:val="18"/>
              </w:rPr>
              <w:t xml:space="preserve">; Winokur, 1994 </w:t>
            </w:r>
            <w:r w:rsidRPr="00694969">
              <w:rPr>
                <w:rFonts w:ascii="Times New Roman" w:eastAsia="Times New Roman" w:hAnsi="Times New Roman"/>
                <w:bCs/>
                <w:color w:val="000000"/>
                <w:sz w:val="18"/>
                <w:szCs w:val="18"/>
              </w:rPr>
              <w:fldChar w:fldCharType="begin"/>
            </w:r>
            <w:r>
              <w:rPr>
                <w:rFonts w:ascii="Times New Roman" w:eastAsia="Times New Roman" w:hAnsi="Times New Roman"/>
                <w:bCs/>
                <w:color w:val="000000"/>
                <w:sz w:val="18"/>
                <w:szCs w:val="18"/>
              </w:rPr>
              <w:instrText xml:space="preserve"> ADDIN ZOTERO_ITEM CSL_CITATION {"citationID":"h4su5jn2e","properties":{"formattedCitation":"(Winokur et al., 1994)","plainCitation":"(Winokur et al., 1994)"},"citationItems":[{"id":224,"uris":["http://zotero.org/users/991106/items/ITV5IVVH"],"uri":["http://zotero.org/users/991106/items/ITV5IVVH"],"itemData":{"id":224,"type":"article-journal","title":"Manic-depressive (bipolar) disorder: the course in light of a prospective ten-year follow-up of 131 patients","container-title":"Acta Psychiatrica Scandinavica","page":"102-110","volume":"89","issue":"2","abstract":"For a five-year period, 131 bipolar patients were followed every 6 months; for the next 5 years, they were followed yearly. Each patient was interviewed in a systematic way that gave information about episodes, hospitalizations, cycle lengths and the presence of alcoholism. Women and men were not significantly different in the number of follow-up manic or depressive episodes or hospitalizations. Chronicity from index episode to the end of the 10-year follow-up was uncommon (4%). Alcoholism, which was common in these patients, showed a great diminution at the end of 10 years. Contrary to expectation, cycle lengths showed no systematic decrease in length over the follow-up. In this naturalistic study, treatment intensity was not related to decreasing episodes or to changes in cycle length. The number of episodes in the first 5 years of follow-up was not correlated with the number of episodes in the last 5 years. Cycle lengths in the first 5 years of follow-up were similar in length to the last 5 years of follow-up. A family history of mania in these bipolar patients was associated with more episodes in follow-up than if such a family history were absent. The patients whose alcoholism predated the onset of their affective illness were less likely to have episodes in the follow-up than the patients in whom affective illness predated the onset of the alcoholism.","note":"PMID: 8178659","shortTitle":"Manic-depressive (bipolar) disorder","journalAbbreviation":"Acta Psychiatr Scand","author":[{"family":"Winokur","given":"G"},{"family":"Coryell","given":"W"},{"family":"Akiskal","given":"H S"},{"family":"Endicott","given":"J"},{"family":"Keller","given":"M"},{"family":"Mueller","given":"T"}],"issued":{"year":1994,"month":2},"accessed":{"year":2012,"month":3,"day":26},"page-first":"102"}}],"schema":"https://github.com/citation-style-language/schema/raw/master/csl-citation.json"} </w:instrText>
            </w:r>
            <w:r w:rsidRPr="00694969">
              <w:rPr>
                <w:rFonts w:ascii="Times New Roman" w:eastAsia="Times New Roman" w:hAnsi="Times New Roman"/>
                <w:bCs/>
                <w:color w:val="000000"/>
                <w:sz w:val="18"/>
                <w:szCs w:val="18"/>
              </w:rPr>
              <w:fldChar w:fldCharType="separate"/>
            </w:r>
            <w:r>
              <w:rPr>
                <w:rFonts w:ascii="Times New Roman" w:eastAsia="Times New Roman" w:hAnsi="Times New Roman"/>
                <w:bCs/>
                <w:noProof/>
                <w:color w:val="000000"/>
                <w:sz w:val="18"/>
                <w:szCs w:val="18"/>
              </w:rPr>
              <w:t>(Winokur et al., 1994)</w:t>
            </w:r>
            <w:r w:rsidRPr="00694969">
              <w:rPr>
                <w:rFonts w:ascii="Times New Roman" w:eastAsia="Times New Roman" w:hAnsi="Times New Roman"/>
                <w:bCs/>
                <w:color w:val="000000"/>
                <w:sz w:val="18"/>
                <w:szCs w:val="18"/>
              </w:rPr>
              <w:fldChar w:fldCharType="end"/>
            </w:r>
          </w:p>
        </w:tc>
        <w:tc>
          <w:tcPr>
            <w:tcW w:w="362" w:type="pct"/>
            <w:shd w:val="clear" w:color="auto" w:fill="auto"/>
            <w:vAlign w:val="center"/>
            <w:hideMark/>
          </w:tcPr>
          <w:p w14:paraId="6C926ED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US</w:t>
            </w:r>
          </w:p>
        </w:tc>
        <w:tc>
          <w:tcPr>
            <w:tcW w:w="136" w:type="pct"/>
            <w:shd w:val="clear" w:color="auto" w:fill="auto"/>
            <w:vAlign w:val="center"/>
            <w:hideMark/>
          </w:tcPr>
          <w:p w14:paraId="48B27383"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D</w:t>
            </w:r>
          </w:p>
        </w:tc>
        <w:tc>
          <w:tcPr>
            <w:tcW w:w="181" w:type="pct"/>
            <w:shd w:val="clear" w:color="auto" w:fill="auto"/>
            <w:vAlign w:val="center"/>
            <w:hideMark/>
          </w:tcPr>
          <w:p w14:paraId="010640EF"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w:t>
            </w:r>
          </w:p>
        </w:tc>
        <w:tc>
          <w:tcPr>
            <w:tcW w:w="181" w:type="pct"/>
            <w:shd w:val="clear" w:color="auto" w:fill="auto"/>
            <w:vAlign w:val="center"/>
            <w:hideMark/>
          </w:tcPr>
          <w:p w14:paraId="67F5CA3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w:t>
            </w:r>
          </w:p>
        </w:tc>
        <w:tc>
          <w:tcPr>
            <w:tcW w:w="226" w:type="pct"/>
            <w:shd w:val="clear" w:color="auto" w:fill="auto"/>
            <w:vAlign w:val="center"/>
            <w:hideMark/>
          </w:tcPr>
          <w:p w14:paraId="5B5BA56D"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IN/ OUT</w:t>
            </w:r>
          </w:p>
        </w:tc>
        <w:tc>
          <w:tcPr>
            <w:tcW w:w="587" w:type="pct"/>
            <w:shd w:val="clear" w:color="auto" w:fill="auto"/>
            <w:vAlign w:val="center"/>
            <w:hideMark/>
          </w:tcPr>
          <w:p w14:paraId="65E63F28"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 part of the NIMH Collaborative Study of the Psychobiology of Depression</w:t>
            </w:r>
          </w:p>
        </w:tc>
        <w:tc>
          <w:tcPr>
            <w:tcW w:w="141" w:type="pct"/>
            <w:shd w:val="clear" w:color="auto" w:fill="auto"/>
            <w:vAlign w:val="center"/>
            <w:hideMark/>
          </w:tcPr>
          <w:p w14:paraId="4D11C55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Y</w:t>
            </w:r>
          </w:p>
        </w:tc>
        <w:tc>
          <w:tcPr>
            <w:tcW w:w="562" w:type="pct"/>
            <w:shd w:val="clear" w:color="auto" w:fill="auto"/>
            <w:vAlign w:val="center"/>
            <w:hideMark/>
          </w:tcPr>
          <w:p w14:paraId="3DCC4BF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IQ ≥ 70, language, white ethnicity, knowledge of one’s biological parents, no secondary to a general medical condition</w:t>
            </w:r>
          </w:p>
        </w:tc>
        <w:tc>
          <w:tcPr>
            <w:tcW w:w="237" w:type="pct"/>
            <w:shd w:val="clear" w:color="auto" w:fill="auto"/>
            <w:vAlign w:val="center"/>
            <w:hideMark/>
          </w:tcPr>
          <w:p w14:paraId="618BD0E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≥17</w:t>
            </w:r>
          </w:p>
        </w:tc>
        <w:tc>
          <w:tcPr>
            <w:tcW w:w="236" w:type="pct"/>
            <w:shd w:val="clear" w:color="auto" w:fill="auto"/>
            <w:vAlign w:val="center"/>
            <w:hideMark/>
          </w:tcPr>
          <w:p w14:paraId="4BDAC76C"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RDC</w:t>
            </w:r>
          </w:p>
        </w:tc>
        <w:tc>
          <w:tcPr>
            <w:tcW w:w="316" w:type="pct"/>
            <w:shd w:val="clear" w:color="auto" w:fill="auto"/>
            <w:vAlign w:val="center"/>
            <w:hideMark/>
          </w:tcPr>
          <w:p w14:paraId="23216456"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BD-I, BD-II, SAD-BT</w:t>
            </w:r>
          </w:p>
        </w:tc>
        <w:tc>
          <w:tcPr>
            <w:tcW w:w="497" w:type="pct"/>
            <w:shd w:val="clear" w:color="auto" w:fill="auto"/>
            <w:vAlign w:val="center"/>
            <w:hideMark/>
          </w:tcPr>
          <w:p w14:paraId="5312F28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SADS</w:t>
            </w:r>
          </w:p>
        </w:tc>
        <w:tc>
          <w:tcPr>
            <w:tcW w:w="167" w:type="pct"/>
            <w:shd w:val="clear" w:color="auto" w:fill="auto"/>
            <w:vAlign w:val="center"/>
            <w:hideMark/>
          </w:tcPr>
          <w:p w14:paraId="18EE5912"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LT, C</w:t>
            </w:r>
          </w:p>
        </w:tc>
        <w:tc>
          <w:tcPr>
            <w:tcW w:w="194" w:type="pct"/>
            <w:shd w:val="clear" w:color="auto" w:fill="auto"/>
            <w:vAlign w:val="center"/>
            <w:hideMark/>
          </w:tcPr>
          <w:p w14:paraId="0ADBB3FA"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Alc</w:t>
            </w:r>
          </w:p>
        </w:tc>
        <w:tc>
          <w:tcPr>
            <w:tcW w:w="184" w:type="pct"/>
            <w:shd w:val="clear" w:color="auto" w:fill="auto"/>
            <w:vAlign w:val="center"/>
            <w:hideMark/>
          </w:tcPr>
          <w:p w14:paraId="29942649"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277</w:t>
            </w:r>
          </w:p>
        </w:tc>
        <w:tc>
          <w:tcPr>
            <w:tcW w:w="313" w:type="pct"/>
            <w:shd w:val="clear" w:color="auto" w:fill="auto"/>
            <w:vAlign w:val="center"/>
            <w:hideMark/>
          </w:tcPr>
          <w:p w14:paraId="338D754B" w14:textId="77777777" w:rsidR="00D3535C" w:rsidRPr="00694969" w:rsidRDefault="00D3535C" w:rsidP="00927C0A">
            <w:pPr>
              <w:spacing w:after="0"/>
              <w:jc w:val="center"/>
              <w:rPr>
                <w:rFonts w:ascii="Times New Roman" w:eastAsia="Times New Roman" w:hAnsi="Times New Roman"/>
                <w:color w:val="000000"/>
                <w:sz w:val="18"/>
                <w:szCs w:val="18"/>
              </w:rPr>
            </w:pPr>
            <w:r w:rsidRPr="00694969">
              <w:rPr>
                <w:rFonts w:ascii="Times New Roman" w:eastAsia="Times New Roman" w:hAnsi="Times New Roman"/>
                <w:color w:val="000000"/>
                <w:sz w:val="18"/>
                <w:szCs w:val="18"/>
              </w:rPr>
              <w:t>1978- 1981</w:t>
            </w:r>
          </w:p>
        </w:tc>
      </w:tr>
    </w:tbl>
    <w:p w14:paraId="39678447" w14:textId="77777777" w:rsidR="00D3535C" w:rsidRDefault="00D3535C" w:rsidP="00D3535C">
      <w:pPr>
        <w:spacing w:line="480" w:lineRule="auto"/>
        <w:jc w:val="both"/>
        <w:rPr>
          <w:rFonts w:ascii="Times New Roman" w:hAnsi="Times New Roman"/>
          <w:sz w:val="24"/>
          <w:szCs w:val="24"/>
        </w:rPr>
      </w:pPr>
    </w:p>
    <w:p w14:paraId="534A7680" w14:textId="77777777" w:rsidR="00D3535C" w:rsidRDefault="00D3535C" w:rsidP="00D3535C">
      <w:pPr>
        <w:spacing w:line="480" w:lineRule="auto"/>
        <w:jc w:val="both"/>
        <w:rPr>
          <w:rFonts w:ascii="Times New Roman" w:hAnsi="Times New Roman"/>
          <w:sz w:val="24"/>
          <w:szCs w:val="24"/>
        </w:rPr>
      </w:pPr>
      <w:r>
        <w:rPr>
          <w:rFonts w:ascii="Times New Roman" w:hAnsi="Times New Roman"/>
          <w:sz w:val="24"/>
          <w:szCs w:val="24"/>
        </w:rPr>
        <w:t>Abbreviations</w:t>
      </w:r>
    </w:p>
    <w:p w14:paraId="6AB0FD1D" w14:textId="77777777" w:rsidR="00D3535C" w:rsidRDefault="00D3535C" w:rsidP="00D3535C">
      <w:pPr>
        <w:spacing w:after="0" w:line="480" w:lineRule="auto"/>
        <w:jc w:val="both"/>
        <w:rPr>
          <w:rFonts w:ascii="Times New Roman" w:hAnsi="Times New Roman"/>
          <w:sz w:val="24"/>
          <w:szCs w:val="24"/>
        </w:rPr>
      </w:pPr>
      <w:r w:rsidRPr="00E45A9F">
        <w:rPr>
          <w:rFonts w:ascii="Times New Roman" w:hAnsi="Times New Roman"/>
          <w:sz w:val="24"/>
          <w:szCs w:val="24"/>
        </w:rPr>
        <w:t>Per capita consumption (litres)</w:t>
      </w:r>
      <w:r>
        <w:rPr>
          <w:rFonts w:ascii="Times New Roman" w:hAnsi="Times New Roman"/>
          <w:sz w:val="24"/>
          <w:szCs w:val="24"/>
        </w:rPr>
        <w:t>: A &lt;2.5; B 2.5-4.9; C 5-7.4; D 7.5-9.9; E 10-12.4; F</w:t>
      </w:r>
      <w:r w:rsidRPr="00A259D4">
        <w:t xml:space="preserve"> </w:t>
      </w:r>
      <w:r>
        <w:rPr>
          <w:rFonts w:ascii="Times New Roman" w:eastAsia="Times New Roman" w:hAnsi="Times New Roman"/>
          <w:b/>
          <w:color w:val="000000"/>
          <w:sz w:val="18"/>
          <w:szCs w:val="18"/>
        </w:rPr>
        <w:t xml:space="preserve">≥ </w:t>
      </w:r>
      <w:r>
        <w:rPr>
          <w:rFonts w:ascii="Times New Roman" w:hAnsi="Times New Roman"/>
          <w:sz w:val="24"/>
          <w:szCs w:val="24"/>
        </w:rPr>
        <w:t>12.5</w:t>
      </w:r>
    </w:p>
    <w:p w14:paraId="22EB41F7" w14:textId="77777777" w:rsidR="00D3535C" w:rsidRDefault="00D3535C" w:rsidP="00D3535C">
      <w:pPr>
        <w:spacing w:after="0" w:line="480" w:lineRule="auto"/>
        <w:jc w:val="both"/>
        <w:rPr>
          <w:rFonts w:ascii="Times New Roman" w:hAnsi="Times New Roman"/>
          <w:sz w:val="24"/>
          <w:szCs w:val="24"/>
        </w:rPr>
      </w:pPr>
      <w:r w:rsidRPr="00A259D4">
        <w:rPr>
          <w:rFonts w:ascii="Times New Roman" w:hAnsi="Times New Roman"/>
          <w:sz w:val="24"/>
          <w:szCs w:val="24"/>
        </w:rPr>
        <w:t>Drinking patterns</w:t>
      </w:r>
      <w:r>
        <w:rPr>
          <w:rFonts w:ascii="Times New Roman" w:hAnsi="Times New Roman"/>
          <w:sz w:val="24"/>
          <w:szCs w:val="24"/>
        </w:rPr>
        <w:t xml:space="preserve">: A </w:t>
      </w:r>
      <w:r w:rsidRPr="00A259D4">
        <w:rPr>
          <w:rFonts w:ascii="Times New Roman" w:hAnsi="Times New Roman"/>
          <w:sz w:val="24"/>
          <w:szCs w:val="24"/>
        </w:rPr>
        <w:t>Least risky drinking pattern</w:t>
      </w:r>
      <w:r>
        <w:rPr>
          <w:rFonts w:ascii="Times New Roman" w:hAnsi="Times New Roman"/>
          <w:sz w:val="24"/>
          <w:szCs w:val="24"/>
        </w:rPr>
        <w:t xml:space="preserve"> &gt; C </w:t>
      </w:r>
      <w:r w:rsidRPr="00A259D4">
        <w:rPr>
          <w:rFonts w:ascii="Times New Roman" w:hAnsi="Times New Roman"/>
          <w:sz w:val="24"/>
          <w:szCs w:val="24"/>
        </w:rPr>
        <w:t>Most risky drinking pattern</w:t>
      </w:r>
    </w:p>
    <w:p w14:paraId="364E60F2" w14:textId="77777777" w:rsidR="00D3535C" w:rsidRDefault="00D3535C" w:rsidP="00D3535C">
      <w:pPr>
        <w:spacing w:after="0" w:line="480" w:lineRule="auto"/>
        <w:jc w:val="both"/>
        <w:rPr>
          <w:rFonts w:ascii="Times New Roman" w:hAnsi="Times New Roman"/>
          <w:sz w:val="24"/>
          <w:szCs w:val="24"/>
        </w:rPr>
      </w:pPr>
      <w:r>
        <w:rPr>
          <w:rFonts w:ascii="Times New Roman" w:hAnsi="Times New Roman"/>
          <w:sz w:val="24"/>
          <w:szCs w:val="24"/>
        </w:rPr>
        <w:t>Setting: A academic or tertiary centre; GP general psychiatric services, general practice</w:t>
      </w:r>
    </w:p>
    <w:p w14:paraId="77E9F0F0" w14:textId="77777777" w:rsidR="00D3535C" w:rsidRDefault="00D3535C" w:rsidP="00D3535C">
      <w:pPr>
        <w:spacing w:after="0" w:line="480" w:lineRule="auto"/>
        <w:jc w:val="both"/>
        <w:rPr>
          <w:rFonts w:ascii="Times New Roman" w:hAnsi="Times New Roman"/>
          <w:sz w:val="24"/>
          <w:szCs w:val="24"/>
        </w:rPr>
      </w:pPr>
      <w:r>
        <w:rPr>
          <w:rFonts w:ascii="Times New Roman" w:hAnsi="Times New Roman"/>
          <w:sz w:val="24"/>
          <w:szCs w:val="24"/>
        </w:rPr>
        <w:t>Population: IN inpatients, O outpatiens</w:t>
      </w:r>
    </w:p>
    <w:p w14:paraId="64CD1CE6" w14:textId="77777777" w:rsidR="00D3535C" w:rsidRDefault="00D3535C" w:rsidP="00D3535C">
      <w:pPr>
        <w:spacing w:after="0" w:line="480" w:lineRule="auto"/>
        <w:jc w:val="both"/>
        <w:rPr>
          <w:rFonts w:ascii="Times New Roman" w:hAnsi="Times New Roman"/>
          <w:sz w:val="24"/>
          <w:szCs w:val="24"/>
        </w:rPr>
      </w:pPr>
      <w:r>
        <w:rPr>
          <w:rFonts w:ascii="Times New Roman" w:hAnsi="Times New Roman"/>
          <w:sz w:val="24"/>
          <w:szCs w:val="24"/>
        </w:rPr>
        <w:t xml:space="preserve">Recruitment: S systematic NS non systematic, RCT </w:t>
      </w:r>
      <w:r w:rsidRPr="00EA2AD0">
        <w:rPr>
          <w:rFonts w:ascii="Times New Roman" w:hAnsi="Times New Roman"/>
          <w:sz w:val="24"/>
          <w:szCs w:val="24"/>
        </w:rPr>
        <w:t>randomized controlled trials</w:t>
      </w:r>
    </w:p>
    <w:p w14:paraId="2BDA8B2F" w14:textId="77777777" w:rsidR="00D3535C" w:rsidRDefault="00D3535C" w:rsidP="00D3535C">
      <w:pPr>
        <w:spacing w:after="0" w:line="480" w:lineRule="auto"/>
        <w:jc w:val="both"/>
        <w:rPr>
          <w:rFonts w:ascii="Times New Roman" w:hAnsi="Times New Roman"/>
          <w:sz w:val="24"/>
          <w:szCs w:val="24"/>
        </w:rPr>
      </w:pPr>
      <w:r>
        <w:rPr>
          <w:rFonts w:ascii="Times New Roman" w:hAnsi="Times New Roman"/>
          <w:sz w:val="24"/>
          <w:szCs w:val="24"/>
        </w:rPr>
        <w:t>Time window: LT lifetime, C current</w:t>
      </w:r>
    </w:p>
    <w:p w14:paraId="7A1A4590" w14:textId="77777777" w:rsidR="00D3535C" w:rsidRPr="00EA2AD0" w:rsidRDefault="00D3535C" w:rsidP="00D3535C">
      <w:pPr>
        <w:spacing w:after="0" w:line="480" w:lineRule="auto"/>
        <w:jc w:val="both"/>
        <w:rPr>
          <w:rFonts w:ascii="Times New Roman" w:hAnsi="Times New Roman"/>
          <w:sz w:val="24"/>
          <w:szCs w:val="24"/>
        </w:rPr>
      </w:pPr>
      <w:r>
        <w:rPr>
          <w:rFonts w:ascii="Times New Roman" w:hAnsi="Times New Roman"/>
          <w:sz w:val="24"/>
          <w:szCs w:val="24"/>
        </w:rPr>
        <w:t xml:space="preserve">Primary diagnosis: </w:t>
      </w:r>
      <w:r w:rsidRPr="00EA2AD0">
        <w:rPr>
          <w:rFonts w:ascii="Times New Roman" w:hAnsi="Times New Roman"/>
          <w:sz w:val="24"/>
          <w:szCs w:val="24"/>
        </w:rPr>
        <w:t>BD: bipolar disorder, BD-I: Bipolar I disorder, BD-II: bipolar II disorder</w:t>
      </w:r>
      <w:r>
        <w:rPr>
          <w:rFonts w:ascii="Times New Roman" w:hAnsi="Times New Roman"/>
          <w:sz w:val="24"/>
          <w:szCs w:val="24"/>
        </w:rPr>
        <w:t>, BD-NOS: bipolar disorder not otherwise specified</w:t>
      </w:r>
    </w:p>
    <w:p w14:paraId="5CEBAE0E" w14:textId="77777777" w:rsidR="00D3535C" w:rsidRPr="00EA2AD0" w:rsidRDefault="00D3535C" w:rsidP="00D3535C">
      <w:pPr>
        <w:spacing w:after="0" w:line="480" w:lineRule="auto"/>
        <w:jc w:val="both"/>
        <w:rPr>
          <w:rFonts w:ascii="Times New Roman" w:hAnsi="Times New Roman"/>
          <w:sz w:val="24"/>
          <w:szCs w:val="24"/>
        </w:rPr>
      </w:pPr>
      <w:r>
        <w:rPr>
          <w:rFonts w:ascii="Times New Roman" w:hAnsi="Times New Roman"/>
          <w:sz w:val="24"/>
          <w:szCs w:val="24"/>
        </w:rPr>
        <w:t xml:space="preserve">Diagnostic instrument: </w:t>
      </w:r>
      <w:r w:rsidRPr="00EA2AD0">
        <w:rPr>
          <w:rFonts w:ascii="Times New Roman" w:hAnsi="Times New Roman"/>
          <w:sz w:val="24"/>
          <w:szCs w:val="24"/>
        </w:rPr>
        <w:t>ADE: affective disorder evaluation</w:t>
      </w:r>
      <w:r>
        <w:rPr>
          <w:rFonts w:ascii="Times New Roman" w:hAnsi="Times New Roman"/>
          <w:sz w:val="24"/>
          <w:szCs w:val="24"/>
        </w:rPr>
        <w:t xml:space="preserve">; </w:t>
      </w:r>
      <w:r w:rsidRPr="00EA2AD0">
        <w:rPr>
          <w:rFonts w:ascii="Times New Roman" w:hAnsi="Times New Roman"/>
          <w:sz w:val="24"/>
          <w:szCs w:val="24"/>
        </w:rPr>
        <w:t>DIGS: Diagnostic interview for genetic studies</w:t>
      </w:r>
      <w:r>
        <w:rPr>
          <w:rFonts w:ascii="Times New Roman" w:hAnsi="Times New Roman"/>
          <w:sz w:val="24"/>
          <w:szCs w:val="24"/>
        </w:rPr>
        <w:t xml:space="preserve">; </w:t>
      </w:r>
      <w:r w:rsidRPr="00EA2AD0">
        <w:rPr>
          <w:rFonts w:ascii="Times New Roman" w:hAnsi="Times New Roman"/>
          <w:sz w:val="24"/>
          <w:szCs w:val="24"/>
        </w:rPr>
        <w:t>DIP: diagnostic interview for psychosis</w:t>
      </w:r>
      <w:r>
        <w:rPr>
          <w:rFonts w:ascii="Times New Roman" w:hAnsi="Times New Roman"/>
          <w:sz w:val="24"/>
          <w:szCs w:val="24"/>
        </w:rPr>
        <w:t xml:space="preserve">; </w:t>
      </w:r>
      <w:r w:rsidRPr="00EA2AD0">
        <w:rPr>
          <w:rFonts w:ascii="Times New Roman" w:hAnsi="Times New Roman"/>
          <w:sz w:val="24"/>
          <w:szCs w:val="24"/>
        </w:rPr>
        <w:t>IEF: initial evaluation form</w:t>
      </w:r>
      <w:r>
        <w:rPr>
          <w:rFonts w:ascii="Times New Roman" w:hAnsi="Times New Roman"/>
          <w:sz w:val="24"/>
          <w:szCs w:val="24"/>
        </w:rPr>
        <w:t xml:space="preserve">; </w:t>
      </w:r>
      <w:r w:rsidRPr="00EA2AD0">
        <w:rPr>
          <w:rFonts w:ascii="Times New Roman" w:hAnsi="Times New Roman"/>
          <w:sz w:val="24"/>
          <w:szCs w:val="24"/>
        </w:rPr>
        <w:t xml:space="preserve">PDA: psychiatrist </w:t>
      </w:r>
      <w:r>
        <w:rPr>
          <w:rFonts w:ascii="Times New Roman" w:hAnsi="Times New Roman"/>
          <w:sz w:val="24"/>
          <w:szCs w:val="24"/>
        </w:rPr>
        <w:t xml:space="preserve">diagnostic assessment; </w:t>
      </w:r>
      <w:r w:rsidRPr="00EA2AD0">
        <w:rPr>
          <w:rFonts w:ascii="Times New Roman" w:hAnsi="Times New Roman"/>
          <w:sz w:val="24"/>
          <w:szCs w:val="24"/>
        </w:rPr>
        <w:t>SCI-SUBS: structured clinical interview for the spectrum of substance use</w:t>
      </w:r>
      <w:r>
        <w:rPr>
          <w:rFonts w:ascii="Times New Roman" w:hAnsi="Times New Roman"/>
          <w:sz w:val="24"/>
          <w:szCs w:val="24"/>
        </w:rPr>
        <w:t xml:space="preserve">; SCID: </w:t>
      </w:r>
      <w:r w:rsidRPr="00D0295F">
        <w:rPr>
          <w:rFonts w:ascii="Times New Roman" w:hAnsi="Times New Roman"/>
          <w:sz w:val="24"/>
          <w:szCs w:val="24"/>
        </w:rPr>
        <w:t>Structured Clinical Interview for DSM-IV</w:t>
      </w:r>
    </w:p>
    <w:p w14:paraId="58813BF5" w14:textId="77777777" w:rsidR="00D3535C" w:rsidRDefault="00D3535C" w:rsidP="00D3535C">
      <w:pPr>
        <w:spacing w:after="0" w:line="480" w:lineRule="auto"/>
        <w:jc w:val="both"/>
        <w:rPr>
          <w:rFonts w:ascii="Times New Roman" w:hAnsi="Times New Roman"/>
          <w:sz w:val="24"/>
          <w:szCs w:val="24"/>
        </w:rPr>
      </w:pPr>
      <w:r>
        <w:rPr>
          <w:rFonts w:ascii="Times New Roman" w:hAnsi="Times New Roman"/>
          <w:sz w:val="24"/>
          <w:szCs w:val="24"/>
        </w:rPr>
        <w:t xml:space="preserve">Outcome: </w:t>
      </w:r>
      <w:r w:rsidRPr="00EA2AD0">
        <w:rPr>
          <w:rFonts w:ascii="Times New Roman" w:hAnsi="Times New Roman"/>
          <w:sz w:val="24"/>
          <w:szCs w:val="24"/>
        </w:rPr>
        <w:t>AA: alcohol abuse, AD: alcohol dependence, AUD: alcohol use disorders, Alc: alcoholism</w:t>
      </w:r>
    </w:p>
    <w:p w14:paraId="70E5FCEB" w14:textId="77777777" w:rsidR="00D3535C" w:rsidRDefault="00D3535C" w:rsidP="00D3535C">
      <w:pPr>
        <w:spacing w:line="480" w:lineRule="auto"/>
        <w:jc w:val="both"/>
        <w:rPr>
          <w:rFonts w:ascii="Times New Roman" w:hAnsi="Times New Roman"/>
          <w:sz w:val="24"/>
          <w:szCs w:val="24"/>
        </w:rPr>
      </w:pPr>
      <w:r>
        <w:rPr>
          <w:rFonts w:ascii="Times New Roman" w:hAnsi="Times New Roman"/>
          <w:sz w:val="24"/>
          <w:szCs w:val="24"/>
        </w:rPr>
        <w:t>NA information not available</w:t>
      </w:r>
    </w:p>
    <w:p w14:paraId="4224B82F" w14:textId="77777777" w:rsidR="00D3535C" w:rsidRDefault="00D3535C" w:rsidP="00D3535C">
      <w:pPr>
        <w:spacing w:line="480" w:lineRule="auto"/>
        <w:jc w:val="both"/>
        <w:rPr>
          <w:rFonts w:ascii="Times New Roman" w:hAnsi="Times New Roman"/>
          <w:sz w:val="24"/>
          <w:szCs w:val="24"/>
        </w:rPr>
        <w:sectPr w:rsidR="00D3535C" w:rsidSect="000E71F2">
          <w:pgSz w:w="16838" w:h="11906" w:orient="landscape"/>
          <w:pgMar w:top="1134" w:right="1417" w:bottom="1134" w:left="1134" w:header="708" w:footer="708" w:gutter="0"/>
          <w:cols w:space="708"/>
          <w:docGrid w:linePitch="360"/>
        </w:sectPr>
      </w:pPr>
    </w:p>
    <w:p w14:paraId="15BAC3CF" w14:textId="77777777" w:rsidR="00D3535C" w:rsidRDefault="00D3535C" w:rsidP="00D3535C">
      <w:pPr>
        <w:spacing w:line="480" w:lineRule="auto"/>
        <w:jc w:val="both"/>
        <w:rPr>
          <w:rFonts w:ascii="Times New Roman" w:hAnsi="Times New Roman"/>
          <w:color w:val="191919"/>
          <w:sz w:val="24"/>
          <w:szCs w:val="24"/>
          <w:lang w:val="en-US"/>
        </w:rPr>
      </w:pPr>
      <w:r>
        <w:rPr>
          <w:rFonts w:ascii="Times New Roman" w:hAnsi="Times New Roman"/>
          <w:b/>
          <w:sz w:val="24"/>
          <w:szCs w:val="24"/>
        </w:rPr>
        <w:t>S4</w:t>
      </w:r>
      <w:r>
        <w:rPr>
          <w:rFonts w:ascii="Times New Roman" w:hAnsi="Times New Roman"/>
          <w:color w:val="191919"/>
          <w:sz w:val="24"/>
          <w:szCs w:val="24"/>
          <w:lang w:val="en-US"/>
        </w:rPr>
        <w:t xml:space="preserve"> </w:t>
      </w:r>
    </w:p>
    <w:p w14:paraId="38F6A2C8" w14:textId="77777777" w:rsidR="00D3535C" w:rsidRDefault="00D3535C" w:rsidP="00D3535C">
      <w:pPr>
        <w:spacing w:line="480" w:lineRule="auto"/>
        <w:jc w:val="both"/>
        <w:rPr>
          <w:rFonts w:ascii="Times New Roman" w:hAnsi="Times New Roman"/>
          <w:b/>
          <w:sz w:val="24"/>
          <w:szCs w:val="24"/>
        </w:rPr>
      </w:pPr>
      <w:r w:rsidRPr="000E71F2">
        <w:rPr>
          <w:rFonts w:ascii="Times New Roman" w:hAnsi="Times New Roman"/>
          <w:b/>
          <w:color w:val="191919"/>
          <w:sz w:val="24"/>
          <w:szCs w:val="24"/>
          <w:lang w:val="en-US"/>
        </w:rPr>
        <w:t>Figure S4</w:t>
      </w:r>
      <w:r>
        <w:rPr>
          <w:rFonts w:ascii="Times New Roman" w:hAnsi="Times New Roman"/>
          <w:color w:val="191919"/>
          <w:sz w:val="24"/>
          <w:szCs w:val="24"/>
          <w:lang w:val="en-US"/>
        </w:rPr>
        <w:t xml:space="preserve"> Part A </w:t>
      </w:r>
      <w:r w:rsidRPr="00863405">
        <w:rPr>
          <w:rFonts w:ascii="Times New Roman" w:hAnsi="Times New Roman"/>
          <w:color w:val="191919"/>
          <w:sz w:val="24"/>
          <w:szCs w:val="24"/>
          <w:lang w:val="en-US"/>
        </w:rPr>
        <w:t>Freeman-Tukey double arcsine transformed proportions</w:t>
      </w:r>
      <w:r>
        <w:rPr>
          <w:rFonts w:ascii="Times New Roman" w:hAnsi="Times New Roman"/>
          <w:color w:val="191919"/>
          <w:sz w:val="24"/>
          <w:szCs w:val="24"/>
          <w:lang w:val="en-US"/>
        </w:rPr>
        <w:t xml:space="preserve"> of lifetime AUD among clinical populations (N=31), according to geographical location are included. Part B Gender ratio among participants by geographical location. Gender ratio is here presented as the logarithm of the number of male participants divided by the number of female participants. Information on gender was provided in 20 studies. Part C. </w:t>
      </w:r>
      <w:r w:rsidRPr="00863405">
        <w:rPr>
          <w:rFonts w:ascii="Times New Roman" w:hAnsi="Times New Roman"/>
          <w:color w:val="191919"/>
          <w:sz w:val="24"/>
          <w:szCs w:val="24"/>
          <w:lang w:val="en-US"/>
        </w:rPr>
        <w:t>Freeman-Tukey double arcsine transformed proportions</w:t>
      </w:r>
      <w:r>
        <w:rPr>
          <w:rFonts w:ascii="Times New Roman" w:hAnsi="Times New Roman"/>
          <w:color w:val="191919"/>
          <w:sz w:val="24"/>
          <w:szCs w:val="24"/>
          <w:lang w:val="en-US"/>
        </w:rPr>
        <w:t xml:space="preserve"> of lifetime AUD among clinical populations, according to geographical location, only studies with a gender ratio arbitrarily chosen between 0.5-2 are included (N=17). </w:t>
      </w:r>
    </w:p>
    <w:p w14:paraId="68CFB08A" w14:textId="77777777" w:rsidR="00D3535C" w:rsidRDefault="00D3535C" w:rsidP="00D3535C">
      <w:pPr>
        <w:spacing w:line="480" w:lineRule="auto"/>
        <w:jc w:val="both"/>
        <w:rPr>
          <w:rFonts w:ascii="Times New Roman" w:hAnsi="Times New Roman"/>
          <w:b/>
          <w:sz w:val="24"/>
          <w:szCs w:val="24"/>
        </w:rPr>
      </w:pPr>
      <w:r>
        <w:rPr>
          <w:rFonts w:ascii="Times New Roman" w:hAnsi="Times New Roman"/>
          <w:b/>
          <w:sz w:val="24"/>
          <w:szCs w:val="24"/>
        </w:rPr>
        <w:t>Part A</w:t>
      </w:r>
    </w:p>
    <w:p w14:paraId="02B48ED4" w14:textId="77777777" w:rsidR="00D3535C" w:rsidRDefault="00D3535C" w:rsidP="00D3535C">
      <w:pPr>
        <w:spacing w:line="48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4F9A1667" wp14:editId="655A574A">
            <wp:extent cx="6121400" cy="3263900"/>
            <wp:effectExtent l="0" t="0" r="0" b="0"/>
            <wp:docPr id="2" name="Picture 2" descr="AL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63D815AF" w14:textId="77777777" w:rsidR="00D3535C" w:rsidRDefault="00D3535C" w:rsidP="00D3535C">
      <w:pPr>
        <w:spacing w:line="480" w:lineRule="auto"/>
        <w:jc w:val="both"/>
        <w:rPr>
          <w:rFonts w:ascii="Times New Roman" w:hAnsi="Times New Roman"/>
          <w:b/>
          <w:sz w:val="24"/>
          <w:szCs w:val="24"/>
        </w:rPr>
      </w:pPr>
      <w:r>
        <w:rPr>
          <w:rFonts w:ascii="Times New Roman" w:hAnsi="Times New Roman"/>
          <w:b/>
          <w:sz w:val="24"/>
          <w:szCs w:val="24"/>
        </w:rPr>
        <w:t>Part B</w:t>
      </w:r>
    </w:p>
    <w:p w14:paraId="73C4BD08" w14:textId="77777777" w:rsidR="00D3535C" w:rsidRDefault="00D3535C" w:rsidP="00D3535C">
      <w:pPr>
        <w:spacing w:line="48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55D3B070" wp14:editId="35248A83">
            <wp:extent cx="6121400" cy="3225800"/>
            <wp:effectExtent l="0" t="0" r="0" b="0"/>
            <wp:docPr id="3" name="Picture 3" descr="SEX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XRAT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3225800"/>
                    </a:xfrm>
                    <a:prstGeom prst="rect">
                      <a:avLst/>
                    </a:prstGeom>
                    <a:noFill/>
                    <a:ln>
                      <a:noFill/>
                    </a:ln>
                  </pic:spPr>
                </pic:pic>
              </a:graphicData>
            </a:graphic>
          </wp:inline>
        </w:drawing>
      </w:r>
    </w:p>
    <w:p w14:paraId="5D94C04F" w14:textId="77777777" w:rsidR="00D3535C" w:rsidRDefault="00D3535C" w:rsidP="00D3535C">
      <w:pPr>
        <w:spacing w:line="480" w:lineRule="auto"/>
        <w:jc w:val="both"/>
        <w:rPr>
          <w:rFonts w:ascii="Times New Roman" w:hAnsi="Times New Roman"/>
          <w:b/>
          <w:sz w:val="24"/>
          <w:szCs w:val="24"/>
        </w:rPr>
      </w:pPr>
      <w:r>
        <w:rPr>
          <w:rFonts w:ascii="Times New Roman" w:hAnsi="Times New Roman"/>
          <w:b/>
          <w:sz w:val="24"/>
          <w:szCs w:val="24"/>
        </w:rPr>
        <w:t>Part C</w:t>
      </w:r>
    </w:p>
    <w:p w14:paraId="2EA27FD3" w14:textId="77777777" w:rsidR="00D3535C" w:rsidRPr="00FD543A" w:rsidRDefault="00D3535C" w:rsidP="00D3535C">
      <w:pPr>
        <w:spacing w:line="48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55E2848D" wp14:editId="6E040191">
            <wp:extent cx="6121400" cy="3251200"/>
            <wp:effectExtent l="0" t="0" r="0" b="0"/>
            <wp:docPr id="4" name="Picture 4" descr="ALCMAP, GENDER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CMAP, GENDER RAT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2B0E956C" w14:textId="77777777" w:rsidR="00D3535C" w:rsidRDefault="00D3535C" w:rsidP="00D3535C">
      <w:pPr>
        <w:spacing w:line="480" w:lineRule="auto"/>
        <w:jc w:val="both"/>
        <w:rPr>
          <w:rFonts w:ascii="Times New Roman" w:hAnsi="Times New Roman"/>
          <w:sz w:val="24"/>
          <w:szCs w:val="24"/>
        </w:rPr>
        <w:sectPr w:rsidR="00D3535C" w:rsidSect="003E5AC8">
          <w:pgSz w:w="11906" w:h="16838"/>
          <w:pgMar w:top="1417" w:right="1134" w:bottom="1134" w:left="1134" w:header="708" w:footer="708" w:gutter="0"/>
          <w:cols w:space="708"/>
          <w:docGrid w:linePitch="360"/>
        </w:sectPr>
      </w:pPr>
    </w:p>
    <w:p w14:paraId="69872CEB" w14:textId="77777777" w:rsidR="00D3535C" w:rsidRPr="000E71F2" w:rsidRDefault="00D3535C" w:rsidP="00D3535C">
      <w:pPr>
        <w:spacing w:line="480" w:lineRule="auto"/>
        <w:jc w:val="both"/>
        <w:rPr>
          <w:rFonts w:ascii="Times New Roman" w:hAnsi="Times New Roman"/>
          <w:b/>
          <w:sz w:val="24"/>
          <w:szCs w:val="24"/>
        </w:rPr>
      </w:pPr>
      <w:r w:rsidRPr="000E71F2">
        <w:rPr>
          <w:rFonts w:ascii="Times New Roman" w:hAnsi="Times New Roman"/>
          <w:b/>
          <w:sz w:val="24"/>
          <w:szCs w:val="24"/>
        </w:rPr>
        <w:t>S5   Figure S5</w:t>
      </w:r>
    </w:p>
    <w:p w14:paraId="01D327AA" w14:textId="77777777" w:rsidR="00D3535C" w:rsidRDefault="00D3535C" w:rsidP="00D3535C">
      <w:pPr>
        <w:spacing w:line="480" w:lineRule="auto"/>
        <w:jc w:val="both"/>
        <w:rPr>
          <w:rFonts w:ascii="Times New Roman" w:hAnsi="Times New Roman"/>
          <w:sz w:val="24"/>
          <w:szCs w:val="24"/>
        </w:rPr>
      </w:pPr>
      <w:r>
        <w:rPr>
          <w:rFonts w:ascii="Times New Roman" w:hAnsi="Times New Roman"/>
          <w:sz w:val="24"/>
          <w:szCs w:val="24"/>
        </w:rPr>
        <w:t xml:space="preserve">Lack of effect of secular trends on comorbidity of alcohol use disorders in clinical studies on bipolar disorder. Only studies reporting the years in which the data were gathered were included (N=15). The proportion of participants affected is expressed as the </w:t>
      </w:r>
      <w:r w:rsidRPr="00863405">
        <w:rPr>
          <w:rFonts w:ascii="Times New Roman" w:hAnsi="Times New Roman"/>
          <w:color w:val="191919"/>
          <w:sz w:val="24"/>
          <w:szCs w:val="24"/>
          <w:lang w:val="en-US"/>
        </w:rPr>
        <w:t>Freeman-Tukey double arcsine transformed proportions</w:t>
      </w:r>
      <w:r>
        <w:rPr>
          <w:rFonts w:ascii="Times New Roman" w:hAnsi="Times New Roman"/>
          <w:color w:val="191919"/>
          <w:sz w:val="24"/>
          <w:szCs w:val="24"/>
          <w:lang w:val="en-US"/>
        </w:rPr>
        <w:t xml:space="preserve"> of participants with BD affected by lifetime AUD.</w:t>
      </w:r>
    </w:p>
    <w:p w14:paraId="1CA554A4" w14:textId="77777777" w:rsidR="00D3535C" w:rsidRPr="00750185" w:rsidRDefault="00D3535C" w:rsidP="00D3535C">
      <w:pPr>
        <w:spacing w:line="480" w:lineRule="auto"/>
        <w:jc w:val="both"/>
        <w:rPr>
          <w:rFonts w:ascii="Times New Roman" w:hAnsi="Times New Roman"/>
          <w:sz w:val="24"/>
          <w:szCs w:val="24"/>
        </w:rPr>
        <w:sectPr w:rsidR="00D3535C" w:rsidRPr="00750185" w:rsidSect="003E5AC8">
          <w:pgSz w:w="11906" w:h="16838"/>
          <w:pgMar w:top="1417" w:right="1134" w:bottom="1134" w:left="1134" w:header="708" w:footer="708" w:gutter="0"/>
          <w:cols w:space="708"/>
          <w:docGrid w:linePitch="360"/>
        </w:sectPr>
      </w:pPr>
      <w:r>
        <w:rPr>
          <w:rFonts w:ascii="Times New Roman" w:hAnsi="Times New Roman"/>
          <w:sz w:val="24"/>
          <w:szCs w:val="24"/>
        </w:rPr>
        <w:t xml:space="preserve"> </w:t>
      </w:r>
      <w:r>
        <w:rPr>
          <w:rFonts w:ascii="Times New Roman" w:hAnsi="Times New Roman"/>
          <w:noProof/>
          <w:sz w:val="24"/>
          <w:szCs w:val="24"/>
          <w:lang w:val="en-US"/>
        </w:rPr>
        <w:drawing>
          <wp:inline distT="0" distB="0" distL="0" distR="0" wp14:anchorId="2ABD0A8B" wp14:editId="314A3B82">
            <wp:extent cx="6121400" cy="3238500"/>
            <wp:effectExtent l="0" t="0" r="0" b="0"/>
            <wp:docPr id="1" name="Picture 1" descr="SECULARTREND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LARTRENDS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3238500"/>
                    </a:xfrm>
                    <a:prstGeom prst="rect">
                      <a:avLst/>
                    </a:prstGeom>
                    <a:noFill/>
                    <a:ln>
                      <a:noFill/>
                    </a:ln>
                  </pic:spPr>
                </pic:pic>
              </a:graphicData>
            </a:graphic>
          </wp:inline>
        </w:drawing>
      </w:r>
    </w:p>
    <w:p w14:paraId="0DACCDAF" w14:textId="77777777" w:rsidR="00D85017" w:rsidRDefault="00D85017"/>
    <w:sectPr w:rsidR="00D85017" w:rsidSect="004B46E3">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1065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CB5314"/>
    <w:multiLevelType w:val="hybridMultilevel"/>
    <w:tmpl w:val="212C0B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0407F74"/>
    <w:multiLevelType w:val="hybridMultilevel"/>
    <w:tmpl w:val="9950F80E"/>
    <w:lvl w:ilvl="0" w:tplc="8B081E2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14732"/>
    <w:multiLevelType w:val="hybridMultilevel"/>
    <w:tmpl w:val="6D3C16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78E19B9"/>
    <w:multiLevelType w:val="hybridMultilevel"/>
    <w:tmpl w:val="CF3A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DD4F65"/>
    <w:multiLevelType w:val="hybridMultilevel"/>
    <w:tmpl w:val="21F86A56"/>
    <w:lvl w:ilvl="0" w:tplc="352A054A">
      <w:start w:val="4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7951D5"/>
    <w:multiLevelType w:val="hybridMultilevel"/>
    <w:tmpl w:val="212C0B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37D11614"/>
    <w:multiLevelType w:val="hybridMultilevel"/>
    <w:tmpl w:val="80E40F58"/>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427A7CDB"/>
    <w:multiLevelType w:val="hybridMultilevel"/>
    <w:tmpl w:val="7F9C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91AC9"/>
    <w:multiLevelType w:val="hybridMultilevel"/>
    <w:tmpl w:val="309888B8"/>
    <w:lvl w:ilvl="0" w:tplc="F10EE5BC">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nsid w:val="5C0F6F57"/>
    <w:multiLevelType w:val="hybridMultilevel"/>
    <w:tmpl w:val="5F803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F2E455B"/>
    <w:multiLevelType w:val="hybridMultilevel"/>
    <w:tmpl w:val="B51099B0"/>
    <w:lvl w:ilvl="0" w:tplc="B6C069B4">
      <w:start w:val="9"/>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7F2041"/>
    <w:multiLevelType w:val="hybridMultilevel"/>
    <w:tmpl w:val="4CA4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9D5AB2"/>
    <w:multiLevelType w:val="hybridMultilevel"/>
    <w:tmpl w:val="4B0463C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6DC27088"/>
    <w:multiLevelType w:val="hybridMultilevel"/>
    <w:tmpl w:val="C9C6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853B69"/>
    <w:multiLevelType w:val="hybridMultilevel"/>
    <w:tmpl w:val="881AD9D8"/>
    <w:lvl w:ilvl="0" w:tplc="F42E0AE6">
      <w:start w:val="4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28510C"/>
    <w:multiLevelType w:val="hybridMultilevel"/>
    <w:tmpl w:val="212C0B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7B012E90"/>
    <w:multiLevelType w:val="hybridMultilevel"/>
    <w:tmpl w:val="0ED69708"/>
    <w:lvl w:ilvl="0" w:tplc="0809000F">
      <w:start w:val="1"/>
      <w:numFmt w:val="decimal"/>
      <w:lvlText w:val="%1."/>
      <w:lvlJc w:val="left"/>
      <w:pPr>
        <w:ind w:left="644" w:hanging="360"/>
      </w:pPr>
      <w:rPr>
        <w:rFonts w:cs="Times New Roman"/>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num w:numId="1">
    <w:abstractNumId w:val="6"/>
  </w:num>
  <w:num w:numId="2">
    <w:abstractNumId w:val="17"/>
  </w:num>
  <w:num w:numId="3">
    <w:abstractNumId w:val="10"/>
  </w:num>
  <w:num w:numId="4">
    <w:abstractNumId w:val="1"/>
  </w:num>
  <w:num w:numId="5">
    <w:abstractNumId w:val="16"/>
  </w:num>
  <w:num w:numId="6">
    <w:abstractNumId w:val="9"/>
  </w:num>
  <w:num w:numId="7">
    <w:abstractNumId w:val="3"/>
  </w:num>
  <w:num w:numId="8">
    <w:abstractNumId w:val="5"/>
  </w:num>
  <w:num w:numId="9">
    <w:abstractNumId w:val="15"/>
  </w:num>
  <w:num w:numId="10">
    <w:abstractNumId w:val="11"/>
  </w:num>
  <w:num w:numId="11">
    <w:abstractNumId w:val="13"/>
  </w:num>
  <w:num w:numId="12">
    <w:abstractNumId w:val="7"/>
  </w:num>
  <w:num w:numId="13">
    <w:abstractNumId w:val="0"/>
  </w:num>
  <w:num w:numId="14">
    <w:abstractNumId w:val="12"/>
  </w:num>
  <w:num w:numId="15">
    <w:abstractNumId w:val="8"/>
  </w:num>
  <w:num w:numId="16">
    <w:abstractNumId w:val="14"/>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35C"/>
    <w:rsid w:val="004B46E3"/>
    <w:rsid w:val="009703A2"/>
    <w:rsid w:val="00D3535C"/>
    <w:rsid w:val="00D85017"/>
    <w:rsid w:val="00FF3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3020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67"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4"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19"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35C"/>
    <w:pPr>
      <w:spacing w:after="200"/>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D3535C"/>
    <w:rPr>
      <w:rFonts w:cs="Times New Roman"/>
      <w:sz w:val="16"/>
    </w:rPr>
  </w:style>
  <w:style w:type="paragraph" w:styleId="CommentText">
    <w:name w:val="annotation text"/>
    <w:basedOn w:val="Normal"/>
    <w:link w:val="CommentTextChar"/>
    <w:uiPriority w:val="99"/>
    <w:semiHidden/>
    <w:rsid w:val="00D3535C"/>
    <w:rPr>
      <w:sz w:val="20"/>
      <w:szCs w:val="20"/>
    </w:rPr>
  </w:style>
  <w:style w:type="character" w:customStyle="1" w:styleId="CommentTextChar">
    <w:name w:val="Comment Text Char"/>
    <w:basedOn w:val="DefaultParagraphFont"/>
    <w:link w:val="CommentText"/>
    <w:uiPriority w:val="99"/>
    <w:semiHidden/>
    <w:rsid w:val="00D3535C"/>
    <w:rPr>
      <w:rFonts w:ascii="Calibri" w:eastAsia="Calibri" w:hAnsi="Calibri" w:cs="Times New Roman"/>
      <w:sz w:val="20"/>
      <w:szCs w:val="20"/>
      <w:lang w:val="en-GB"/>
    </w:rPr>
  </w:style>
  <w:style w:type="paragraph" w:styleId="BalloonText">
    <w:name w:val="Balloon Text"/>
    <w:basedOn w:val="Normal"/>
    <w:link w:val="BalloonTextChar"/>
    <w:uiPriority w:val="99"/>
    <w:semiHidden/>
    <w:rsid w:val="00D3535C"/>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D3535C"/>
    <w:rPr>
      <w:rFonts w:ascii="Tahoma" w:eastAsia="Calibri" w:hAnsi="Tahoma" w:cs="Times New Roman"/>
      <w:sz w:val="16"/>
      <w:szCs w:val="16"/>
      <w:lang w:val="en-GB"/>
    </w:rPr>
  </w:style>
  <w:style w:type="paragraph" w:customStyle="1" w:styleId="Paragrafoelenco">
    <w:name w:val="Paragrafo elenco"/>
    <w:basedOn w:val="Normal"/>
    <w:uiPriority w:val="99"/>
    <w:rsid w:val="00D3535C"/>
    <w:pPr>
      <w:ind w:left="720"/>
      <w:contextualSpacing/>
    </w:pPr>
  </w:style>
  <w:style w:type="paragraph" w:styleId="CommentSubject">
    <w:name w:val="annotation subject"/>
    <w:basedOn w:val="CommentText"/>
    <w:next w:val="CommentText"/>
    <w:link w:val="CommentSubjectChar"/>
    <w:uiPriority w:val="99"/>
    <w:semiHidden/>
    <w:rsid w:val="00D3535C"/>
    <w:rPr>
      <w:b/>
      <w:bCs/>
    </w:rPr>
  </w:style>
  <w:style w:type="character" w:customStyle="1" w:styleId="CommentSubjectChar">
    <w:name w:val="Comment Subject Char"/>
    <w:basedOn w:val="CommentTextChar"/>
    <w:link w:val="CommentSubject"/>
    <w:uiPriority w:val="99"/>
    <w:semiHidden/>
    <w:rsid w:val="00D3535C"/>
    <w:rPr>
      <w:rFonts w:ascii="Calibri" w:eastAsia="Calibri" w:hAnsi="Calibri" w:cs="Times New Roman"/>
      <w:b/>
      <w:bCs/>
      <w:sz w:val="20"/>
      <w:szCs w:val="20"/>
      <w:lang w:val="en-GB"/>
    </w:rPr>
  </w:style>
  <w:style w:type="paragraph" w:styleId="ListParagraph">
    <w:name w:val="List Paragraph"/>
    <w:basedOn w:val="Normal"/>
    <w:uiPriority w:val="99"/>
    <w:qFormat/>
    <w:rsid w:val="00D3535C"/>
    <w:pPr>
      <w:ind w:left="720"/>
      <w:contextualSpacing/>
    </w:pPr>
  </w:style>
  <w:style w:type="paragraph" w:styleId="Header">
    <w:name w:val="header"/>
    <w:basedOn w:val="Normal"/>
    <w:link w:val="HeaderChar1"/>
    <w:uiPriority w:val="99"/>
    <w:semiHidden/>
    <w:rsid w:val="00D3535C"/>
    <w:pPr>
      <w:tabs>
        <w:tab w:val="center" w:pos="4513"/>
        <w:tab w:val="right" w:pos="9026"/>
      </w:tabs>
    </w:pPr>
    <w:rPr>
      <w:rFonts w:eastAsia="Times New Roman"/>
      <w:szCs w:val="20"/>
    </w:rPr>
  </w:style>
  <w:style w:type="character" w:customStyle="1" w:styleId="HeaderChar">
    <w:name w:val="Header Char"/>
    <w:basedOn w:val="DefaultParagraphFont"/>
    <w:uiPriority w:val="99"/>
    <w:semiHidden/>
    <w:rsid w:val="00D3535C"/>
    <w:rPr>
      <w:rFonts w:ascii="Calibri" w:eastAsia="Calibri" w:hAnsi="Calibri" w:cs="Times New Roman"/>
      <w:sz w:val="22"/>
      <w:szCs w:val="22"/>
      <w:lang w:val="en-GB"/>
    </w:rPr>
  </w:style>
  <w:style w:type="character" w:customStyle="1" w:styleId="HeaderChar1">
    <w:name w:val="Header Char1"/>
    <w:link w:val="Header"/>
    <w:uiPriority w:val="99"/>
    <w:semiHidden/>
    <w:locked/>
    <w:rsid w:val="00D3535C"/>
    <w:rPr>
      <w:rFonts w:ascii="Calibri" w:eastAsia="Times New Roman" w:hAnsi="Calibri" w:cs="Times New Roman"/>
      <w:sz w:val="22"/>
      <w:szCs w:val="20"/>
      <w:lang w:val="en-GB"/>
    </w:rPr>
  </w:style>
  <w:style w:type="paragraph" w:styleId="Footer">
    <w:name w:val="footer"/>
    <w:basedOn w:val="Normal"/>
    <w:link w:val="FooterChar1"/>
    <w:uiPriority w:val="99"/>
    <w:semiHidden/>
    <w:rsid w:val="00D3535C"/>
    <w:pPr>
      <w:tabs>
        <w:tab w:val="center" w:pos="4513"/>
        <w:tab w:val="right" w:pos="9026"/>
      </w:tabs>
    </w:pPr>
    <w:rPr>
      <w:rFonts w:eastAsia="Times New Roman"/>
      <w:szCs w:val="20"/>
    </w:rPr>
  </w:style>
  <w:style w:type="character" w:customStyle="1" w:styleId="FooterChar">
    <w:name w:val="Footer Char"/>
    <w:basedOn w:val="DefaultParagraphFont"/>
    <w:uiPriority w:val="99"/>
    <w:semiHidden/>
    <w:rsid w:val="00D3535C"/>
    <w:rPr>
      <w:rFonts w:ascii="Calibri" w:eastAsia="Calibri" w:hAnsi="Calibri" w:cs="Times New Roman"/>
      <w:sz w:val="22"/>
      <w:szCs w:val="22"/>
      <w:lang w:val="en-GB"/>
    </w:rPr>
  </w:style>
  <w:style w:type="character" w:customStyle="1" w:styleId="FooterChar1">
    <w:name w:val="Footer Char1"/>
    <w:link w:val="Footer"/>
    <w:uiPriority w:val="99"/>
    <w:semiHidden/>
    <w:locked/>
    <w:rsid w:val="00D3535C"/>
    <w:rPr>
      <w:rFonts w:ascii="Calibri" w:eastAsia="Times New Roman" w:hAnsi="Calibri" w:cs="Times New Roman"/>
      <w:sz w:val="22"/>
      <w:szCs w:val="20"/>
      <w:lang w:val="en-GB"/>
    </w:rPr>
  </w:style>
  <w:style w:type="paragraph" w:styleId="NoSpacing">
    <w:name w:val="No Spacing"/>
    <w:link w:val="NoSpacingChar"/>
    <w:uiPriority w:val="99"/>
    <w:qFormat/>
    <w:rsid w:val="00D3535C"/>
    <w:rPr>
      <w:rFonts w:ascii="Calibri" w:eastAsia="Calibri" w:hAnsi="Calibri" w:cs="Times New Roman"/>
      <w:sz w:val="22"/>
      <w:szCs w:val="22"/>
    </w:rPr>
  </w:style>
  <w:style w:type="character" w:customStyle="1" w:styleId="NoSpacingChar">
    <w:name w:val="No Spacing Char"/>
    <w:link w:val="NoSpacing"/>
    <w:uiPriority w:val="99"/>
    <w:locked/>
    <w:rsid w:val="00D3535C"/>
    <w:rPr>
      <w:rFonts w:ascii="Calibri" w:eastAsia="Calibri" w:hAnsi="Calibri" w:cs="Times New Roman"/>
      <w:sz w:val="22"/>
      <w:szCs w:val="22"/>
    </w:rPr>
  </w:style>
  <w:style w:type="table" w:styleId="LightList">
    <w:name w:val="Light List"/>
    <w:basedOn w:val="TableNormal"/>
    <w:uiPriority w:val="61"/>
    <w:rsid w:val="00D3535C"/>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D353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3535C"/>
  </w:style>
  <w:style w:type="paragraph" w:styleId="Bibliography">
    <w:name w:val="Bibliography"/>
    <w:basedOn w:val="Normal"/>
    <w:next w:val="Normal"/>
    <w:uiPriority w:val="37"/>
    <w:unhideWhenUsed/>
    <w:rsid w:val="00D3535C"/>
    <w:pPr>
      <w:tabs>
        <w:tab w:val="left" w:pos="500"/>
      </w:tabs>
      <w:spacing w:after="0"/>
      <w:ind w:left="720" w:hanging="720"/>
    </w:pPr>
  </w:style>
  <w:style w:type="table" w:styleId="MediumList1-Accent6">
    <w:name w:val="Medium List 1 Accent 6"/>
    <w:basedOn w:val="TableNormal"/>
    <w:uiPriority w:val="19"/>
    <w:qFormat/>
    <w:rsid w:val="00D3535C"/>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ＭＳ ゴシック"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3-Accent5">
    <w:name w:val="Medium Grid 3 Accent 5"/>
    <w:basedOn w:val="TableNormal"/>
    <w:uiPriority w:val="64"/>
    <w:rsid w:val="00D3535C"/>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3">
    <w:name w:val="Colorful List Accent 3"/>
    <w:basedOn w:val="TableNormal"/>
    <w:uiPriority w:val="67"/>
    <w:rsid w:val="00D3535C"/>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List-Accent1">
    <w:name w:val="Light List Accent 1"/>
    <w:basedOn w:val="TableNormal"/>
    <w:uiPriority w:val="66"/>
    <w:rsid w:val="00D3535C"/>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3535C"/>
    <w:rPr>
      <w:color w:val="0000FF"/>
      <w:u w:val="single"/>
    </w:rPr>
  </w:style>
  <w:style w:type="character" w:styleId="FollowedHyperlink">
    <w:name w:val="FollowedHyperlink"/>
    <w:uiPriority w:val="99"/>
    <w:semiHidden/>
    <w:unhideWhenUsed/>
    <w:rsid w:val="00D3535C"/>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6"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67"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4"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19"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35C"/>
    <w:pPr>
      <w:spacing w:after="200"/>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D3535C"/>
    <w:rPr>
      <w:rFonts w:cs="Times New Roman"/>
      <w:sz w:val="16"/>
    </w:rPr>
  </w:style>
  <w:style w:type="paragraph" w:styleId="CommentText">
    <w:name w:val="annotation text"/>
    <w:basedOn w:val="Normal"/>
    <w:link w:val="CommentTextChar"/>
    <w:uiPriority w:val="99"/>
    <w:semiHidden/>
    <w:rsid w:val="00D3535C"/>
    <w:rPr>
      <w:sz w:val="20"/>
      <w:szCs w:val="20"/>
    </w:rPr>
  </w:style>
  <w:style w:type="character" w:customStyle="1" w:styleId="CommentTextChar">
    <w:name w:val="Comment Text Char"/>
    <w:basedOn w:val="DefaultParagraphFont"/>
    <w:link w:val="CommentText"/>
    <w:uiPriority w:val="99"/>
    <w:semiHidden/>
    <w:rsid w:val="00D3535C"/>
    <w:rPr>
      <w:rFonts w:ascii="Calibri" w:eastAsia="Calibri" w:hAnsi="Calibri" w:cs="Times New Roman"/>
      <w:sz w:val="20"/>
      <w:szCs w:val="20"/>
      <w:lang w:val="en-GB"/>
    </w:rPr>
  </w:style>
  <w:style w:type="paragraph" w:styleId="BalloonText">
    <w:name w:val="Balloon Text"/>
    <w:basedOn w:val="Normal"/>
    <w:link w:val="BalloonTextChar"/>
    <w:uiPriority w:val="99"/>
    <w:semiHidden/>
    <w:rsid w:val="00D3535C"/>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D3535C"/>
    <w:rPr>
      <w:rFonts w:ascii="Tahoma" w:eastAsia="Calibri" w:hAnsi="Tahoma" w:cs="Times New Roman"/>
      <w:sz w:val="16"/>
      <w:szCs w:val="16"/>
      <w:lang w:val="en-GB"/>
    </w:rPr>
  </w:style>
  <w:style w:type="paragraph" w:customStyle="1" w:styleId="Paragrafoelenco">
    <w:name w:val="Paragrafo elenco"/>
    <w:basedOn w:val="Normal"/>
    <w:uiPriority w:val="99"/>
    <w:rsid w:val="00D3535C"/>
    <w:pPr>
      <w:ind w:left="720"/>
      <w:contextualSpacing/>
    </w:pPr>
  </w:style>
  <w:style w:type="paragraph" w:styleId="CommentSubject">
    <w:name w:val="annotation subject"/>
    <w:basedOn w:val="CommentText"/>
    <w:next w:val="CommentText"/>
    <w:link w:val="CommentSubjectChar"/>
    <w:uiPriority w:val="99"/>
    <w:semiHidden/>
    <w:rsid w:val="00D3535C"/>
    <w:rPr>
      <w:b/>
      <w:bCs/>
    </w:rPr>
  </w:style>
  <w:style w:type="character" w:customStyle="1" w:styleId="CommentSubjectChar">
    <w:name w:val="Comment Subject Char"/>
    <w:basedOn w:val="CommentTextChar"/>
    <w:link w:val="CommentSubject"/>
    <w:uiPriority w:val="99"/>
    <w:semiHidden/>
    <w:rsid w:val="00D3535C"/>
    <w:rPr>
      <w:rFonts w:ascii="Calibri" w:eastAsia="Calibri" w:hAnsi="Calibri" w:cs="Times New Roman"/>
      <w:b/>
      <w:bCs/>
      <w:sz w:val="20"/>
      <w:szCs w:val="20"/>
      <w:lang w:val="en-GB"/>
    </w:rPr>
  </w:style>
  <w:style w:type="paragraph" w:styleId="ListParagraph">
    <w:name w:val="List Paragraph"/>
    <w:basedOn w:val="Normal"/>
    <w:uiPriority w:val="99"/>
    <w:qFormat/>
    <w:rsid w:val="00D3535C"/>
    <w:pPr>
      <w:ind w:left="720"/>
      <w:contextualSpacing/>
    </w:pPr>
  </w:style>
  <w:style w:type="paragraph" w:styleId="Header">
    <w:name w:val="header"/>
    <w:basedOn w:val="Normal"/>
    <w:link w:val="HeaderChar1"/>
    <w:uiPriority w:val="99"/>
    <w:semiHidden/>
    <w:rsid w:val="00D3535C"/>
    <w:pPr>
      <w:tabs>
        <w:tab w:val="center" w:pos="4513"/>
        <w:tab w:val="right" w:pos="9026"/>
      </w:tabs>
    </w:pPr>
    <w:rPr>
      <w:rFonts w:eastAsia="Times New Roman"/>
      <w:szCs w:val="20"/>
    </w:rPr>
  </w:style>
  <w:style w:type="character" w:customStyle="1" w:styleId="HeaderChar">
    <w:name w:val="Header Char"/>
    <w:basedOn w:val="DefaultParagraphFont"/>
    <w:uiPriority w:val="99"/>
    <w:semiHidden/>
    <w:rsid w:val="00D3535C"/>
    <w:rPr>
      <w:rFonts w:ascii="Calibri" w:eastAsia="Calibri" w:hAnsi="Calibri" w:cs="Times New Roman"/>
      <w:sz w:val="22"/>
      <w:szCs w:val="22"/>
      <w:lang w:val="en-GB"/>
    </w:rPr>
  </w:style>
  <w:style w:type="character" w:customStyle="1" w:styleId="HeaderChar1">
    <w:name w:val="Header Char1"/>
    <w:link w:val="Header"/>
    <w:uiPriority w:val="99"/>
    <w:semiHidden/>
    <w:locked/>
    <w:rsid w:val="00D3535C"/>
    <w:rPr>
      <w:rFonts w:ascii="Calibri" w:eastAsia="Times New Roman" w:hAnsi="Calibri" w:cs="Times New Roman"/>
      <w:sz w:val="22"/>
      <w:szCs w:val="20"/>
      <w:lang w:val="en-GB"/>
    </w:rPr>
  </w:style>
  <w:style w:type="paragraph" w:styleId="Footer">
    <w:name w:val="footer"/>
    <w:basedOn w:val="Normal"/>
    <w:link w:val="FooterChar1"/>
    <w:uiPriority w:val="99"/>
    <w:semiHidden/>
    <w:rsid w:val="00D3535C"/>
    <w:pPr>
      <w:tabs>
        <w:tab w:val="center" w:pos="4513"/>
        <w:tab w:val="right" w:pos="9026"/>
      </w:tabs>
    </w:pPr>
    <w:rPr>
      <w:rFonts w:eastAsia="Times New Roman"/>
      <w:szCs w:val="20"/>
    </w:rPr>
  </w:style>
  <w:style w:type="character" w:customStyle="1" w:styleId="FooterChar">
    <w:name w:val="Footer Char"/>
    <w:basedOn w:val="DefaultParagraphFont"/>
    <w:uiPriority w:val="99"/>
    <w:semiHidden/>
    <w:rsid w:val="00D3535C"/>
    <w:rPr>
      <w:rFonts w:ascii="Calibri" w:eastAsia="Calibri" w:hAnsi="Calibri" w:cs="Times New Roman"/>
      <w:sz w:val="22"/>
      <w:szCs w:val="22"/>
      <w:lang w:val="en-GB"/>
    </w:rPr>
  </w:style>
  <w:style w:type="character" w:customStyle="1" w:styleId="FooterChar1">
    <w:name w:val="Footer Char1"/>
    <w:link w:val="Footer"/>
    <w:uiPriority w:val="99"/>
    <w:semiHidden/>
    <w:locked/>
    <w:rsid w:val="00D3535C"/>
    <w:rPr>
      <w:rFonts w:ascii="Calibri" w:eastAsia="Times New Roman" w:hAnsi="Calibri" w:cs="Times New Roman"/>
      <w:sz w:val="22"/>
      <w:szCs w:val="20"/>
      <w:lang w:val="en-GB"/>
    </w:rPr>
  </w:style>
  <w:style w:type="paragraph" w:styleId="NoSpacing">
    <w:name w:val="No Spacing"/>
    <w:link w:val="NoSpacingChar"/>
    <w:uiPriority w:val="99"/>
    <w:qFormat/>
    <w:rsid w:val="00D3535C"/>
    <w:rPr>
      <w:rFonts w:ascii="Calibri" w:eastAsia="Calibri" w:hAnsi="Calibri" w:cs="Times New Roman"/>
      <w:sz w:val="22"/>
      <w:szCs w:val="22"/>
    </w:rPr>
  </w:style>
  <w:style w:type="character" w:customStyle="1" w:styleId="NoSpacingChar">
    <w:name w:val="No Spacing Char"/>
    <w:link w:val="NoSpacing"/>
    <w:uiPriority w:val="99"/>
    <w:locked/>
    <w:rsid w:val="00D3535C"/>
    <w:rPr>
      <w:rFonts w:ascii="Calibri" w:eastAsia="Calibri" w:hAnsi="Calibri" w:cs="Times New Roman"/>
      <w:sz w:val="22"/>
      <w:szCs w:val="22"/>
    </w:rPr>
  </w:style>
  <w:style w:type="table" w:styleId="LightList">
    <w:name w:val="Light List"/>
    <w:basedOn w:val="TableNormal"/>
    <w:uiPriority w:val="61"/>
    <w:rsid w:val="00D3535C"/>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D3535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3535C"/>
  </w:style>
  <w:style w:type="paragraph" w:styleId="Bibliography">
    <w:name w:val="Bibliography"/>
    <w:basedOn w:val="Normal"/>
    <w:next w:val="Normal"/>
    <w:uiPriority w:val="37"/>
    <w:unhideWhenUsed/>
    <w:rsid w:val="00D3535C"/>
    <w:pPr>
      <w:tabs>
        <w:tab w:val="left" w:pos="500"/>
      </w:tabs>
      <w:spacing w:after="0"/>
      <w:ind w:left="720" w:hanging="720"/>
    </w:pPr>
  </w:style>
  <w:style w:type="table" w:styleId="MediumList1-Accent6">
    <w:name w:val="Medium List 1 Accent 6"/>
    <w:basedOn w:val="TableNormal"/>
    <w:uiPriority w:val="19"/>
    <w:qFormat/>
    <w:rsid w:val="00D3535C"/>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ＭＳ ゴシック"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3-Accent5">
    <w:name w:val="Medium Grid 3 Accent 5"/>
    <w:basedOn w:val="TableNormal"/>
    <w:uiPriority w:val="64"/>
    <w:rsid w:val="00D3535C"/>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3">
    <w:name w:val="Colorful List Accent 3"/>
    <w:basedOn w:val="TableNormal"/>
    <w:uiPriority w:val="67"/>
    <w:rsid w:val="00D3535C"/>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List-Accent1">
    <w:name w:val="Light List Accent 1"/>
    <w:basedOn w:val="TableNormal"/>
    <w:uiPriority w:val="66"/>
    <w:rsid w:val="00D3535C"/>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uiPriority w:val="99"/>
    <w:unhideWhenUsed/>
    <w:rsid w:val="00D3535C"/>
    <w:rPr>
      <w:color w:val="0000FF"/>
      <w:u w:val="single"/>
    </w:rPr>
  </w:style>
  <w:style w:type="character" w:styleId="FollowedHyperlink">
    <w:name w:val="FollowedHyperlink"/>
    <w:uiPriority w:val="99"/>
    <w:semiHidden/>
    <w:unhideWhenUsed/>
    <w:rsid w:val="00D3535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23138</Words>
  <Characters>131891</Characters>
  <Application>Microsoft Macintosh Word</Application>
  <DocSecurity>0</DocSecurity>
  <Lines>1099</Lines>
  <Paragraphs>309</Paragraphs>
  <ScaleCrop>false</ScaleCrop>
  <Company/>
  <LinksUpToDate>false</LinksUpToDate>
  <CharactersWithSpaces>154720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Dory</dc:creator>
  <cp:keywords/>
  <dc:description/>
  <cp:lastModifiedBy>Dory</cp:lastModifiedBy>
  <cp:revision>2</cp:revision>
  <dcterms:created xsi:type="dcterms:W3CDTF">2013-05-30T14:32:00Z</dcterms:created>
  <dcterms:modified xsi:type="dcterms:W3CDTF">2013-05-30T14:32:00Z</dcterms:modified>
</cp:coreProperties>
</file>