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F0" w:rsidRPr="005E1A88" w:rsidRDefault="007D2BA6" w:rsidP="00CF6482">
      <w:pPr>
        <w:spacing w:after="0" w:line="240" w:lineRule="auto"/>
        <w:rPr>
          <w:rFonts w:ascii="Calibri" w:eastAsiaTheme="majorEastAsia" w:hAnsi="Calibri" w:cs="Arial"/>
          <w:b/>
          <w:bCs/>
          <w:smallCaps/>
          <w:sz w:val="56"/>
          <w:szCs w:val="56"/>
          <w:lang w:val="en-US"/>
        </w:rPr>
      </w:pPr>
      <w:bookmarkStart w:id="0" w:name="_GoBack"/>
      <w:bookmarkEnd w:id="0"/>
      <w:r>
        <w:rPr>
          <w:rFonts w:ascii="Calibri" w:eastAsiaTheme="majorEastAsia" w:hAnsi="Calibri" w:cs="Arial"/>
          <w:b/>
          <w:bCs/>
          <w:smallCaps/>
          <w:sz w:val="56"/>
          <w:szCs w:val="56"/>
          <w:lang w:val="en-US"/>
        </w:rPr>
        <w:t>Appendix C</w:t>
      </w:r>
    </w:p>
    <w:p w:rsidR="00285F3F" w:rsidRPr="005E1A88" w:rsidRDefault="004D7F14" w:rsidP="00CF6482">
      <w:pPr>
        <w:spacing w:after="0" w:line="240" w:lineRule="auto"/>
        <w:rPr>
          <w:rFonts w:ascii="Calibri" w:eastAsiaTheme="majorEastAsia" w:hAnsi="Calibri" w:cs="Arial"/>
          <w:b/>
          <w:bCs/>
          <w:smallCaps/>
          <w:sz w:val="56"/>
          <w:szCs w:val="56"/>
          <w:lang w:val="en-US"/>
        </w:rPr>
      </w:pPr>
      <w:r w:rsidRPr="005E1A88">
        <w:rPr>
          <w:rFonts w:ascii="Calibri" w:eastAsiaTheme="majorEastAsia" w:hAnsi="Calibri" w:cs="Arial"/>
          <w:b/>
          <w:bCs/>
          <w:smallCaps/>
          <w:sz w:val="56"/>
          <w:szCs w:val="56"/>
          <w:lang w:val="en-US"/>
        </w:rPr>
        <w:t xml:space="preserve">List of </w:t>
      </w:r>
      <w:r w:rsidR="00285F3F" w:rsidRPr="005E1A88">
        <w:rPr>
          <w:rFonts w:ascii="Calibri" w:eastAsiaTheme="majorEastAsia" w:hAnsi="Calibri" w:cs="Arial"/>
          <w:b/>
          <w:bCs/>
          <w:smallCaps/>
          <w:sz w:val="56"/>
          <w:szCs w:val="56"/>
          <w:lang w:val="en-US"/>
        </w:rPr>
        <w:t>extracted variables</w:t>
      </w:r>
    </w:p>
    <w:p w:rsidR="005E1A88" w:rsidRPr="005E1A88" w:rsidRDefault="005E1A88" w:rsidP="00CF6482">
      <w:pPr>
        <w:spacing w:after="0" w:line="240" w:lineRule="auto"/>
        <w:rPr>
          <w:rFonts w:ascii="Calibri" w:eastAsiaTheme="majorEastAsia" w:hAnsi="Calibri" w:cs="Arial"/>
          <w:b/>
          <w:bCs/>
          <w:smallCaps/>
          <w:sz w:val="6"/>
          <w:szCs w:val="56"/>
          <w:lang w:val="en-US"/>
        </w:rPr>
      </w:pPr>
    </w:p>
    <w:tbl>
      <w:tblPr>
        <w:tblW w:w="6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2"/>
      </w:tblGrid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% of women in sample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Additional interventions (e. g. lecture, leaflet)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Age of participants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Age of people depicted in video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Allocation of participants to intervention and control group(s)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Comparison of outcomes before and after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 xml:space="preserve">Control group 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 xml:space="preserve">Country 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Description of population at follow-up(s)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Description of video in the article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Differences between experimental and control group(s)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Discussion after video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Effect of video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Identical tools used in all measurements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Language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Length of video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Level of education and type of school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Limitations of the study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Main topics covered in video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N of participants in control group(s)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N of participants in intervention group(s)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Outcomes (e. g. scales)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Outcomes related to attitudes towards people with mental illness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Outcomes related to behavior towards people with mental illness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Outcomes related to knowledge about mental illness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Reference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Response rate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Response rate at follow-up(s)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Selection of participants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Selection of school(s)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Strategy to deal with withdrawals from the study at follow-up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Strategy to enhance response rate at follow-up(s)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Study design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Timing of 1. follow-up after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Timing of 2. follow-up after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Timing of measurement before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Timing of measurements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Timing of other follow-up(s) after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Title of the video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Type of illness depicted in video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Type of video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Who speaks in video intervention</w:t>
            </w:r>
          </w:p>
        </w:tc>
      </w:tr>
      <w:tr w:rsidR="005E1A88" w:rsidRPr="005E1A88" w:rsidTr="005E1A88">
        <w:trPr>
          <w:trHeight w:val="288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88" w:rsidRPr="005E1A88" w:rsidRDefault="005E1A88" w:rsidP="005E1A8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5E1A88">
              <w:rPr>
                <w:rFonts w:ascii="Calibri" w:eastAsia="Times New Roman" w:hAnsi="Calibri" w:cs="Times New Roman"/>
                <w:lang w:val="en-US" w:eastAsia="cs-CZ"/>
              </w:rPr>
              <w:t>Year of publication</w:t>
            </w:r>
          </w:p>
        </w:tc>
      </w:tr>
    </w:tbl>
    <w:p w:rsidR="00183B28" w:rsidRPr="005E1A88" w:rsidRDefault="00382368" w:rsidP="005E1A88">
      <w:pPr>
        <w:rPr>
          <w:lang w:val="en-US"/>
        </w:rPr>
      </w:pPr>
    </w:p>
    <w:sectPr w:rsidR="00183B28" w:rsidRPr="005E1A88" w:rsidSect="005E1A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DAA"/>
    <w:multiLevelType w:val="hybridMultilevel"/>
    <w:tmpl w:val="1D861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D7F14"/>
    <w:rsid w:val="0006083C"/>
    <w:rsid w:val="00285F3F"/>
    <w:rsid w:val="00305CED"/>
    <w:rsid w:val="00382368"/>
    <w:rsid w:val="004D7F14"/>
    <w:rsid w:val="005E1A88"/>
    <w:rsid w:val="00667779"/>
    <w:rsid w:val="006F49A7"/>
    <w:rsid w:val="007D2BA6"/>
    <w:rsid w:val="008935F0"/>
    <w:rsid w:val="00997B9F"/>
    <w:rsid w:val="00C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D7F1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F1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7F14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7F14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D7F1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F1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7F14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7F14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Weissova Aneta</dc:creator>
  <cp:lastModifiedBy>Andrew Fleming</cp:lastModifiedBy>
  <cp:revision>2</cp:revision>
  <dcterms:created xsi:type="dcterms:W3CDTF">2016-11-02T10:55:00Z</dcterms:created>
  <dcterms:modified xsi:type="dcterms:W3CDTF">2016-11-02T10:55:00Z</dcterms:modified>
</cp:coreProperties>
</file>