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02703" w14:textId="77777777" w:rsidR="003D5069" w:rsidRPr="0077769A" w:rsidRDefault="003D5069" w:rsidP="00145DDA">
      <w:pPr>
        <w:contextualSpacing/>
        <w:rPr>
          <w:rFonts w:ascii="Times New Roman" w:hAnsi="Times New Roman" w:cs="Times New Roman"/>
          <w:color w:val="000000" w:themeColor="text1"/>
          <w:szCs w:val="24"/>
        </w:rPr>
      </w:pPr>
      <w:r w:rsidRPr="0077769A">
        <w:rPr>
          <w:rFonts w:ascii="Times New Roman" w:hAnsi="Times New Roman" w:cs="Times New Roman"/>
          <w:b/>
          <w:color w:val="000000" w:themeColor="text1"/>
          <w:szCs w:val="24"/>
        </w:rPr>
        <w:t xml:space="preserve">Supplementary Table 1 </w:t>
      </w:r>
      <w:r w:rsidRPr="0077769A">
        <w:rPr>
          <w:rFonts w:ascii="Times New Roman" w:hAnsi="Times New Roman" w:cs="Times New Roman"/>
          <w:color w:val="000000" w:themeColor="text1"/>
          <w:szCs w:val="24"/>
        </w:rPr>
        <w:t>Validation of estimates extrapolated from 5 years of follow-up and those obtained using the Kaplan-Meier method.</w:t>
      </w:r>
    </w:p>
    <w:tbl>
      <w:tblPr>
        <w:tblW w:w="5000" w:type="pct"/>
        <w:tblLayout w:type="fixed"/>
        <w:tblCellMar>
          <w:left w:w="28" w:type="dxa"/>
          <w:right w:w="28" w:type="dxa"/>
        </w:tblCellMar>
        <w:tblLook w:val="04A0" w:firstRow="1" w:lastRow="0" w:firstColumn="1" w:lastColumn="0" w:noHBand="0" w:noVBand="1"/>
      </w:tblPr>
      <w:tblGrid>
        <w:gridCol w:w="1284"/>
        <w:gridCol w:w="1000"/>
        <w:gridCol w:w="2425"/>
        <w:gridCol w:w="2283"/>
        <w:gridCol w:w="1370"/>
      </w:tblGrid>
      <w:tr w:rsidR="003D5069" w:rsidRPr="0077769A" w14:paraId="4B3108F6" w14:textId="77777777" w:rsidTr="006453CC">
        <w:trPr>
          <w:trHeight w:val="945"/>
        </w:trPr>
        <w:tc>
          <w:tcPr>
            <w:tcW w:w="1366" w:type="pct"/>
            <w:gridSpan w:val="2"/>
            <w:tcBorders>
              <w:top w:val="single" w:sz="8" w:space="0" w:color="auto"/>
              <w:left w:val="nil"/>
              <w:bottom w:val="single" w:sz="4" w:space="0" w:color="auto"/>
              <w:right w:val="nil"/>
            </w:tcBorders>
            <w:shd w:val="clear" w:color="auto" w:fill="auto"/>
            <w:noWrap/>
            <w:vAlign w:val="center"/>
            <w:hideMark/>
          </w:tcPr>
          <w:p w14:paraId="7B859273" w14:textId="77777777" w:rsidR="003D5069" w:rsidRPr="0077769A" w:rsidRDefault="003D5069" w:rsidP="00145DDA">
            <w:pPr>
              <w:widowControl/>
              <w:contextualSpacing/>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 xml:space="preserve">Schizophrenia </w:t>
            </w:r>
          </w:p>
          <w:p w14:paraId="4E50495A" w14:textId="77777777" w:rsidR="003D5069" w:rsidRPr="0077769A" w:rsidRDefault="003D5069" w:rsidP="00145DDA">
            <w:pPr>
              <w:widowControl/>
              <w:contextualSpacing/>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cohort size</w:t>
            </w:r>
          </w:p>
        </w:tc>
        <w:tc>
          <w:tcPr>
            <w:tcW w:w="1450" w:type="pct"/>
            <w:tcBorders>
              <w:top w:val="single" w:sz="8" w:space="0" w:color="auto"/>
              <w:left w:val="nil"/>
              <w:bottom w:val="single" w:sz="4" w:space="0" w:color="auto"/>
              <w:right w:val="nil"/>
            </w:tcBorders>
            <w:shd w:val="clear" w:color="auto" w:fill="auto"/>
            <w:vAlign w:val="center"/>
            <w:hideMark/>
          </w:tcPr>
          <w:p w14:paraId="791ADA08"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9-year (2000–2008) follow-up Kaplan–Meier estimate: mean (SE) months</w:t>
            </w:r>
          </w:p>
        </w:tc>
        <w:tc>
          <w:tcPr>
            <w:tcW w:w="1365" w:type="pct"/>
            <w:tcBorders>
              <w:top w:val="single" w:sz="8" w:space="0" w:color="auto"/>
              <w:left w:val="nil"/>
              <w:bottom w:val="single" w:sz="4" w:space="0" w:color="auto"/>
              <w:right w:val="nil"/>
            </w:tcBorders>
            <w:shd w:val="clear" w:color="auto" w:fill="auto"/>
            <w:vAlign w:val="center"/>
            <w:hideMark/>
          </w:tcPr>
          <w:p w14:paraId="162B6B08" w14:textId="77777777" w:rsidR="003D5069" w:rsidRPr="0077769A" w:rsidRDefault="003D5069" w:rsidP="000005E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Estimate using extrapolation based on the first 5 years of follow-up: mean (SE) months</w:t>
            </w:r>
          </w:p>
        </w:tc>
        <w:tc>
          <w:tcPr>
            <w:tcW w:w="819" w:type="pct"/>
            <w:tcBorders>
              <w:top w:val="single" w:sz="8" w:space="0" w:color="auto"/>
              <w:left w:val="nil"/>
              <w:bottom w:val="single" w:sz="4" w:space="0" w:color="auto"/>
              <w:right w:val="nil"/>
            </w:tcBorders>
            <w:shd w:val="clear" w:color="auto" w:fill="auto"/>
            <w:noWrap/>
            <w:vAlign w:val="center"/>
            <w:hideMark/>
          </w:tcPr>
          <w:p w14:paraId="1AB5CAC8" w14:textId="77777777" w:rsidR="003D5069" w:rsidRPr="0077769A" w:rsidRDefault="003D5069" w:rsidP="00145DDA">
            <w:pPr>
              <w:widowControl/>
              <w:contextualSpacing/>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 xml:space="preserve">Relative </w:t>
            </w:r>
            <w:proofErr w:type="spellStart"/>
            <w:r w:rsidRPr="0077769A">
              <w:rPr>
                <w:rFonts w:ascii="Times New Roman" w:eastAsia="新細明體" w:hAnsi="Times New Roman" w:cs="Times New Roman"/>
                <w:color w:val="000000" w:themeColor="text1"/>
                <w:kern w:val="0"/>
                <w:szCs w:val="24"/>
              </w:rPr>
              <w:t>bias</w:t>
            </w:r>
            <w:r w:rsidRPr="0077769A">
              <w:rPr>
                <w:rFonts w:ascii="Times New Roman" w:eastAsia="新細明體" w:hAnsi="Times New Roman" w:cs="Times New Roman"/>
                <w:color w:val="000000" w:themeColor="text1"/>
                <w:kern w:val="0"/>
                <w:szCs w:val="24"/>
                <w:vertAlign w:val="superscript"/>
              </w:rPr>
              <w:t>a</w:t>
            </w:r>
            <w:proofErr w:type="spellEnd"/>
            <w:r w:rsidRPr="0077769A">
              <w:rPr>
                <w:rFonts w:ascii="Times New Roman" w:eastAsia="新細明體" w:hAnsi="Times New Roman" w:cs="Times New Roman"/>
                <w:color w:val="000000" w:themeColor="text1"/>
                <w:kern w:val="0"/>
                <w:szCs w:val="24"/>
                <w:vertAlign w:val="superscript"/>
              </w:rPr>
              <w:t xml:space="preserve"> </w:t>
            </w:r>
            <w:r w:rsidRPr="0077769A">
              <w:rPr>
                <w:rFonts w:ascii="Times New Roman" w:eastAsia="新細明體" w:hAnsi="Times New Roman" w:cs="Times New Roman"/>
                <w:color w:val="000000" w:themeColor="text1"/>
                <w:kern w:val="0"/>
                <w:szCs w:val="24"/>
              </w:rPr>
              <w:t>(%)</w:t>
            </w:r>
          </w:p>
        </w:tc>
      </w:tr>
      <w:tr w:rsidR="003D5069" w:rsidRPr="0077769A" w14:paraId="2230FEBA" w14:textId="77777777" w:rsidTr="006453CC">
        <w:trPr>
          <w:trHeight w:val="315"/>
        </w:trPr>
        <w:tc>
          <w:tcPr>
            <w:tcW w:w="768" w:type="pct"/>
            <w:tcBorders>
              <w:top w:val="nil"/>
              <w:left w:val="nil"/>
              <w:bottom w:val="nil"/>
              <w:right w:val="nil"/>
            </w:tcBorders>
            <w:shd w:val="clear" w:color="auto" w:fill="auto"/>
            <w:noWrap/>
            <w:vAlign w:val="center"/>
            <w:hideMark/>
          </w:tcPr>
          <w:p w14:paraId="3331A8F3" w14:textId="77777777" w:rsidR="003D5069" w:rsidRPr="0077769A" w:rsidRDefault="003D5069" w:rsidP="00145DDA">
            <w:pPr>
              <w:widowControl/>
              <w:contextualSpacing/>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All patients</w:t>
            </w:r>
          </w:p>
        </w:tc>
        <w:tc>
          <w:tcPr>
            <w:tcW w:w="598" w:type="pct"/>
            <w:tcBorders>
              <w:top w:val="nil"/>
              <w:left w:val="nil"/>
              <w:bottom w:val="nil"/>
              <w:right w:val="nil"/>
            </w:tcBorders>
            <w:shd w:val="clear" w:color="auto" w:fill="auto"/>
            <w:noWrap/>
            <w:vAlign w:val="center"/>
            <w:hideMark/>
          </w:tcPr>
          <w:p w14:paraId="132B351E" w14:textId="77777777" w:rsidR="003D5069" w:rsidRPr="0077769A" w:rsidRDefault="003D5069" w:rsidP="00145DDA">
            <w:pPr>
              <w:widowControl/>
              <w:contextualSpacing/>
              <w:jc w:val="right"/>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42,339</w:t>
            </w:r>
          </w:p>
        </w:tc>
        <w:tc>
          <w:tcPr>
            <w:tcW w:w="1450" w:type="pct"/>
            <w:tcBorders>
              <w:top w:val="nil"/>
              <w:left w:val="nil"/>
              <w:bottom w:val="nil"/>
              <w:right w:val="nil"/>
            </w:tcBorders>
            <w:shd w:val="clear" w:color="auto" w:fill="auto"/>
            <w:noWrap/>
            <w:vAlign w:val="center"/>
            <w:hideMark/>
          </w:tcPr>
          <w:p w14:paraId="7BA17445"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103.98 (0.10)</w:t>
            </w:r>
          </w:p>
        </w:tc>
        <w:tc>
          <w:tcPr>
            <w:tcW w:w="1365" w:type="pct"/>
            <w:tcBorders>
              <w:top w:val="nil"/>
              <w:left w:val="nil"/>
              <w:bottom w:val="nil"/>
              <w:right w:val="nil"/>
            </w:tcBorders>
            <w:shd w:val="clear" w:color="auto" w:fill="auto"/>
            <w:noWrap/>
            <w:vAlign w:val="center"/>
            <w:hideMark/>
          </w:tcPr>
          <w:p w14:paraId="7BF679FE"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103.33 (0.04)</w:t>
            </w:r>
          </w:p>
        </w:tc>
        <w:tc>
          <w:tcPr>
            <w:tcW w:w="819" w:type="pct"/>
            <w:tcBorders>
              <w:top w:val="nil"/>
              <w:left w:val="nil"/>
              <w:bottom w:val="nil"/>
              <w:right w:val="nil"/>
            </w:tcBorders>
            <w:shd w:val="clear" w:color="auto" w:fill="auto"/>
            <w:noWrap/>
            <w:vAlign w:val="center"/>
            <w:hideMark/>
          </w:tcPr>
          <w:p w14:paraId="39B2FA16"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-0.63</w:t>
            </w:r>
          </w:p>
        </w:tc>
      </w:tr>
      <w:tr w:rsidR="003D5069" w:rsidRPr="0077769A" w14:paraId="05165A69" w14:textId="77777777" w:rsidTr="006453CC">
        <w:trPr>
          <w:trHeight w:val="315"/>
        </w:trPr>
        <w:tc>
          <w:tcPr>
            <w:tcW w:w="768" w:type="pct"/>
            <w:tcBorders>
              <w:top w:val="nil"/>
              <w:left w:val="nil"/>
              <w:bottom w:val="nil"/>
              <w:right w:val="nil"/>
            </w:tcBorders>
            <w:shd w:val="clear" w:color="auto" w:fill="auto"/>
            <w:noWrap/>
            <w:vAlign w:val="center"/>
            <w:hideMark/>
          </w:tcPr>
          <w:p w14:paraId="4CA8EC27" w14:textId="77777777" w:rsidR="003D5069" w:rsidRPr="0077769A" w:rsidRDefault="003D5069" w:rsidP="00145DDA">
            <w:pPr>
              <w:widowControl/>
              <w:contextualSpacing/>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Male</w:t>
            </w:r>
          </w:p>
        </w:tc>
        <w:tc>
          <w:tcPr>
            <w:tcW w:w="598" w:type="pct"/>
            <w:tcBorders>
              <w:top w:val="nil"/>
              <w:left w:val="nil"/>
              <w:bottom w:val="nil"/>
              <w:right w:val="nil"/>
            </w:tcBorders>
            <w:shd w:val="clear" w:color="auto" w:fill="auto"/>
            <w:noWrap/>
            <w:vAlign w:val="center"/>
            <w:hideMark/>
          </w:tcPr>
          <w:p w14:paraId="0778720F" w14:textId="77777777" w:rsidR="003D5069" w:rsidRPr="0077769A" w:rsidRDefault="003D5069" w:rsidP="00145DDA">
            <w:pPr>
              <w:widowControl/>
              <w:contextualSpacing/>
              <w:jc w:val="right"/>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23,586</w:t>
            </w:r>
          </w:p>
        </w:tc>
        <w:tc>
          <w:tcPr>
            <w:tcW w:w="1450" w:type="pct"/>
            <w:tcBorders>
              <w:top w:val="nil"/>
              <w:left w:val="nil"/>
              <w:bottom w:val="nil"/>
              <w:right w:val="nil"/>
            </w:tcBorders>
            <w:shd w:val="clear" w:color="auto" w:fill="auto"/>
            <w:noWrap/>
            <w:vAlign w:val="center"/>
            <w:hideMark/>
          </w:tcPr>
          <w:p w14:paraId="32BC4D6A"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103.40 (0.14)</w:t>
            </w:r>
          </w:p>
        </w:tc>
        <w:tc>
          <w:tcPr>
            <w:tcW w:w="1365" w:type="pct"/>
            <w:tcBorders>
              <w:top w:val="nil"/>
              <w:left w:val="nil"/>
              <w:bottom w:val="nil"/>
              <w:right w:val="nil"/>
            </w:tcBorders>
            <w:shd w:val="clear" w:color="auto" w:fill="auto"/>
            <w:noWrap/>
            <w:vAlign w:val="center"/>
            <w:hideMark/>
          </w:tcPr>
          <w:p w14:paraId="7CF2BC89"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102.88 (0.04)</w:t>
            </w:r>
          </w:p>
        </w:tc>
        <w:tc>
          <w:tcPr>
            <w:tcW w:w="819" w:type="pct"/>
            <w:tcBorders>
              <w:top w:val="nil"/>
              <w:left w:val="nil"/>
              <w:bottom w:val="nil"/>
              <w:right w:val="nil"/>
            </w:tcBorders>
            <w:shd w:val="clear" w:color="auto" w:fill="auto"/>
            <w:noWrap/>
            <w:vAlign w:val="center"/>
            <w:hideMark/>
          </w:tcPr>
          <w:p w14:paraId="0737DC98"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-0.50</w:t>
            </w:r>
          </w:p>
        </w:tc>
      </w:tr>
      <w:tr w:rsidR="003D5069" w:rsidRPr="0077769A" w14:paraId="37A29673" w14:textId="77777777" w:rsidTr="006453CC">
        <w:trPr>
          <w:trHeight w:val="330"/>
        </w:trPr>
        <w:tc>
          <w:tcPr>
            <w:tcW w:w="768" w:type="pct"/>
            <w:tcBorders>
              <w:top w:val="nil"/>
              <w:left w:val="nil"/>
              <w:bottom w:val="single" w:sz="8" w:space="0" w:color="auto"/>
              <w:right w:val="nil"/>
            </w:tcBorders>
            <w:shd w:val="clear" w:color="auto" w:fill="auto"/>
            <w:noWrap/>
            <w:vAlign w:val="center"/>
            <w:hideMark/>
          </w:tcPr>
          <w:p w14:paraId="4597218C" w14:textId="77777777" w:rsidR="003D5069" w:rsidRPr="0077769A" w:rsidRDefault="003D5069" w:rsidP="00145DDA">
            <w:pPr>
              <w:widowControl/>
              <w:contextualSpacing/>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Female</w:t>
            </w:r>
          </w:p>
        </w:tc>
        <w:tc>
          <w:tcPr>
            <w:tcW w:w="598" w:type="pct"/>
            <w:tcBorders>
              <w:top w:val="nil"/>
              <w:left w:val="nil"/>
              <w:bottom w:val="single" w:sz="8" w:space="0" w:color="auto"/>
              <w:right w:val="nil"/>
            </w:tcBorders>
            <w:shd w:val="clear" w:color="auto" w:fill="auto"/>
            <w:noWrap/>
            <w:vAlign w:val="center"/>
            <w:hideMark/>
          </w:tcPr>
          <w:p w14:paraId="51EEC290" w14:textId="77777777" w:rsidR="003D5069" w:rsidRPr="0077769A" w:rsidRDefault="003D5069" w:rsidP="00145DDA">
            <w:pPr>
              <w:widowControl/>
              <w:contextualSpacing/>
              <w:jc w:val="right"/>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18,753</w:t>
            </w:r>
          </w:p>
        </w:tc>
        <w:tc>
          <w:tcPr>
            <w:tcW w:w="1450" w:type="pct"/>
            <w:tcBorders>
              <w:top w:val="nil"/>
              <w:left w:val="nil"/>
              <w:bottom w:val="single" w:sz="8" w:space="0" w:color="auto"/>
              <w:right w:val="nil"/>
            </w:tcBorders>
            <w:shd w:val="clear" w:color="auto" w:fill="auto"/>
            <w:noWrap/>
            <w:vAlign w:val="center"/>
            <w:hideMark/>
          </w:tcPr>
          <w:p w14:paraId="4FAAEBD3"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104.73 (0.13)</w:t>
            </w:r>
          </w:p>
        </w:tc>
        <w:tc>
          <w:tcPr>
            <w:tcW w:w="1365" w:type="pct"/>
            <w:tcBorders>
              <w:top w:val="nil"/>
              <w:left w:val="nil"/>
              <w:bottom w:val="single" w:sz="8" w:space="0" w:color="auto"/>
              <w:right w:val="nil"/>
            </w:tcBorders>
            <w:shd w:val="clear" w:color="auto" w:fill="auto"/>
            <w:vAlign w:val="center"/>
            <w:hideMark/>
          </w:tcPr>
          <w:p w14:paraId="6B25CB80"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104.14 (0.04)</w:t>
            </w:r>
          </w:p>
        </w:tc>
        <w:tc>
          <w:tcPr>
            <w:tcW w:w="819" w:type="pct"/>
            <w:tcBorders>
              <w:top w:val="nil"/>
              <w:left w:val="nil"/>
              <w:bottom w:val="single" w:sz="8" w:space="0" w:color="auto"/>
              <w:right w:val="nil"/>
            </w:tcBorders>
            <w:shd w:val="clear" w:color="auto" w:fill="auto"/>
            <w:noWrap/>
            <w:vAlign w:val="center"/>
            <w:hideMark/>
          </w:tcPr>
          <w:p w14:paraId="23FCE324" w14:textId="77777777" w:rsidR="003D5069" w:rsidRPr="0077769A" w:rsidRDefault="003D5069" w:rsidP="00145DDA">
            <w:pPr>
              <w:widowControl/>
              <w:contextualSpacing/>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-0.56</w:t>
            </w:r>
          </w:p>
        </w:tc>
      </w:tr>
    </w:tbl>
    <w:p w14:paraId="7372805B" w14:textId="77777777" w:rsidR="003D5069" w:rsidRPr="0077769A" w:rsidRDefault="003D5069" w:rsidP="00145DDA">
      <w:pPr>
        <w:contextualSpacing/>
        <w:rPr>
          <w:rFonts w:ascii="Times New Roman" w:hAnsi="Times New Roman" w:cs="Times New Roman"/>
          <w:color w:val="000000" w:themeColor="text1"/>
          <w:szCs w:val="24"/>
        </w:rPr>
      </w:pPr>
      <w:proofErr w:type="spellStart"/>
      <w:r w:rsidRPr="0077769A">
        <w:rPr>
          <w:rFonts w:ascii="Times New Roman" w:hAnsi="Times New Roman" w:cs="Times New Roman"/>
          <w:color w:val="000000" w:themeColor="text1"/>
          <w:szCs w:val="24"/>
          <w:vertAlign w:val="superscript"/>
        </w:rPr>
        <w:t>a</w:t>
      </w:r>
      <w:r w:rsidRPr="0077769A">
        <w:rPr>
          <w:rFonts w:ascii="Times New Roman" w:hAnsi="Times New Roman" w:cs="Times New Roman"/>
          <w:color w:val="000000" w:themeColor="text1"/>
          <w:szCs w:val="24"/>
        </w:rPr>
        <w:t>Relative</w:t>
      </w:r>
      <w:proofErr w:type="spellEnd"/>
      <w:r w:rsidRPr="0077769A">
        <w:rPr>
          <w:rFonts w:ascii="Times New Roman" w:hAnsi="Times New Roman" w:cs="Times New Roman"/>
          <w:color w:val="000000" w:themeColor="text1"/>
          <w:szCs w:val="24"/>
        </w:rPr>
        <w:t xml:space="preserve"> bias = (estimate from extrapolation–K-M estimate) / K-M estimate.</w:t>
      </w:r>
    </w:p>
    <w:p w14:paraId="0AB32750" w14:textId="77777777" w:rsidR="003D5069" w:rsidRPr="0077769A" w:rsidRDefault="003D5069" w:rsidP="00145DDA">
      <w:pPr>
        <w:contextualSpacing/>
        <w:rPr>
          <w:rFonts w:ascii="Times New Roman" w:hAnsi="Times New Roman" w:cs="Times New Roman"/>
          <w:color w:val="000000" w:themeColor="text1"/>
          <w:szCs w:val="24"/>
        </w:rPr>
      </w:pPr>
    </w:p>
    <w:p w14:paraId="15F7CC1B" w14:textId="77777777" w:rsidR="003D5069" w:rsidRPr="0077769A" w:rsidRDefault="003D5069" w:rsidP="00145DDA">
      <w:pPr>
        <w:widowControl/>
        <w:contextualSpacing/>
        <w:rPr>
          <w:rFonts w:ascii="Times New Roman" w:hAnsi="Times New Roman" w:cs="Times New Roman"/>
          <w:color w:val="000000" w:themeColor="text1"/>
          <w:szCs w:val="24"/>
        </w:rPr>
      </w:pPr>
      <w:r w:rsidRPr="0077769A">
        <w:rPr>
          <w:rFonts w:ascii="Times New Roman" w:hAnsi="Times New Roman" w:cs="Times New Roman"/>
          <w:color w:val="000000" w:themeColor="text1"/>
          <w:szCs w:val="24"/>
        </w:rPr>
        <w:br w:type="page"/>
      </w:r>
      <w:bookmarkStart w:id="0" w:name="_GoBack"/>
      <w:bookmarkEnd w:id="0"/>
    </w:p>
    <w:p w14:paraId="5E5DE972" w14:textId="77777777" w:rsidR="003D5069" w:rsidRPr="0077769A" w:rsidRDefault="003D5069" w:rsidP="003038AB">
      <w:pPr>
        <w:contextualSpacing/>
        <w:rPr>
          <w:rFonts w:ascii="Times New Roman" w:hAnsi="Times New Roman" w:cs="Times New Roman"/>
          <w:color w:val="000000" w:themeColor="text1"/>
          <w:szCs w:val="24"/>
        </w:rPr>
      </w:pPr>
      <w:r w:rsidRPr="0077769A">
        <w:rPr>
          <w:rFonts w:ascii="Times New Roman" w:eastAsia="新細明體" w:hAnsi="Times New Roman" w:cs="Times New Roman"/>
          <w:b/>
          <w:color w:val="000000" w:themeColor="text1"/>
          <w:szCs w:val="24"/>
        </w:rPr>
        <w:lastRenderedPageBreak/>
        <w:t xml:space="preserve">Supplementary </w:t>
      </w:r>
      <w:r w:rsidRPr="0077769A">
        <w:rPr>
          <w:rFonts w:ascii="Times New Roman" w:hAnsi="Times New Roman" w:cs="Times New Roman"/>
          <w:b/>
          <w:color w:val="000000" w:themeColor="text1"/>
          <w:szCs w:val="24"/>
        </w:rPr>
        <w:t xml:space="preserve">Table 2 </w:t>
      </w:r>
      <w:r w:rsidRPr="0077769A">
        <w:rPr>
          <w:rFonts w:ascii="Times New Roman" w:hAnsi="Times New Roman" w:cs="Times New Roman"/>
          <w:color w:val="000000" w:themeColor="text1"/>
          <w:szCs w:val="24"/>
        </w:rPr>
        <w:t>Estimation of life expectancy (LE), expected years of life lost (EYLL), and expected years of living with disability (EYLD) stratified by functional disability (mean and SE) in a random sample of 100 patients.</w:t>
      </w:r>
    </w:p>
    <w:tbl>
      <w:tblPr>
        <w:tblW w:w="6560" w:type="dxa"/>
        <w:tblInd w:w="28" w:type="dxa"/>
        <w:tblCellMar>
          <w:left w:w="28" w:type="dxa"/>
          <w:right w:w="28" w:type="dxa"/>
        </w:tblCellMar>
        <w:tblLook w:val="04A0" w:firstRow="1" w:lastRow="0" w:firstColumn="1" w:lastColumn="0" w:noHBand="0" w:noVBand="1"/>
      </w:tblPr>
      <w:tblGrid>
        <w:gridCol w:w="4420"/>
        <w:gridCol w:w="2140"/>
      </w:tblGrid>
      <w:tr w:rsidR="003D5069" w:rsidRPr="0077769A" w14:paraId="19D5C25A" w14:textId="77777777" w:rsidTr="006D2B80">
        <w:trPr>
          <w:trHeight w:val="630"/>
        </w:trPr>
        <w:tc>
          <w:tcPr>
            <w:tcW w:w="4420" w:type="dxa"/>
            <w:tcBorders>
              <w:top w:val="single" w:sz="8" w:space="0" w:color="auto"/>
              <w:left w:val="nil"/>
              <w:bottom w:val="single" w:sz="4" w:space="0" w:color="auto"/>
              <w:right w:val="nil"/>
            </w:tcBorders>
            <w:shd w:val="clear" w:color="auto" w:fill="auto"/>
            <w:vAlign w:val="center"/>
            <w:hideMark/>
          </w:tcPr>
          <w:p w14:paraId="53D198BF"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 xml:space="preserve">　</w:t>
            </w:r>
          </w:p>
        </w:tc>
        <w:tc>
          <w:tcPr>
            <w:tcW w:w="2140" w:type="dxa"/>
            <w:tcBorders>
              <w:top w:val="single" w:sz="8" w:space="0" w:color="auto"/>
              <w:left w:val="nil"/>
              <w:bottom w:val="single" w:sz="4" w:space="0" w:color="auto"/>
              <w:right w:val="nil"/>
            </w:tcBorders>
            <w:shd w:val="clear" w:color="auto" w:fill="auto"/>
            <w:vAlign w:val="center"/>
            <w:hideMark/>
          </w:tcPr>
          <w:p w14:paraId="2ADDCB87"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All patients</w:t>
            </w:r>
            <w:r w:rsidRPr="0077769A">
              <w:rPr>
                <w:rFonts w:ascii="Times New Roman" w:eastAsia="新細明體" w:hAnsi="Times New Roman" w:cs="Times New Roman"/>
                <w:color w:val="000000" w:themeColor="text1"/>
                <w:kern w:val="0"/>
                <w:szCs w:val="24"/>
              </w:rPr>
              <w:br/>
              <w:t>(</w:t>
            </w:r>
            <w:r w:rsidRPr="0077769A">
              <w:rPr>
                <w:rFonts w:ascii="Times New Roman" w:eastAsia="新細明體" w:hAnsi="Times New Roman" w:cs="Times New Roman"/>
                <w:i/>
                <w:color w:val="000000" w:themeColor="text1"/>
                <w:kern w:val="0"/>
                <w:szCs w:val="24"/>
              </w:rPr>
              <w:t>n</w:t>
            </w:r>
            <w:r w:rsidRPr="0077769A">
              <w:rPr>
                <w:rFonts w:ascii="Times New Roman" w:eastAsia="新細明體" w:hAnsi="Times New Roman" w:cs="Times New Roman"/>
                <w:color w:val="000000" w:themeColor="text1"/>
                <w:kern w:val="0"/>
                <w:szCs w:val="24"/>
              </w:rPr>
              <w:t xml:space="preserve"> = 100)</w:t>
            </w:r>
          </w:p>
        </w:tc>
      </w:tr>
      <w:tr w:rsidR="003D5069" w:rsidRPr="0077769A" w14:paraId="1C679F92" w14:textId="77777777" w:rsidTr="006D2B80">
        <w:trPr>
          <w:trHeight w:val="315"/>
        </w:trPr>
        <w:tc>
          <w:tcPr>
            <w:tcW w:w="4420" w:type="dxa"/>
            <w:tcBorders>
              <w:top w:val="nil"/>
              <w:left w:val="nil"/>
              <w:bottom w:val="nil"/>
              <w:right w:val="nil"/>
            </w:tcBorders>
            <w:shd w:val="clear" w:color="auto" w:fill="auto"/>
            <w:vAlign w:val="center"/>
            <w:hideMark/>
          </w:tcPr>
          <w:p w14:paraId="388DB509" w14:textId="77777777" w:rsidR="003D5069" w:rsidRPr="007B1687" w:rsidRDefault="003D5069" w:rsidP="006D2B80">
            <w:pPr>
              <w:widowControl/>
              <w:rPr>
                <w:rFonts w:ascii="Times New Roman" w:eastAsia="新細明體" w:hAnsi="Times New Roman" w:cs="Times New Roman"/>
                <w:bCs/>
                <w:color w:val="000000" w:themeColor="text1"/>
                <w:kern w:val="0"/>
                <w:szCs w:val="24"/>
              </w:rPr>
            </w:pPr>
            <w:r w:rsidRPr="007B1687">
              <w:rPr>
                <w:rFonts w:ascii="Times New Roman" w:eastAsia="新細明體" w:hAnsi="Times New Roman" w:cs="Times New Roman"/>
                <w:bCs/>
                <w:color w:val="000000" w:themeColor="text1"/>
                <w:kern w:val="0"/>
                <w:szCs w:val="24"/>
              </w:rPr>
              <w:t>LE, mean (SE) years</w:t>
            </w:r>
          </w:p>
        </w:tc>
        <w:tc>
          <w:tcPr>
            <w:tcW w:w="2140" w:type="dxa"/>
            <w:tcBorders>
              <w:top w:val="nil"/>
              <w:left w:val="nil"/>
              <w:bottom w:val="nil"/>
              <w:right w:val="nil"/>
            </w:tcBorders>
            <w:shd w:val="clear" w:color="auto" w:fill="auto"/>
            <w:vAlign w:val="center"/>
            <w:hideMark/>
          </w:tcPr>
          <w:p w14:paraId="2F66F8E8"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28.16 (0.02)</w:t>
            </w:r>
          </w:p>
        </w:tc>
      </w:tr>
      <w:tr w:rsidR="003D5069" w:rsidRPr="0077769A" w14:paraId="194EB52D" w14:textId="77777777" w:rsidTr="006D2B80">
        <w:trPr>
          <w:trHeight w:val="315"/>
        </w:trPr>
        <w:tc>
          <w:tcPr>
            <w:tcW w:w="4420" w:type="dxa"/>
            <w:tcBorders>
              <w:top w:val="nil"/>
              <w:left w:val="nil"/>
              <w:bottom w:val="nil"/>
              <w:right w:val="nil"/>
            </w:tcBorders>
            <w:shd w:val="clear" w:color="auto" w:fill="auto"/>
            <w:vAlign w:val="center"/>
            <w:hideMark/>
          </w:tcPr>
          <w:p w14:paraId="4E615BDC" w14:textId="77777777" w:rsidR="003D5069" w:rsidRPr="007B1687" w:rsidRDefault="003D5069" w:rsidP="006D2B80">
            <w:pPr>
              <w:widowControl/>
              <w:rPr>
                <w:rFonts w:ascii="Times New Roman" w:eastAsia="新細明體" w:hAnsi="Times New Roman" w:cs="Times New Roman"/>
                <w:bCs/>
                <w:color w:val="000000" w:themeColor="text1"/>
                <w:kern w:val="0"/>
                <w:szCs w:val="24"/>
              </w:rPr>
            </w:pPr>
            <w:r w:rsidRPr="007B1687">
              <w:rPr>
                <w:rFonts w:ascii="Times New Roman" w:eastAsia="新細明體" w:hAnsi="Times New Roman" w:cs="Times New Roman"/>
                <w:bCs/>
                <w:color w:val="000000" w:themeColor="text1"/>
                <w:kern w:val="0"/>
                <w:szCs w:val="24"/>
              </w:rPr>
              <w:t>EYLL, mean (SE) years</w:t>
            </w:r>
          </w:p>
        </w:tc>
        <w:tc>
          <w:tcPr>
            <w:tcW w:w="2140" w:type="dxa"/>
            <w:tcBorders>
              <w:top w:val="nil"/>
              <w:left w:val="nil"/>
              <w:bottom w:val="nil"/>
              <w:right w:val="nil"/>
            </w:tcBorders>
            <w:shd w:val="clear" w:color="auto" w:fill="auto"/>
            <w:noWrap/>
            <w:vAlign w:val="center"/>
            <w:hideMark/>
          </w:tcPr>
          <w:p w14:paraId="080DED21"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16.93 (0.03)</w:t>
            </w:r>
          </w:p>
        </w:tc>
      </w:tr>
      <w:tr w:rsidR="003D5069" w:rsidRPr="0077769A" w14:paraId="50A212DB" w14:textId="77777777" w:rsidTr="006D2B80">
        <w:trPr>
          <w:trHeight w:val="315"/>
        </w:trPr>
        <w:tc>
          <w:tcPr>
            <w:tcW w:w="4420" w:type="dxa"/>
            <w:tcBorders>
              <w:top w:val="nil"/>
              <w:left w:val="nil"/>
              <w:bottom w:val="nil"/>
              <w:right w:val="nil"/>
            </w:tcBorders>
            <w:shd w:val="clear" w:color="auto" w:fill="auto"/>
            <w:vAlign w:val="center"/>
            <w:hideMark/>
          </w:tcPr>
          <w:p w14:paraId="7B893CEF" w14:textId="77777777" w:rsidR="003D5069" w:rsidRPr="007B1687" w:rsidRDefault="003D5069" w:rsidP="006D2B80">
            <w:pPr>
              <w:widowControl/>
              <w:rPr>
                <w:rFonts w:ascii="Times New Roman" w:eastAsia="新細明體" w:hAnsi="Times New Roman" w:cs="Times New Roman"/>
                <w:bCs/>
                <w:color w:val="000000" w:themeColor="text1"/>
                <w:kern w:val="0"/>
                <w:szCs w:val="24"/>
              </w:rPr>
            </w:pPr>
            <w:r w:rsidRPr="007B1687">
              <w:rPr>
                <w:rFonts w:ascii="Times New Roman" w:eastAsia="新細明體" w:hAnsi="Times New Roman" w:cs="Times New Roman"/>
                <w:bCs/>
                <w:color w:val="000000" w:themeColor="text1"/>
                <w:kern w:val="0"/>
                <w:szCs w:val="24"/>
              </w:rPr>
              <w:t>EYLD, mean (SE) years</w:t>
            </w:r>
          </w:p>
        </w:tc>
        <w:tc>
          <w:tcPr>
            <w:tcW w:w="2140" w:type="dxa"/>
            <w:tcBorders>
              <w:top w:val="nil"/>
              <w:left w:val="nil"/>
              <w:bottom w:val="nil"/>
              <w:right w:val="nil"/>
            </w:tcBorders>
            <w:shd w:val="clear" w:color="auto" w:fill="auto"/>
            <w:noWrap/>
            <w:vAlign w:val="center"/>
            <w:hideMark/>
          </w:tcPr>
          <w:p w14:paraId="5AF3A8DD" w14:textId="77777777" w:rsidR="003D5069" w:rsidRPr="0077769A" w:rsidRDefault="003D5069" w:rsidP="006D2B80">
            <w:pPr>
              <w:widowControl/>
              <w:rPr>
                <w:rFonts w:ascii="Times New Roman" w:eastAsia="新細明體" w:hAnsi="Times New Roman" w:cs="Times New Roman"/>
                <w:b/>
                <w:bCs/>
                <w:color w:val="000000" w:themeColor="text1"/>
                <w:kern w:val="0"/>
                <w:szCs w:val="24"/>
              </w:rPr>
            </w:pPr>
          </w:p>
        </w:tc>
      </w:tr>
      <w:tr w:rsidR="003D5069" w:rsidRPr="0077769A" w14:paraId="4C568EFE" w14:textId="77777777" w:rsidTr="006D2B80">
        <w:trPr>
          <w:trHeight w:val="315"/>
        </w:trPr>
        <w:tc>
          <w:tcPr>
            <w:tcW w:w="4420" w:type="dxa"/>
            <w:tcBorders>
              <w:top w:val="nil"/>
              <w:left w:val="nil"/>
              <w:bottom w:val="nil"/>
              <w:right w:val="nil"/>
            </w:tcBorders>
            <w:shd w:val="clear" w:color="auto" w:fill="auto"/>
            <w:vAlign w:val="center"/>
            <w:hideMark/>
          </w:tcPr>
          <w:p w14:paraId="74BA3CF6" w14:textId="77777777" w:rsidR="003D5069" w:rsidRPr="007B1687" w:rsidRDefault="003D5069" w:rsidP="006D2B80">
            <w:pPr>
              <w:widowControl/>
              <w:rPr>
                <w:rFonts w:ascii="Times New Roman" w:eastAsia="新細明體" w:hAnsi="Times New Roman" w:cs="Times New Roman"/>
                <w:iCs/>
                <w:color w:val="000000" w:themeColor="text1"/>
                <w:kern w:val="0"/>
                <w:szCs w:val="24"/>
              </w:rPr>
            </w:pPr>
            <w:r w:rsidRPr="007B1687">
              <w:rPr>
                <w:rFonts w:ascii="Times New Roman" w:eastAsia="新細明體" w:hAnsi="Times New Roman" w:cs="Times New Roman"/>
                <w:iCs/>
                <w:color w:val="000000" w:themeColor="text1"/>
                <w:kern w:val="0"/>
                <w:szCs w:val="24"/>
              </w:rPr>
              <w:t>Four domains of functioning</w:t>
            </w:r>
          </w:p>
        </w:tc>
        <w:tc>
          <w:tcPr>
            <w:tcW w:w="2140" w:type="dxa"/>
            <w:tcBorders>
              <w:top w:val="nil"/>
              <w:left w:val="nil"/>
              <w:bottom w:val="nil"/>
              <w:right w:val="nil"/>
            </w:tcBorders>
            <w:shd w:val="clear" w:color="auto" w:fill="auto"/>
            <w:noWrap/>
            <w:vAlign w:val="center"/>
            <w:hideMark/>
          </w:tcPr>
          <w:p w14:paraId="27C1AEAB" w14:textId="77777777" w:rsidR="003D5069" w:rsidRPr="0077769A" w:rsidRDefault="003D5069" w:rsidP="006D2B80">
            <w:pPr>
              <w:widowControl/>
              <w:rPr>
                <w:rFonts w:ascii="Times New Roman" w:eastAsia="新細明體" w:hAnsi="Times New Roman" w:cs="Times New Roman"/>
                <w:i/>
                <w:iCs/>
                <w:color w:val="000000" w:themeColor="text1"/>
                <w:kern w:val="0"/>
                <w:szCs w:val="24"/>
              </w:rPr>
            </w:pPr>
          </w:p>
        </w:tc>
      </w:tr>
      <w:tr w:rsidR="003D5069" w:rsidRPr="0077769A" w14:paraId="71EF022F" w14:textId="77777777" w:rsidTr="006D2B80">
        <w:trPr>
          <w:trHeight w:val="315"/>
        </w:trPr>
        <w:tc>
          <w:tcPr>
            <w:tcW w:w="4420" w:type="dxa"/>
            <w:tcBorders>
              <w:top w:val="nil"/>
              <w:left w:val="nil"/>
              <w:bottom w:val="nil"/>
              <w:right w:val="nil"/>
            </w:tcBorders>
            <w:shd w:val="clear" w:color="auto" w:fill="auto"/>
            <w:vAlign w:val="center"/>
            <w:hideMark/>
          </w:tcPr>
          <w:p w14:paraId="2FB87AF2" w14:textId="77777777" w:rsidR="003D5069" w:rsidRPr="0077769A" w:rsidRDefault="003D5069" w:rsidP="006D2B80">
            <w:pPr>
              <w:widowControl/>
              <w:rPr>
                <w:rFonts w:ascii="Times New Roman" w:eastAsia="新細明體" w:hAnsi="Times New Roman" w:cs="Times New Roman"/>
                <w:color w:val="000000" w:themeColor="text1"/>
                <w:kern w:val="0"/>
                <w:szCs w:val="24"/>
                <w:u w:val="single"/>
              </w:rPr>
            </w:pPr>
            <w:r w:rsidRPr="0077769A">
              <w:rPr>
                <w:rFonts w:ascii="Times New Roman" w:eastAsia="新細明體" w:hAnsi="Times New Roman" w:cs="Times New Roman"/>
                <w:color w:val="000000" w:themeColor="text1"/>
                <w:kern w:val="0"/>
                <w:szCs w:val="24"/>
                <w:u w:val="single"/>
              </w:rPr>
              <w:t>Socially-useful activities</w:t>
            </w:r>
          </w:p>
        </w:tc>
        <w:tc>
          <w:tcPr>
            <w:tcW w:w="2140" w:type="dxa"/>
            <w:tcBorders>
              <w:top w:val="nil"/>
              <w:left w:val="nil"/>
              <w:bottom w:val="nil"/>
              <w:right w:val="nil"/>
            </w:tcBorders>
            <w:shd w:val="clear" w:color="auto" w:fill="auto"/>
            <w:noWrap/>
            <w:vAlign w:val="center"/>
            <w:hideMark/>
          </w:tcPr>
          <w:p w14:paraId="53515321" w14:textId="77777777" w:rsidR="003D5069" w:rsidRPr="0077769A" w:rsidRDefault="003D5069" w:rsidP="006D2B80">
            <w:pPr>
              <w:widowControl/>
              <w:rPr>
                <w:rFonts w:ascii="Times New Roman" w:eastAsia="新細明體" w:hAnsi="Times New Roman" w:cs="Times New Roman"/>
                <w:color w:val="000000" w:themeColor="text1"/>
                <w:kern w:val="0"/>
                <w:szCs w:val="24"/>
                <w:u w:val="single"/>
              </w:rPr>
            </w:pPr>
          </w:p>
        </w:tc>
      </w:tr>
      <w:tr w:rsidR="003D5069" w:rsidRPr="0077769A" w14:paraId="7668B340" w14:textId="77777777" w:rsidTr="006D2B80">
        <w:trPr>
          <w:trHeight w:val="315"/>
        </w:trPr>
        <w:tc>
          <w:tcPr>
            <w:tcW w:w="4420" w:type="dxa"/>
            <w:tcBorders>
              <w:top w:val="nil"/>
              <w:left w:val="nil"/>
              <w:bottom w:val="nil"/>
              <w:right w:val="nil"/>
            </w:tcBorders>
            <w:shd w:val="clear" w:color="auto" w:fill="auto"/>
            <w:vAlign w:val="center"/>
            <w:hideMark/>
          </w:tcPr>
          <w:p w14:paraId="7933C62C"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mild difficulty (PSP: 1–2)</w:t>
            </w:r>
          </w:p>
        </w:tc>
        <w:tc>
          <w:tcPr>
            <w:tcW w:w="2140" w:type="dxa"/>
            <w:tcBorders>
              <w:top w:val="nil"/>
              <w:left w:val="nil"/>
              <w:bottom w:val="nil"/>
              <w:right w:val="nil"/>
            </w:tcBorders>
            <w:shd w:val="clear" w:color="auto" w:fill="auto"/>
            <w:noWrap/>
            <w:vAlign w:val="center"/>
            <w:hideMark/>
          </w:tcPr>
          <w:p w14:paraId="524684FD"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11.17 (1.55)</w:t>
            </w:r>
          </w:p>
        </w:tc>
      </w:tr>
      <w:tr w:rsidR="003D5069" w:rsidRPr="0077769A" w14:paraId="2329C5ED" w14:textId="77777777" w:rsidTr="006D2B80">
        <w:trPr>
          <w:trHeight w:val="315"/>
        </w:trPr>
        <w:tc>
          <w:tcPr>
            <w:tcW w:w="4420" w:type="dxa"/>
            <w:tcBorders>
              <w:top w:val="nil"/>
              <w:left w:val="nil"/>
              <w:bottom w:val="nil"/>
              <w:right w:val="nil"/>
            </w:tcBorders>
            <w:shd w:val="clear" w:color="auto" w:fill="auto"/>
            <w:vAlign w:val="center"/>
            <w:hideMark/>
          </w:tcPr>
          <w:p w14:paraId="29B19A2F"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manifested disability (PSP: 3–6)</w:t>
            </w:r>
          </w:p>
        </w:tc>
        <w:tc>
          <w:tcPr>
            <w:tcW w:w="2140" w:type="dxa"/>
            <w:tcBorders>
              <w:top w:val="nil"/>
              <w:left w:val="nil"/>
              <w:bottom w:val="nil"/>
              <w:right w:val="nil"/>
            </w:tcBorders>
            <w:shd w:val="clear" w:color="auto" w:fill="auto"/>
            <w:noWrap/>
            <w:vAlign w:val="center"/>
            <w:hideMark/>
          </w:tcPr>
          <w:p w14:paraId="1D74C156"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17.14 (1.29)</w:t>
            </w:r>
          </w:p>
        </w:tc>
      </w:tr>
      <w:tr w:rsidR="003D5069" w:rsidRPr="0077769A" w14:paraId="7C7D9F76" w14:textId="77777777" w:rsidTr="006D2B80">
        <w:trPr>
          <w:trHeight w:val="315"/>
        </w:trPr>
        <w:tc>
          <w:tcPr>
            <w:tcW w:w="4420" w:type="dxa"/>
            <w:tcBorders>
              <w:top w:val="nil"/>
              <w:left w:val="nil"/>
              <w:bottom w:val="nil"/>
              <w:right w:val="nil"/>
            </w:tcBorders>
            <w:shd w:val="clear" w:color="auto" w:fill="auto"/>
            <w:vAlign w:val="center"/>
            <w:hideMark/>
          </w:tcPr>
          <w:p w14:paraId="149AEC18" w14:textId="77777777" w:rsidR="003D5069" w:rsidRPr="0077769A" w:rsidRDefault="003D5069" w:rsidP="006D2B80">
            <w:pPr>
              <w:widowControl/>
              <w:rPr>
                <w:rFonts w:ascii="Times New Roman" w:eastAsia="新細明體" w:hAnsi="Times New Roman" w:cs="Times New Roman"/>
                <w:color w:val="000000" w:themeColor="text1"/>
                <w:kern w:val="0"/>
                <w:szCs w:val="24"/>
                <w:u w:val="single"/>
              </w:rPr>
            </w:pPr>
            <w:r w:rsidRPr="0077769A">
              <w:rPr>
                <w:rFonts w:ascii="Times New Roman" w:eastAsia="新細明體" w:hAnsi="Times New Roman" w:cs="Times New Roman"/>
                <w:color w:val="000000" w:themeColor="text1"/>
                <w:kern w:val="0"/>
                <w:szCs w:val="24"/>
                <w:u w:val="single"/>
              </w:rPr>
              <w:t>Personal and social relationships</w:t>
            </w:r>
          </w:p>
        </w:tc>
        <w:tc>
          <w:tcPr>
            <w:tcW w:w="2140" w:type="dxa"/>
            <w:tcBorders>
              <w:top w:val="nil"/>
              <w:left w:val="nil"/>
              <w:bottom w:val="nil"/>
              <w:right w:val="nil"/>
            </w:tcBorders>
            <w:shd w:val="clear" w:color="auto" w:fill="auto"/>
            <w:noWrap/>
            <w:vAlign w:val="center"/>
            <w:hideMark/>
          </w:tcPr>
          <w:p w14:paraId="166003C7" w14:textId="77777777" w:rsidR="003D5069" w:rsidRPr="0077769A" w:rsidRDefault="003D5069" w:rsidP="006D2B80">
            <w:pPr>
              <w:widowControl/>
              <w:rPr>
                <w:rFonts w:ascii="Times New Roman" w:eastAsia="新細明體" w:hAnsi="Times New Roman" w:cs="Times New Roman"/>
                <w:color w:val="000000" w:themeColor="text1"/>
                <w:kern w:val="0"/>
                <w:szCs w:val="24"/>
                <w:u w:val="single"/>
              </w:rPr>
            </w:pPr>
          </w:p>
        </w:tc>
      </w:tr>
      <w:tr w:rsidR="003D5069" w:rsidRPr="0077769A" w14:paraId="503B3A90" w14:textId="77777777" w:rsidTr="006D2B80">
        <w:trPr>
          <w:trHeight w:val="315"/>
        </w:trPr>
        <w:tc>
          <w:tcPr>
            <w:tcW w:w="4420" w:type="dxa"/>
            <w:tcBorders>
              <w:top w:val="nil"/>
              <w:left w:val="nil"/>
              <w:bottom w:val="nil"/>
              <w:right w:val="nil"/>
            </w:tcBorders>
            <w:shd w:val="clear" w:color="auto" w:fill="auto"/>
            <w:vAlign w:val="center"/>
            <w:hideMark/>
          </w:tcPr>
          <w:p w14:paraId="7A5B7E94"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mild difficulty (PSP: 1–2)</w:t>
            </w:r>
          </w:p>
        </w:tc>
        <w:tc>
          <w:tcPr>
            <w:tcW w:w="2140" w:type="dxa"/>
            <w:tcBorders>
              <w:top w:val="nil"/>
              <w:left w:val="nil"/>
              <w:bottom w:val="nil"/>
              <w:right w:val="nil"/>
            </w:tcBorders>
            <w:shd w:val="clear" w:color="auto" w:fill="auto"/>
            <w:noWrap/>
            <w:vAlign w:val="center"/>
            <w:hideMark/>
          </w:tcPr>
          <w:p w14:paraId="2313F8C4"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11.03 (1.66)</w:t>
            </w:r>
          </w:p>
        </w:tc>
      </w:tr>
      <w:tr w:rsidR="003D5069" w:rsidRPr="0077769A" w14:paraId="31496BFC" w14:textId="77777777" w:rsidTr="006D2B80">
        <w:trPr>
          <w:trHeight w:val="315"/>
        </w:trPr>
        <w:tc>
          <w:tcPr>
            <w:tcW w:w="4420" w:type="dxa"/>
            <w:tcBorders>
              <w:top w:val="nil"/>
              <w:left w:val="nil"/>
              <w:bottom w:val="nil"/>
              <w:right w:val="nil"/>
            </w:tcBorders>
            <w:shd w:val="clear" w:color="auto" w:fill="auto"/>
            <w:vAlign w:val="center"/>
            <w:hideMark/>
          </w:tcPr>
          <w:p w14:paraId="0B428B78"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manifested disability (PSP: 3–6)</w:t>
            </w:r>
          </w:p>
        </w:tc>
        <w:tc>
          <w:tcPr>
            <w:tcW w:w="2140" w:type="dxa"/>
            <w:tcBorders>
              <w:top w:val="nil"/>
              <w:left w:val="nil"/>
              <w:bottom w:val="nil"/>
              <w:right w:val="nil"/>
            </w:tcBorders>
            <w:shd w:val="clear" w:color="auto" w:fill="auto"/>
            <w:noWrap/>
            <w:vAlign w:val="center"/>
            <w:hideMark/>
          </w:tcPr>
          <w:p w14:paraId="12ED3651"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17.28 (1.59)</w:t>
            </w:r>
          </w:p>
        </w:tc>
      </w:tr>
      <w:tr w:rsidR="003D5069" w:rsidRPr="0077769A" w14:paraId="55DCB3FB" w14:textId="77777777" w:rsidTr="006D2B80">
        <w:trPr>
          <w:trHeight w:val="315"/>
        </w:trPr>
        <w:tc>
          <w:tcPr>
            <w:tcW w:w="4420" w:type="dxa"/>
            <w:tcBorders>
              <w:top w:val="nil"/>
              <w:left w:val="nil"/>
              <w:bottom w:val="nil"/>
              <w:right w:val="nil"/>
            </w:tcBorders>
            <w:shd w:val="clear" w:color="auto" w:fill="auto"/>
            <w:vAlign w:val="center"/>
            <w:hideMark/>
          </w:tcPr>
          <w:p w14:paraId="68C082FA" w14:textId="77777777" w:rsidR="003D5069" w:rsidRPr="0077769A" w:rsidRDefault="003D5069" w:rsidP="006D2B80">
            <w:pPr>
              <w:widowControl/>
              <w:rPr>
                <w:rFonts w:ascii="Times New Roman" w:eastAsia="新細明體" w:hAnsi="Times New Roman" w:cs="Times New Roman"/>
                <w:color w:val="000000" w:themeColor="text1"/>
                <w:kern w:val="0"/>
                <w:szCs w:val="24"/>
                <w:u w:val="single"/>
              </w:rPr>
            </w:pPr>
            <w:r w:rsidRPr="0077769A">
              <w:rPr>
                <w:rFonts w:ascii="Times New Roman" w:eastAsia="新細明體" w:hAnsi="Times New Roman" w:cs="Times New Roman"/>
                <w:color w:val="000000" w:themeColor="text1"/>
                <w:kern w:val="0"/>
                <w:szCs w:val="24"/>
                <w:u w:val="single"/>
              </w:rPr>
              <w:t>Self-care</w:t>
            </w:r>
          </w:p>
        </w:tc>
        <w:tc>
          <w:tcPr>
            <w:tcW w:w="2140" w:type="dxa"/>
            <w:tcBorders>
              <w:top w:val="nil"/>
              <w:left w:val="nil"/>
              <w:bottom w:val="nil"/>
              <w:right w:val="nil"/>
            </w:tcBorders>
            <w:shd w:val="clear" w:color="auto" w:fill="auto"/>
            <w:noWrap/>
            <w:vAlign w:val="center"/>
            <w:hideMark/>
          </w:tcPr>
          <w:p w14:paraId="3C6DA842" w14:textId="77777777" w:rsidR="003D5069" w:rsidRPr="0077769A" w:rsidRDefault="003D5069" w:rsidP="006D2B80">
            <w:pPr>
              <w:widowControl/>
              <w:rPr>
                <w:rFonts w:ascii="Times New Roman" w:eastAsia="新細明體" w:hAnsi="Times New Roman" w:cs="Times New Roman"/>
                <w:color w:val="000000" w:themeColor="text1"/>
                <w:kern w:val="0"/>
                <w:szCs w:val="24"/>
                <w:u w:val="single"/>
              </w:rPr>
            </w:pPr>
          </w:p>
        </w:tc>
      </w:tr>
      <w:tr w:rsidR="003D5069" w:rsidRPr="0077769A" w14:paraId="4458D06C" w14:textId="77777777" w:rsidTr="006D2B80">
        <w:trPr>
          <w:trHeight w:val="315"/>
        </w:trPr>
        <w:tc>
          <w:tcPr>
            <w:tcW w:w="4420" w:type="dxa"/>
            <w:tcBorders>
              <w:top w:val="nil"/>
              <w:left w:val="nil"/>
              <w:bottom w:val="nil"/>
              <w:right w:val="nil"/>
            </w:tcBorders>
            <w:shd w:val="clear" w:color="auto" w:fill="auto"/>
            <w:vAlign w:val="center"/>
            <w:hideMark/>
          </w:tcPr>
          <w:p w14:paraId="0EF19361"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mild difficulty (PSP: 1–2)</w:t>
            </w:r>
          </w:p>
        </w:tc>
        <w:tc>
          <w:tcPr>
            <w:tcW w:w="2140" w:type="dxa"/>
            <w:tcBorders>
              <w:top w:val="nil"/>
              <w:left w:val="nil"/>
              <w:bottom w:val="nil"/>
              <w:right w:val="nil"/>
            </w:tcBorders>
            <w:shd w:val="clear" w:color="auto" w:fill="auto"/>
            <w:noWrap/>
            <w:vAlign w:val="center"/>
            <w:hideMark/>
          </w:tcPr>
          <w:p w14:paraId="64AFB8FE"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21.82 (1.18)</w:t>
            </w:r>
          </w:p>
        </w:tc>
      </w:tr>
      <w:tr w:rsidR="003D5069" w:rsidRPr="0077769A" w14:paraId="536684E5" w14:textId="77777777" w:rsidTr="006D2B80">
        <w:trPr>
          <w:trHeight w:val="315"/>
        </w:trPr>
        <w:tc>
          <w:tcPr>
            <w:tcW w:w="4420" w:type="dxa"/>
            <w:tcBorders>
              <w:top w:val="nil"/>
              <w:left w:val="nil"/>
              <w:bottom w:val="nil"/>
              <w:right w:val="nil"/>
            </w:tcBorders>
            <w:shd w:val="clear" w:color="auto" w:fill="auto"/>
            <w:vAlign w:val="center"/>
            <w:hideMark/>
          </w:tcPr>
          <w:p w14:paraId="1E40AB82"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manifested disability (PSP: 3–6)</w:t>
            </w:r>
          </w:p>
        </w:tc>
        <w:tc>
          <w:tcPr>
            <w:tcW w:w="2140" w:type="dxa"/>
            <w:tcBorders>
              <w:top w:val="nil"/>
              <w:left w:val="nil"/>
              <w:bottom w:val="nil"/>
              <w:right w:val="nil"/>
            </w:tcBorders>
            <w:shd w:val="clear" w:color="auto" w:fill="auto"/>
            <w:noWrap/>
            <w:vAlign w:val="center"/>
            <w:hideMark/>
          </w:tcPr>
          <w:p w14:paraId="32005FC3"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6.28 (1.3)</w:t>
            </w:r>
          </w:p>
        </w:tc>
      </w:tr>
      <w:tr w:rsidR="003D5069" w:rsidRPr="0077769A" w14:paraId="3FC1EA94" w14:textId="77777777" w:rsidTr="006D2B80">
        <w:trPr>
          <w:trHeight w:val="315"/>
        </w:trPr>
        <w:tc>
          <w:tcPr>
            <w:tcW w:w="4420" w:type="dxa"/>
            <w:tcBorders>
              <w:top w:val="nil"/>
              <w:left w:val="nil"/>
              <w:bottom w:val="nil"/>
              <w:right w:val="nil"/>
            </w:tcBorders>
            <w:shd w:val="clear" w:color="auto" w:fill="auto"/>
            <w:vAlign w:val="center"/>
            <w:hideMark/>
          </w:tcPr>
          <w:p w14:paraId="1F0522DB" w14:textId="77777777" w:rsidR="003D5069" w:rsidRPr="0077769A" w:rsidRDefault="003D5069" w:rsidP="006D2B80">
            <w:pPr>
              <w:widowControl/>
              <w:rPr>
                <w:rFonts w:ascii="Times New Roman" w:eastAsia="新細明體" w:hAnsi="Times New Roman" w:cs="Times New Roman"/>
                <w:color w:val="000000" w:themeColor="text1"/>
                <w:kern w:val="0"/>
                <w:szCs w:val="24"/>
                <w:u w:val="single"/>
              </w:rPr>
            </w:pPr>
            <w:r w:rsidRPr="0077769A">
              <w:rPr>
                <w:rFonts w:ascii="Times New Roman" w:eastAsia="新細明體" w:hAnsi="Times New Roman" w:cs="Times New Roman"/>
                <w:color w:val="000000" w:themeColor="text1"/>
                <w:kern w:val="0"/>
                <w:szCs w:val="24"/>
                <w:u w:val="single"/>
              </w:rPr>
              <w:t>Disturbing and aggressive behavior</w:t>
            </w:r>
          </w:p>
        </w:tc>
        <w:tc>
          <w:tcPr>
            <w:tcW w:w="2140" w:type="dxa"/>
            <w:tcBorders>
              <w:top w:val="nil"/>
              <w:left w:val="nil"/>
              <w:bottom w:val="nil"/>
              <w:right w:val="nil"/>
            </w:tcBorders>
            <w:shd w:val="clear" w:color="auto" w:fill="auto"/>
            <w:noWrap/>
            <w:vAlign w:val="center"/>
            <w:hideMark/>
          </w:tcPr>
          <w:p w14:paraId="2316E0FC" w14:textId="77777777" w:rsidR="003D5069" w:rsidRPr="0077769A" w:rsidRDefault="003D5069" w:rsidP="006D2B80">
            <w:pPr>
              <w:widowControl/>
              <w:rPr>
                <w:rFonts w:ascii="Times New Roman" w:eastAsia="新細明體" w:hAnsi="Times New Roman" w:cs="Times New Roman"/>
                <w:color w:val="000000" w:themeColor="text1"/>
                <w:kern w:val="0"/>
                <w:szCs w:val="24"/>
                <w:u w:val="single"/>
              </w:rPr>
            </w:pPr>
          </w:p>
        </w:tc>
      </w:tr>
      <w:tr w:rsidR="003D5069" w:rsidRPr="0077769A" w14:paraId="63B2E3A3" w14:textId="77777777" w:rsidTr="006D2B80">
        <w:trPr>
          <w:trHeight w:val="315"/>
        </w:trPr>
        <w:tc>
          <w:tcPr>
            <w:tcW w:w="4420" w:type="dxa"/>
            <w:tcBorders>
              <w:top w:val="nil"/>
              <w:left w:val="nil"/>
              <w:bottom w:val="nil"/>
              <w:right w:val="nil"/>
            </w:tcBorders>
            <w:shd w:val="clear" w:color="auto" w:fill="auto"/>
            <w:vAlign w:val="center"/>
            <w:hideMark/>
          </w:tcPr>
          <w:p w14:paraId="0D51111A"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mild difficulty (PSP: 1–2)</w:t>
            </w:r>
          </w:p>
        </w:tc>
        <w:tc>
          <w:tcPr>
            <w:tcW w:w="2140" w:type="dxa"/>
            <w:tcBorders>
              <w:top w:val="nil"/>
              <w:left w:val="nil"/>
              <w:bottom w:val="nil"/>
              <w:right w:val="nil"/>
            </w:tcBorders>
            <w:shd w:val="clear" w:color="auto" w:fill="auto"/>
            <w:noWrap/>
            <w:vAlign w:val="center"/>
            <w:hideMark/>
          </w:tcPr>
          <w:p w14:paraId="7A09C40B"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25.55 (0.73)</w:t>
            </w:r>
          </w:p>
        </w:tc>
      </w:tr>
      <w:tr w:rsidR="003D5069" w:rsidRPr="0077769A" w14:paraId="4D023A09" w14:textId="77777777" w:rsidTr="006D2B80">
        <w:trPr>
          <w:trHeight w:val="315"/>
        </w:trPr>
        <w:tc>
          <w:tcPr>
            <w:tcW w:w="4420" w:type="dxa"/>
            <w:tcBorders>
              <w:top w:val="nil"/>
              <w:left w:val="nil"/>
              <w:bottom w:val="nil"/>
              <w:right w:val="nil"/>
            </w:tcBorders>
            <w:shd w:val="clear" w:color="auto" w:fill="auto"/>
            <w:vAlign w:val="center"/>
            <w:hideMark/>
          </w:tcPr>
          <w:p w14:paraId="60D3D7FA"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manifested disability (PSP: 3–6)</w:t>
            </w:r>
          </w:p>
        </w:tc>
        <w:tc>
          <w:tcPr>
            <w:tcW w:w="2140" w:type="dxa"/>
            <w:tcBorders>
              <w:top w:val="nil"/>
              <w:left w:val="nil"/>
              <w:bottom w:val="nil"/>
              <w:right w:val="nil"/>
            </w:tcBorders>
            <w:shd w:val="clear" w:color="auto" w:fill="auto"/>
            <w:noWrap/>
            <w:vAlign w:val="center"/>
            <w:hideMark/>
          </w:tcPr>
          <w:p w14:paraId="3A118403"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2.42 (0.67)</w:t>
            </w:r>
          </w:p>
        </w:tc>
      </w:tr>
      <w:tr w:rsidR="003D5069" w:rsidRPr="0077769A" w14:paraId="16AF9D99" w14:textId="77777777" w:rsidTr="006D2B80">
        <w:trPr>
          <w:trHeight w:val="315"/>
        </w:trPr>
        <w:tc>
          <w:tcPr>
            <w:tcW w:w="4420" w:type="dxa"/>
            <w:tcBorders>
              <w:top w:val="nil"/>
              <w:left w:val="nil"/>
              <w:bottom w:val="nil"/>
              <w:right w:val="nil"/>
            </w:tcBorders>
            <w:shd w:val="clear" w:color="auto" w:fill="auto"/>
            <w:vAlign w:val="center"/>
            <w:hideMark/>
          </w:tcPr>
          <w:p w14:paraId="69794807" w14:textId="77777777" w:rsidR="003D5069" w:rsidRPr="0077769A" w:rsidRDefault="003D5069" w:rsidP="00AF126C">
            <w:pPr>
              <w:widowControl/>
              <w:rPr>
                <w:rFonts w:ascii="Times New Roman" w:eastAsia="新細明體" w:hAnsi="Times New Roman" w:cs="Times New Roman"/>
                <w:i/>
                <w:iCs/>
                <w:color w:val="000000" w:themeColor="text1"/>
                <w:kern w:val="0"/>
                <w:szCs w:val="24"/>
                <w:u w:val="single"/>
              </w:rPr>
            </w:pPr>
            <w:r w:rsidRPr="0077769A">
              <w:rPr>
                <w:rFonts w:ascii="Times New Roman" w:eastAsia="新細明體" w:hAnsi="Times New Roman" w:cs="Times New Roman"/>
                <w:i/>
                <w:iCs/>
                <w:color w:val="000000" w:themeColor="text1"/>
                <w:kern w:val="0"/>
                <w:szCs w:val="24"/>
                <w:u w:val="single"/>
              </w:rPr>
              <w:t>Global score</w:t>
            </w:r>
          </w:p>
        </w:tc>
        <w:tc>
          <w:tcPr>
            <w:tcW w:w="2140" w:type="dxa"/>
            <w:tcBorders>
              <w:top w:val="nil"/>
              <w:left w:val="nil"/>
              <w:bottom w:val="nil"/>
              <w:right w:val="nil"/>
            </w:tcBorders>
            <w:shd w:val="clear" w:color="auto" w:fill="auto"/>
            <w:noWrap/>
            <w:vAlign w:val="center"/>
            <w:hideMark/>
          </w:tcPr>
          <w:p w14:paraId="6CCD2FCC" w14:textId="77777777" w:rsidR="003D5069" w:rsidRPr="0077769A" w:rsidRDefault="003D5069" w:rsidP="006D2B80">
            <w:pPr>
              <w:widowControl/>
              <w:rPr>
                <w:rFonts w:ascii="Times New Roman" w:eastAsia="新細明體" w:hAnsi="Times New Roman" w:cs="Times New Roman"/>
                <w:i/>
                <w:iCs/>
                <w:color w:val="000000" w:themeColor="text1"/>
                <w:kern w:val="0"/>
                <w:szCs w:val="24"/>
                <w:u w:val="single"/>
              </w:rPr>
            </w:pPr>
          </w:p>
        </w:tc>
      </w:tr>
      <w:tr w:rsidR="003D5069" w:rsidRPr="0077769A" w14:paraId="2DFDB147" w14:textId="77777777" w:rsidTr="006D2B80">
        <w:trPr>
          <w:trHeight w:val="315"/>
        </w:trPr>
        <w:tc>
          <w:tcPr>
            <w:tcW w:w="4420" w:type="dxa"/>
            <w:tcBorders>
              <w:top w:val="nil"/>
              <w:left w:val="nil"/>
              <w:bottom w:val="nil"/>
              <w:right w:val="nil"/>
            </w:tcBorders>
            <w:shd w:val="clear" w:color="auto" w:fill="auto"/>
            <w:vAlign w:val="center"/>
            <w:hideMark/>
          </w:tcPr>
          <w:p w14:paraId="6A3DAD0D"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Years with mild difficulty (PSP: 71–100)</w:t>
            </w:r>
          </w:p>
        </w:tc>
        <w:tc>
          <w:tcPr>
            <w:tcW w:w="2140" w:type="dxa"/>
            <w:tcBorders>
              <w:top w:val="nil"/>
              <w:left w:val="nil"/>
              <w:bottom w:val="nil"/>
              <w:right w:val="nil"/>
            </w:tcBorders>
            <w:shd w:val="clear" w:color="auto" w:fill="auto"/>
            <w:noWrap/>
            <w:vAlign w:val="center"/>
            <w:hideMark/>
          </w:tcPr>
          <w:p w14:paraId="5B24CDF2"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7.97 (1.28)</w:t>
            </w:r>
          </w:p>
        </w:tc>
      </w:tr>
      <w:tr w:rsidR="003D5069" w:rsidRPr="0077769A" w14:paraId="3681DD3A" w14:textId="77777777" w:rsidTr="006D2B80">
        <w:trPr>
          <w:trHeight w:val="480"/>
        </w:trPr>
        <w:tc>
          <w:tcPr>
            <w:tcW w:w="4420" w:type="dxa"/>
            <w:tcBorders>
              <w:top w:val="nil"/>
              <w:left w:val="nil"/>
              <w:bottom w:val="single" w:sz="8" w:space="0" w:color="auto"/>
              <w:right w:val="nil"/>
            </w:tcBorders>
            <w:shd w:val="clear" w:color="auto" w:fill="auto"/>
            <w:vAlign w:val="center"/>
            <w:hideMark/>
          </w:tcPr>
          <w:p w14:paraId="7886CE00" w14:textId="77777777" w:rsidR="003D5069" w:rsidRPr="0077769A" w:rsidRDefault="003D5069" w:rsidP="006D2B80">
            <w:pPr>
              <w:widowControl/>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 xml:space="preserve">Years with manifested disability (PSP: </w:t>
            </w:r>
            <w:r w:rsidRPr="0077769A">
              <w:rPr>
                <w:rFonts w:ascii="Times New Roman" w:eastAsia="Times New Roman Uni" w:hAnsi="Times New Roman" w:cs="Times New Roman"/>
                <w:color w:val="000000" w:themeColor="text1"/>
                <w:kern w:val="0"/>
                <w:szCs w:val="24"/>
              </w:rPr>
              <w:t xml:space="preserve">≤ </w:t>
            </w:r>
            <w:r w:rsidRPr="0077769A">
              <w:rPr>
                <w:rFonts w:ascii="Times New Roman" w:eastAsia="新細明體" w:hAnsi="Times New Roman" w:cs="Times New Roman"/>
                <w:color w:val="000000" w:themeColor="text1"/>
                <w:kern w:val="0"/>
                <w:szCs w:val="24"/>
              </w:rPr>
              <w:t>70)</w:t>
            </w:r>
          </w:p>
        </w:tc>
        <w:tc>
          <w:tcPr>
            <w:tcW w:w="2140" w:type="dxa"/>
            <w:tcBorders>
              <w:top w:val="nil"/>
              <w:left w:val="nil"/>
              <w:bottom w:val="single" w:sz="8" w:space="0" w:color="auto"/>
              <w:right w:val="nil"/>
            </w:tcBorders>
            <w:shd w:val="clear" w:color="auto" w:fill="auto"/>
            <w:noWrap/>
            <w:vAlign w:val="center"/>
            <w:hideMark/>
          </w:tcPr>
          <w:p w14:paraId="6699D4B4" w14:textId="77777777" w:rsidR="003D5069" w:rsidRPr="0077769A" w:rsidRDefault="003D5069" w:rsidP="006D2B80">
            <w:pPr>
              <w:widowControl/>
              <w:jc w:val="center"/>
              <w:rPr>
                <w:rFonts w:ascii="Times New Roman" w:eastAsia="新細明體" w:hAnsi="Times New Roman" w:cs="Times New Roman"/>
                <w:color w:val="000000" w:themeColor="text1"/>
                <w:kern w:val="0"/>
                <w:szCs w:val="24"/>
              </w:rPr>
            </w:pPr>
            <w:r w:rsidRPr="0077769A">
              <w:rPr>
                <w:rFonts w:ascii="Times New Roman" w:eastAsia="新細明體" w:hAnsi="Times New Roman" w:cs="Times New Roman"/>
                <w:color w:val="000000" w:themeColor="text1"/>
                <w:kern w:val="0"/>
                <w:szCs w:val="24"/>
              </w:rPr>
              <w:t>20.37 (1.48)</w:t>
            </w:r>
          </w:p>
        </w:tc>
      </w:tr>
    </w:tbl>
    <w:p w14:paraId="2F10B9C3" w14:textId="77777777" w:rsidR="003D5069" w:rsidRPr="0077769A" w:rsidRDefault="003D5069" w:rsidP="00145DDA">
      <w:pPr>
        <w:contextualSpacing/>
        <w:rPr>
          <w:rFonts w:ascii="Times New Roman" w:hAnsi="Times New Roman" w:cs="Times New Roman"/>
          <w:color w:val="000000" w:themeColor="text1"/>
          <w:szCs w:val="24"/>
        </w:rPr>
      </w:pPr>
      <w:r w:rsidRPr="0077769A">
        <w:rPr>
          <w:rFonts w:ascii="Times New Roman" w:hAnsi="Times New Roman" w:cs="Times New Roman"/>
          <w:color w:val="000000" w:themeColor="text1"/>
          <w:szCs w:val="24"/>
        </w:rPr>
        <w:t>PSP=Personal and Social Performance Scale.</w:t>
      </w:r>
    </w:p>
    <w:p w14:paraId="2FB33074" w14:textId="77777777" w:rsidR="003D5069" w:rsidRPr="0077769A" w:rsidRDefault="003D5069" w:rsidP="00145DDA">
      <w:pPr>
        <w:contextualSpacing/>
        <w:rPr>
          <w:rFonts w:ascii="Times New Roman" w:hAnsi="Times New Roman" w:cs="Times New Roman"/>
          <w:color w:val="000000" w:themeColor="text1"/>
          <w:szCs w:val="24"/>
        </w:rPr>
      </w:pPr>
    </w:p>
    <w:p w14:paraId="085697FA" w14:textId="77777777" w:rsidR="003D5069" w:rsidRPr="0077769A" w:rsidRDefault="003D5069" w:rsidP="00145DDA">
      <w:pPr>
        <w:contextualSpacing/>
        <w:rPr>
          <w:rFonts w:ascii="Times New Roman" w:hAnsi="Times New Roman" w:cs="Times New Roman"/>
          <w:color w:val="000000" w:themeColor="text1"/>
          <w:szCs w:val="24"/>
        </w:rPr>
      </w:pPr>
    </w:p>
    <w:p w14:paraId="7D111062" w14:textId="77777777" w:rsidR="003D5069" w:rsidRPr="0077769A" w:rsidRDefault="003D5069">
      <w:pPr>
        <w:widowControl/>
        <w:rPr>
          <w:rFonts w:ascii="Times New Roman" w:eastAsia="新細明體" w:hAnsi="Times New Roman" w:cs="Times New Roman"/>
          <w:b/>
          <w:color w:val="000000" w:themeColor="text1"/>
          <w:szCs w:val="24"/>
        </w:rPr>
      </w:pPr>
      <w:r w:rsidRPr="0077769A">
        <w:rPr>
          <w:rFonts w:ascii="Times New Roman" w:eastAsia="新細明體" w:hAnsi="Times New Roman" w:cs="Times New Roman"/>
          <w:b/>
          <w:color w:val="000000" w:themeColor="text1"/>
          <w:szCs w:val="24"/>
        </w:rPr>
        <w:br w:type="page"/>
      </w:r>
    </w:p>
    <w:p w14:paraId="12AE7325" w14:textId="77777777" w:rsidR="003D5069" w:rsidRPr="0077769A" w:rsidRDefault="003D5069" w:rsidP="00145DDA">
      <w:pPr>
        <w:contextualSpacing/>
        <w:rPr>
          <w:rFonts w:ascii="Times New Roman" w:hAnsi="Times New Roman" w:cs="Times New Roman"/>
          <w:color w:val="000000" w:themeColor="text1"/>
          <w:szCs w:val="24"/>
        </w:rPr>
      </w:pPr>
      <w:r w:rsidRPr="0077769A">
        <w:rPr>
          <w:rFonts w:ascii="Times New Roman" w:eastAsia="新細明體" w:hAnsi="Times New Roman" w:cs="Times New Roman"/>
          <w:color w:val="000000" w:themeColor="text1"/>
          <w:szCs w:val="24"/>
        </w:rPr>
        <w:lastRenderedPageBreak/>
        <w:t xml:space="preserve">Supplementary </w:t>
      </w:r>
      <w:r w:rsidRPr="0077769A">
        <w:rPr>
          <w:rFonts w:ascii="Times New Roman" w:hAnsi="Times New Roman" w:cs="Times New Roman"/>
          <w:szCs w:val="24"/>
        </w:rPr>
        <w:t>Figure 1</w:t>
      </w:r>
      <w:r w:rsidRPr="0077769A">
        <w:rPr>
          <w:rFonts w:ascii="Times New Roman" w:hAnsi="Times New Roman" w:cs="Times New Roman"/>
          <w:color w:val="000000"/>
          <w:szCs w:val="24"/>
        </w:rPr>
        <w:t>.</w:t>
      </w:r>
      <w:r w:rsidRPr="0077769A">
        <w:rPr>
          <w:rFonts w:ascii="Times New Roman" w:hAnsi="Times New Roman" w:cs="Times New Roman"/>
          <w:color w:val="000000" w:themeColor="text1"/>
          <w:szCs w:val="24"/>
        </w:rPr>
        <w:t xml:space="preserve"> Curve of dynamic change of the proportion of patients with functional disability. </w:t>
      </w:r>
    </w:p>
    <w:p w14:paraId="49840983" w14:textId="77777777" w:rsidR="003D5069" w:rsidRPr="0077769A" w:rsidRDefault="003D5069" w:rsidP="00145DDA">
      <w:pPr>
        <w:contextualSpacing/>
        <w:jc w:val="center"/>
        <w:rPr>
          <w:rFonts w:ascii="Times New Roman" w:hAnsi="Times New Roman" w:cs="Times New Roman"/>
          <w:color w:val="000000" w:themeColor="text1"/>
          <w:szCs w:val="24"/>
        </w:rPr>
      </w:pPr>
      <w:r w:rsidRPr="0077769A">
        <w:rPr>
          <w:rFonts w:ascii="Times New Roman" w:hAnsi="Times New Roman" w:cs="Times New Roman"/>
          <w:noProof/>
          <w:color w:val="000000" w:themeColor="text1"/>
          <w:szCs w:val="24"/>
          <w:lang w:eastAsia="en-US"/>
        </w:rPr>
        <w:drawing>
          <wp:inline distT="0" distB="0" distL="0" distR="0" wp14:anchorId="654E9F6B" wp14:editId="1446B646">
            <wp:extent cx="3929693" cy="2618156"/>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_global-QoL.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9693" cy="2618156"/>
                    </a:xfrm>
                    <a:prstGeom prst="rect">
                      <a:avLst/>
                    </a:prstGeom>
                  </pic:spPr>
                </pic:pic>
              </a:graphicData>
            </a:graphic>
          </wp:inline>
        </w:drawing>
      </w:r>
    </w:p>
    <w:p w14:paraId="696DD3D5" w14:textId="77777777" w:rsidR="003D5069" w:rsidRPr="0077769A" w:rsidRDefault="003D5069" w:rsidP="00145DDA">
      <w:pPr>
        <w:contextualSpacing/>
        <w:rPr>
          <w:rFonts w:ascii="Times New Roman" w:hAnsi="Times New Roman" w:cs="Times New Roman"/>
          <w:color w:val="000000" w:themeColor="text1"/>
          <w:szCs w:val="24"/>
        </w:rPr>
      </w:pPr>
      <w:r w:rsidRPr="0077769A">
        <w:rPr>
          <w:rFonts w:ascii="Times New Roman" w:hAnsi="Times New Roman" w:cs="Times New Roman"/>
          <w:color w:val="000000" w:themeColor="text1"/>
          <w:szCs w:val="24"/>
        </w:rPr>
        <w:t xml:space="preserve">Note: the curve of dynamic change of the proportion of patients with functional disability was obtained by applying a kernel-smoothing method. The bandwidth parameter was set at 10%. The score of 1 represents the functional level of manifested disability (global score </w:t>
      </w:r>
      <w:r w:rsidRPr="0077769A">
        <w:rPr>
          <w:rFonts w:ascii="Times New Roman" w:eastAsia="Times New Roman Uni" w:hAnsi="Times New Roman" w:cs="Times New Roman"/>
          <w:color w:val="000000" w:themeColor="text1"/>
          <w:szCs w:val="24"/>
        </w:rPr>
        <w:t>≤</w:t>
      </w:r>
      <w:r w:rsidRPr="0077769A">
        <w:rPr>
          <w:rFonts w:ascii="Times New Roman" w:hAnsi="Times New Roman" w:cs="Times New Roman"/>
          <w:color w:val="000000" w:themeColor="text1"/>
          <w:szCs w:val="24"/>
        </w:rPr>
        <w:t xml:space="preserve"> 70 or domain score: 3</w:t>
      </w:r>
      <w:r w:rsidRPr="0077769A">
        <w:rPr>
          <w:rFonts w:ascii="Times New Roman" w:eastAsia="新細明體" w:hAnsi="Times New Roman" w:cs="Times New Roman"/>
          <w:color w:val="000000" w:themeColor="text1"/>
          <w:kern w:val="0"/>
          <w:szCs w:val="24"/>
        </w:rPr>
        <w:t>–</w:t>
      </w:r>
      <w:r w:rsidRPr="0077769A">
        <w:rPr>
          <w:rFonts w:ascii="Times New Roman" w:hAnsi="Times New Roman" w:cs="Times New Roman"/>
          <w:color w:val="000000" w:themeColor="text1"/>
          <w:szCs w:val="24"/>
        </w:rPr>
        <w:t>6); the score of 0 represents another functional level (global score: 71</w:t>
      </w:r>
      <w:r w:rsidRPr="0077769A">
        <w:rPr>
          <w:rFonts w:ascii="Times New Roman" w:eastAsia="新細明體" w:hAnsi="Times New Roman" w:cs="Times New Roman"/>
          <w:color w:val="000000" w:themeColor="text1"/>
          <w:kern w:val="0"/>
          <w:szCs w:val="24"/>
        </w:rPr>
        <w:t>–</w:t>
      </w:r>
      <w:r w:rsidRPr="0077769A">
        <w:rPr>
          <w:rFonts w:ascii="Times New Roman" w:hAnsi="Times New Roman" w:cs="Times New Roman"/>
          <w:color w:val="000000" w:themeColor="text1"/>
          <w:szCs w:val="24"/>
        </w:rPr>
        <w:t>100 or domain score: 1</w:t>
      </w:r>
      <w:r w:rsidRPr="0077769A">
        <w:rPr>
          <w:rFonts w:ascii="Times New Roman" w:eastAsia="新細明體" w:hAnsi="Times New Roman" w:cs="Times New Roman"/>
          <w:color w:val="000000" w:themeColor="text1"/>
          <w:kern w:val="0"/>
          <w:szCs w:val="24"/>
        </w:rPr>
        <w:t>–</w:t>
      </w:r>
      <w:r w:rsidRPr="0077769A">
        <w:rPr>
          <w:rFonts w:ascii="Times New Roman" w:hAnsi="Times New Roman" w:cs="Times New Roman"/>
          <w:color w:val="000000" w:themeColor="text1"/>
          <w:szCs w:val="24"/>
        </w:rPr>
        <w:t>2). The curve illustrates the change in the proportion of patients with functional disability, and a higher score indicates that a greater proportion of patients are of a manifested disability status at time</w:t>
      </w:r>
      <w:r w:rsidRPr="0077769A">
        <w:rPr>
          <w:rFonts w:ascii="Times New Roman" w:hAnsi="Times New Roman" w:cs="Times New Roman"/>
          <w:i/>
          <w:color w:val="000000" w:themeColor="text1"/>
          <w:szCs w:val="24"/>
        </w:rPr>
        <w:t xml:space="preserve"> t</w:t>
      </w:r>
      <w:r w:rsidRPr="0077769A">
        <w:rPr>
          <w:rFonts w:ascii="Times New Roman" w:hAnsi="Times New Roman" w:cs="Times New Roman"/>
          <w:color w:val="000000" w:themeColor="text1"/>
          <w:szCs w:val="24"/>
        </w:rPr>
        <w:t>.</w:t>
      </w:r>
    </w:p>
    <w:p w14:paraId="35648C23" w14:textId="77777777" w:rsidR="003D5069" w:rsidRPr="0077769A" w:rsidRDefault="003D5069" w:rsidP="00145DDA">
      <w:pPr>
        <w:contextualSpacing/>
        <w:rPr>
          <w:rFonts w:ascii="Times New Roman" w:hAnsi="Times New Roman" w:cs="Times New Roman"/>
          <w:b/>
          <w:color w:val="000000" w:themeColor="text1"/>
          <w:szCs w:val="24"/>
        </w:rPr>
      </w:pPr>
    </w:p>
    <w:p w14:paraId="6D60FAEC" w14:textId="77777777" w:rsidR="003D5069" w:rsidRPr="0077769A" w:rsidRDefault="003D5069" w:rsidP="00145DDA">
      <w:pPr>
        <w:widowControl/>
        <w:contextualSpacing/>
        <w:rPr>
          <w:rFonts w:ascii="Times New Roman" w:hAnsi="Times New Roman" w:cs="Times New Roman"/>
          <w:b/>
          <w:color w:val="000000" w:themeColor="text1"/>
          <w:szCs w:val="24"/>
        </w:rPr>
      </w:pPr>
      <w:r w:rsidRPr="0077769A">
        <w:rPr>
          <w:rFonts w:ascii="Times New Roman" w:hAnsi="Times New Roman" w:cs="Times New Roman"/>
          <w:b/>
          <w:color w:val="000000" w:themeColor="text1"/>
          <w:szCs w:val="24"/>
        </w:rPr>
        <w:br w:type="page"/>
      </w:r>
    </w:p>
    <w:p w14:paraId="3C871244" w14:textId="77777777" w:rsidR="003D5069" w:rsidRPr="0077769A" w:rsidRDefault="003D5069" w:rsidP="00145DDA">
      <w:pPr>
        <w:contextualSpacing/>
        <w:rPr>
          <w:rFonts w:ascii="Times New Roman" w:hAnsi="Times New Roman" w:cs="Times New Roman"/>
          <w:color w:val="000000" w:themeColor="text1"/>
          <w:szCs w:val="24"/>
        </w:rPr>
      </w:pPr>
      <w:r w:rsidRPr="0077769A">
        <w:rPr>
          <w:rFonts w:ascii="Times New Roman" w:eastAsia="新細明體" w:hAnsi="Times New Roman" w:cs="Times New Roman"/>
          <w:color w:val="000000" w:themeColor="text1"/>
          <w:szCs w:val="24"/>
        </w:rPr>
        <w:lastRenderedPageBreak/>
        <w:t xml:space="preserve">Supplementary </w:t>
      </w:r>
      <w:r w:rsidRPr="0077769A">
        <w:rPr>
          <w:rFonts w:ascii="Times New Roman" w:hAnsi="Times New Roman" w:cs="Times New Roman"/>
          <w:szCs w:val="24"/>
        </w:rPr>
        <w:t>Figure 2</w:t>
      </w:r>
      <w:r w:rsidRPr="0077769A">
        <w:rPr>
          <w:rFonts w:ascii="Times New Roman" w:hAnsi="Times New Roman" w:cs="Times New Roman"/>
          <w:color w:val="000000"/>
          <w:szCs w:val="24"/>
        </w:rPr>
        <w:t>.</w:t>
      </w:r>
      <w:r w:rsidRPr="0077769A">
        <w:rPr>
          <w:rFonts w:ascii="Times New Roman" w:hAnsi="Times New Roman" w:cs="Times New Roman"/>
          <w:color w:val="000000" w:themeColor="text1"/>
          <w:szCs w:val="24"/>
        </w:rPr>
        <w:t xml:space="preserve"> Expected years of living with disability in patients with schizophrenia. </w:t>
      </w:r>
    </w:p>
    <w:p w14:paraId="24D48F26" w14:textId="77777777" w:rsidR="003D5069" w:rsidRPr="0077769A" w:rsidRDefault="003D5069" w:rsidP="00145DDA">
      <w:pPr>
        <w:contextualSpacing/>
        <w:jc w:val="center"/>
        <w:rPr>
          <w:rFonts w:ascii="Times New Roman" w:hAnsi="Times New Roman" w:cs="Times New Roman"/>
          <w:color w:val="000000" w:themeColor="text1"/>
          <w:szCs w:val="24"/>
        </w:rPr>
      </w:pPr>
      <w:r w:rsidRPr="0077769A">
        <w:rPr>
          <w:rFonts w:ascii="Times New Roman" w:hAnsi="Times New Roman" w:cs="Times New Roman"/>
          <w:noProof/>
          <w:color w:val="000000" w:themeColor="text1"/>
          <w:szCs w:val="24"/>
          <w:lang w:eastAsia="en-US"/>
        </w:rPr>
        <w:drawing>
          <wp:inline distT="0" distB="0" distL="0" distR="0" wp14:anchorId="77CB4C34" wp14:editId="4D37709C">
            <wp:extent cx="3956835" cy="5422789"/>
            <wp:effectExtent l="19050" t="0" r="556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1118" cy="5428659"/>
                    </a:xfrm>
                    <a:prstGeom prst="rect">
                      <a:avLst/>
                    </a:prstGeom>
                  </pic:spPr>
                </pic:pic>
              </a:graphicData>
            </a:graphic>
          </wp:inline>
        </w:drawing>
      </w:r>
    </w:p>
    <w:p w14:paraId="0984737C" w14:textId="77777777" w:rsidR="003D5069" w:rsidRPr="0077769A" w:rsidRDefault="003D5069" w:rsidP="00145DDA">
      <w:pPr>
        <w:contextualSpacing/>
        <w:rPr>
          <w:rFonts w:ascii="Times New Roman" w:hAnsi="Times New Roman" w:cs="Times New Roman"/>
          <w:color w:val="000000" w:themeColor="text1"/>
          <w:szCs w:val="24"/>
        </w:rPr>
      </w:pPr>
      <w:r w:rsidRPr="0077769A">
        <w:rPr>
          <w:rFonts w:ascii="Times New Roman" w:hAnsi="Times New Roman" w:cs="Times New Roman"/>
          <w:color w:val="000000" w:themeColor="text1"/>
          <w:szCs w:val="24"/>
        </w:rPr>
        <w:t>Note: (A) the survival probability at each time point was multiplied by the proportion of functionality to obtain a lifetime functional disability-adjusted survival</w:t>
      </w:r>
      <w:r w:rsidRPr="0077769A" w:rsidDel="00A77FD1">
        <w:rPr>
          <w:rFonts w:ascii="Times New Roman" w:hAnsi="Times New Roman" w:cs="Times New Roman"/>
          <w:color w:val="000000" w:themeColor="text1"/>
          <w:szCs w:val="24"/>
        </w:rPr>
        <w:t xml:space="preserve"> </w:t>
      </w:r>
      <w:r w:rsidRPr="0077769A">
        <w:rPr>
          <w:rFonts w:ascii="Times New Roman" w:hAnsi="Times New Roman" w:cs="Times New Roman"/>
          <w:color w:val="000000" w:themeColor="text1"/>
          <w:szCs w:val="24"/>
        </w:rPr>
        <w:t>(solid curve); (B) the panel illustrates the expected years of life lost (the area between the red dashed and green dotted curves), the expected years of living with mild difficulty (the area between the red dashed and solid curve), and the expected years of living with manifested disability (shaded area under solid curve) for the patients with schizophrenia.</w:t>
      </w:r>
    </w:p>
    <w:p w14:paraId="394F04E2" w14:textId="77777777" w:rsidR="003D5069" w:rsidRPr="0077769A" w:rsidRDefault="003D5069">
      <w:pPr>
        <w:widowControl/>
        <w:rPr>
          <w:rFonts w:ascii="Times New Roman" w:hAnsi="Times New Roman" w:cs="Times New Roman"/>
          <w:b/>
          <w:color w:val="000000" w:themeColor="text1"/>
          <w:szCs w:val="24"/>
        </w:rPr>
      </w:pPr>
      <w:r w:rsidRPr="0077769A">
        <w:rPr>
          <w:rFonts w:ascii="Times New Roman" w:hAnsi="Times New Roman" w:cs="Times New Roman"/>
          <w:color w:val="000000" w:themeColor="text1"/>
          <w:szCs w:val="24"/>
        </w:rPr>
        <w:t>PSP: Personal and Social Performance Scale; Line 1= functional disability-adjusted survival; Line 2 = life expectancy of patients with schizophrenia; Line 3 = proportion of patients with functional disability; Line 4 = functional disability-adjusted survival; Line 5 = life expectancy of patients with schizophrenia; Line 6 = life expectancy of reference population.</w:t>
      </w:r>
      <w:r w:rsidRPr="0077769A">
        <w:rPr>
          <w:rFonts w:ascii="Times New Roman" w:hAnsi="Times New Roman" w:cs="Times New Roman"/>
          <w:b/>
          <w:color w:val="000000" w:themeColor="text1"/>
          <w:szCs w:val="24"/>
        </w:rPr>
        <w:br w:type="page"/>
      </w:r>
    </w:p>
    <w:p w14:paraId="277B2BB8" w14:textId="77777777" w:rsidR="003D5069" w:rsidRPr="0077769A" w:rsidRDefault="003D5069" w:rsidP="00145DDA">
      <w:pPr>
        <w:widowControl/>
        <w:contextualSpacing/>
        <w:rPr>
          <w:rFonts w:ascii="Times New Roman" w:hAnsi="Times New Roman" w:cs="Times New Roman"/>
          <w:color w:val="000000" w:themeColor="text1"/>
          <w:szCs w:val="24"/>
        </w:rPr>
      </w:pPr>
      <w:r w:rsidRPr="0077769A">
        <w:rPr>
          <w:rFonts w:ascii="Times New Roman" w:eastAsia="新細明體" w:hAnsi="Times New Roman" w:cs="Times New Roman"/>
          <w:color w:val="000000" w:themeColor="text1"/>
          <w:szCs w:val="24"/>
        </w:rPr>
        <w:t xml:space="preserve">Supplementary </w:t>
      </w:r>
      <w:r w:rsidRPr="0077769A">
        <w:rPr>
          <w:rFonts w:ascii="Times New Roman" w:hAnsi="Times New Roman" w:cs="Times New Roman"/>
          <w:szCs w:val="24"/>
        </w:rPr>
        <w:t>Figure 3</w:t>
      </w:r>
      <w:r w:rsidRPr="0077769A">
        <w:rPr>
          <w:rFonts w:ascii="Times New Roman" w:hAnsi="Times New Roman" w:cs="Times New Roman"/>
          <w:color w:val="000000"/>
          <w:szCs w:val="24"/>
        </w:rPr>
        <w:t>.</w:t>
      </w:r>
      <w:r w:rsidRPr="0077769A">
        <w:rPr>
          <w:rFonts w:ascii="Times New Roman" w:hAnsi="Times New Roman" w:cs="Times New Roman"/>
          <w:b/>
          <w:color w:val="000000" w:themeColor="text1"/>
          <w:szCs w:val="24"/>
        </w:rPr>
        <w:t xml:space="preserve"> </w:t>
      </w:r>
      <w:r w:rsidRPr="0077769A">
        <w:rPr>
          <w:rFonts w:ascii="Times New Roman" w:hAnsi="Times New Roman" w:cs="Times New Roman"/>
          <w:color w:val="000000" w:themeColor="text1"/>
          <w:szCs w:val="24"/>
        </w:rPr>
        <w:t>The concept of expected years of living with disability.</w:t>
      </w:r>
    </w:p>
    <w:p w14:paraId="3B48EE9C" w14:textId="77777777" w:rsidR="003D5069" w:rsidRPr="0077769A" w:rsidRDefault="003D5069" w:rsidP="00145DDA">
      <w:pPr>
        <w:contextualSpacing/>
        <w:rPr>
          <w:rFonts w:ascii="Times New Roman" w:hAnsi="Times New Roman" w:cs="Times New Roman"/>
          <w:color w:val="000000" w:themeColor="text1"/>
          <w:szCs w:val="24"/>
        </w:rPr>
      </w:pPr>
      <w:r w:rsidRPr="0077769A">
        <w:rPr>
          <w:rFonts w:ascii="Times New Roman" w:hAnsi="Times New Roman" w:cs="Times New Roman"/>
          <w:noProof/>
          <w:color w:val="000000" w:themeColor="text1"/>
          <w:szCs w:val="24"/>
          <w:lang w:eastAsia="en-US"/>
        </w:rPr>
        <w:drawing>
          <wp:inline distT="0" distB="0" distL="0" distR="0" wp14:anchorId="62E7E51D" wp14:editId="754D7E92">
            <wp:extent cx="5274310" cy="24161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L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416175"/>
                    </a:xfrm>
                    <a:prstGeom prst="rect">
                      <a:avLst/>
                    </a:prstGeom>
                  </pic:spPr>
                </pic:pic>
              </a:graphicData>
            </a:graphic>
          </wp:inline>
        </w:drawing>
      </w:r>
    </w:p>
    <w:p w14:paraId="77F6BC6C" w14:textId="77777777" w:rsidR="003D5069" w:rsidRPr="0077769A" w:rsidRDefault="003D5069" w:rsidP="00145DDA">
      <w:pPr>
        <w:contextualSpacing/>
        <w:rPr>
          <w:rFonts w:ascii="Times New Roman" w:hAnsi="Times New Roman" w:cs="Times New Roman"/>
          <w:color w:val="000000" w:themeColor="text1"/>
          <w:szCs w:val="24"/>
        </w:rPr>
      </w:pPr>
      <w:r w:rsidRPr="0077769A">
        <w:rPr>
          <w:rFonts w:ascii="Times New Roman" w:hAnsi="Times New Roman" w:cs="Times New Roman"/>
          <w:color w:val="000000" w:themeColor="text1"/>
          <w:szCs w:val="24"/>
        </w:rPr>
        <w:t>Note: the figure illustrates the number of years spent with functional disability from the onset of disease to premature death due to schizophrenia. The expected years of living with disability is simply calculated by multiplying the life expectancy of patients with schizophrenia by the proportions of patients with functional disability at different functional levels (e.g., mild difficulty or manifested disability).</w:t>
      </w:r>
    </w:p>
    <w:p w14:paraId="4FA76EB3" w14:textId="77777777" w:rsidR="00432A74" w:rsidRDefault="00432A74"/>
    <w:sectPr w:rsidR="00432A74" w:rsidSect="009823B2">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8A41E" w14:textId="77777777" w:rsidR="007C3C75" w:rsidRDefault="007C3C75" w:rsidP="00EA056E">
      <w:r>
        <w:separator/>
      </w:r>
    </w:p>
  </w:endnote>
  <w:endnote w:type="continuationSeparator" w:id="0">
    <w:p w14:paraId="229A2A04" w14:textId="77777777" w:rsidR="007C3C75" w:rsidRDefault="007C3C75" w:rsidP="00EA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新細明體">
    <w:charset w:val="51"/>
    <w:family w:val="auto"/>
    <w:pitch w:val="variable"/>
    <w:sig w:usb0="00000003" w:usb1="080E0000" w:usb2="00000016" w:usb3="00000000" w:csb0="00100001" w:csb1="00000000"/>
  </w:font>
  <w:font w:name="Cambria">
    <w:panose1 w:val="02040503050406030204"/>
    <w:charset w:val="00"/>
    <w:family w:val="auto"/>
    <w:pitch w:val="variable"/>
    <w:sig w:usb0="A00002EF" w:usb1="4000004B" w:usb2="00000000" w:usb3="00000000" w:csb0="0000009F" w:csb1="00000000"/>
  </w:font>
  <w:font w:name="Times New Roman Uni">
    <w:altName w:val="Arial Unicode MS"/>
    <w:charset w:val="88"/>
    <w:family w:val="roman"/>
    <w:pitch w:val="variable"/>
    <w:sig w:usb0="B334AAFF" w:usb1="F9DFFFFF" w:usb2="0000003E" w:usb3="00000000" w:csb0="001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77529"/>
      <w:docPartObj>
        <w:docPartGallery w:val="Page Numbers (Bottom of Page)"/>
        <w:docPartUnique/>
      </w:docPartObj>
    </w:sdtPr>
    <w:sdtEndPr/>
    <w:sdtContent>
      <w:p w14:paraId="3F5C1874" w14:textId="77777777" w:rsidR="00D815C0" w:rsidRDefault="00EA056E">
        <w:pPr>
          <w:pStyle w:val="Footer"/>
          <w:jc w:val="center"/>
        </w:pPr>
        <w:r>
          <w:fldChar w:fldCharType="begin"/>
        </w:r>
        <w:r w:rsidR="00BC61D5">
          <w:instrText xml:space="preserve"> PAGE   \* MERGEFORMAT </w:instrText>
        </w:r>
        <w:r>
          <w:fldChar w:fldCharType="separate"/>
        </w:r>
        <w:r w:rsidR="00AB2F7D" w:rsidRPr="00AB2F7D">
          <w:rPr>
            <w:noProof/>
            <w:lang w:val="zh-TW"/>
          </w:rPr>
          <w:t>2</w:t>
        </w:r>
        <w:r>
          <w:rPr>
            <w:noProof/>
            <w:lang w:val="zh-TW"/>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D9C9A" w14:textId="77777777" w:rsidR="007C3C75" w:rsidRDefault="007C3C75" w:rsidP="00EA056E">
      <w:r>
        <w:separator/>
      </w:r>
    </w:p>
  </w:footnote>
  <w:footnote w:type="continuationSeparator" w:id="0">
    <w:p w14:paraId="2BABC5F4" w14:textId="77777777" w:rsidR="007C3C75" w:rsidRDefault="007C3C75" w:rsidP="00EA05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C36"/>
    <w:multiLevelType w:val="hybridMultilevel"/>
    <w:tmpl w:val="63320530"/>
    <w:lvl w:ilvl="0" w:tplc="04090001">
      <w:start w:val="1"/>
      <w:numFmt w:val="bullet"/>
      <w:lvlText w:val=""/>
      <w:lvlJc w:val="left"/>
      <w:pPr>
        <w:ind w:left="480" w:hanging="48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807DAA"/>
    <w:multiLevelType w:val="hybridMultilevel"/>
    <w:tmpl w:val="935CA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62365DA"/>
    <w:multiLevelType w:val="hybridMultilevel"/>
    <w:tmpl w:val="A3325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3317B4"/>
    <w:multiLevelType w:val="hybridMultilevel"/>
    <w:tmpl w:val="9000EE20"/>
    <w:lvl w:ilvl="0" w:tplc="2F82F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995B41"/>
    <w:multiLevelType w:val="hybridMultilevel"/>
    <w:tmpl w:val="1652C6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3D5069"/>
    <w:rsid w:val="0000011D"/>
    <w:rsid w:val="00000CD6"/>
    <w:rsid w:val="00002BF6"/>
    <w:rsid w:val="00004947"/>
    <w:rsid w:val="00005832"/>
    <w:rsid w:val="00005B24"/>
    <w:rsid w:val="00006442"/>
    <w:rsid w:val="000153C1"/>
    <w:rsid w:val="000164DD"/>
    <w:rsid w:val="00016FD3"/>
    <w:rsid w:val="0001765F"/>
    <w:rsid w:val="00024863"/>
    <w:rsid w:val="00025096"/>
    <w:rsid w:val="00026EE0"/>
    <w:rsid w:val="00027431"/>
    <w:rsid w:val="00031516"/>
    <w:rsid w:val="00033ED7"/>
    <w:rsid w:val="00035A54"/>
    <w:rsid w:val="00037626"/>
    <w:rsid w:val="00037E1A"/>
    <w:rsid w:val="00040E32"/>
    <w:rsid w:val="00041032"/>
    <w:rsid w:val="000415CB"/>
    <w:rsid w:val="00042A74"/>
    <w:rsid w:val="00042AAB"/>
    <w:rsid w:val="0004375B"/>
    <w:rsid w:val="00047DF1"/>
    <w:rsid w:val="00050CCA"/>
    <w:rsid w:val="000525BC"/>
    <w:rsid w:val="000525EA"/>
    <w:rsid w:val="00052E6B"/>
    <w:rsid w:val="00053118"/>
    <w:rsid w:val="00053A21"/>
    <w:rsid w:val="00054CFF"/>
    <w:rsid w:val="00056D37"/>
    <w:rsid w:val="00057D34"/>
    <w:rsid w:val="00060AFC"/>
    <w:rsid w:val="00061474"/>
    <w:rsid w:val="00062554"/>
    <w:rsid w:val="0007028C"/>
    <w:rsid w:val="00071E29"/>
    <w:rsid w:val="00073139"/>
    <w:rsid w:val="00073354"/>
    <w:rsid w:val="00074129"/>
    <w:rsid w:val="00075ACC"/>
    <w:rsid w:val="00081BC2"/>
    <w:rsid w:val="00084185"/>
    <w:rsid w:val="000870E6"/>
    <w:rsid w:val="00091B5C"/>
    <w:rsid w:val="0009203D"/>
    <w:rsid w:val="000966A4"/>
    <w:rsid w:val="000A1AC7"/>
    <w:rsid w:val="000A23E7"/>
    <w:rsid w:val="000A2E4C"/>
    <w:rsid w:val="000A3094"/>
    <w:rsid w:val="000A35C4"/>
    <w:rsid w:val="000A4074"/>
    <w:rsid w:val="000B2371"/>
    <w:rsid w:val="000B3769"/>
    <w:rsid w:val="000B4143"/>
    <w:rsid w:val="000B4FB5"/>
    <w:rsid w:val="000B5057"/>
    <w:rsid w:val="000B740A"/>
    <w:rsid w:val="000B7B28"/>
    <w:rsid w:val="000C1B2F"/>
    <w:rsid w:val="000C1D6E"/>
    <w:rsid w:val="000C1E2F"/>
    <w:rsid w:val="000C2B82"/>
    <w:rsid w:val="000C2DC7"/>
    <w:rsid w:val="000C360D"/>
    <w:rsid w:val="000C41EC"/>
    <w:rsid w:val="000C74E1"/>
    <w:rsid w:val="000C7F85"/>
    <w:rsid w:val="000D008D"/>
    <w:rsid w:val="000D0639"/>
    <w:rsid w:val="000D072A"/>
    <w:rsid w:val="000D1B25"/>
    <w:rsid w:val="000D2052"/>
    <w:rsid w:val="000D23C5"/>
    <w:rsid w:val="000D2793"/>
    <w:rsid w:val="000D55D3"/>
    <w:rsid w:val="000D5F31"/>
    <w:rsid w:val="000D67AB"/>
    <w:rsid w:val="000D7195"/>
    <w:rsid w:val="000E21C1"/>
    <w:rsid w:val="000E2F80"/>
    <w:rsid w:val="000E481E"/>
    <w:rsid w:val="000E4FFA"/>
    <w:rsid w:val="000E6A8B"/>
    <w:rsid w:val="000E6B5B"/>
    <w:rsid w:val="000E6D19"/>
    <w:rsid w:val="000E7ADE"/>
    <w:rsid w:val="000E7E03"/>
    <w:rsid w:val="000F33B1"/>
    <w:rsid w:val="000F3B32"/>
    <w:rsid w:val="000F3C81"/>
    <w:rsid w:val="000F4702"/>
    <w:rsid w:val="000F5162"/>
    <w:rsid w:val="000F6708"/>
    <w:rsid w:val="000F79C5"/>
    <w:rsid w:val="00101683"/>
    <w:rsid w:val="0010350E"/>
    <w:rsid w:val="0010510D"/>
    <w:rsid w:val="00111981"/>
    <w:rsid w:val="0011299E"/>
    <w:rsid w:val="00115A93"/>
    <w:rsid w:val="00117857"/>
    <w:rsid w:val="00124BDD"/>
    <w:rsid w:val="00125DBF"/>
    <w:rsid w:val="00133597"/>
    <w:rsid w:val="001344A7"/>
    <w:rsid w:val="0013475E"/>
    <w:rsid w:val="0013482D"/>
    <w:rsid w:val="00134AE6"/>
    <w:rsid w:val="00135388"/>
    <w:rsid w:val="00135BC6"/>
    <w:rsid w:val="00135C58"/>
    <w:rsid w:val="00136829"/>
    <w:rsid w:val="00140A45"/>
    <w:rsid w:val="001419F3"/>
    <w:rsid w:val="00144CA0"/>
    <w:rsid w:val="00146428"/>
    <w:rsid w:val="00146AFC"/>
    <w:rsid w:val="00147B25"/>
    <w:rsid w:val="0015350F"/>
    <w:rsid w:val="0015476A"/>
    <w:rsid w:val="001563CA"/>
    <w:rsid w:val="00160112"/>
    <w:rsid w:val="001607BC"/>
    <w:rsid w:val="00161119"/>
    <w:rsid w:val="001612BB"/>
    <w:rsid w:val="001613DA"/>
    <w:rsid w:val="00161E02"/>
    <w:rsid w:val="0016314D"/>
    <w:rsid w:val="00163EE8"/>
    <w:rsid w:val="001640A3"/>
    <w:rsid w:val="00164951"/>
    <w:rsid w:val="00171216"/>
    <w:rsid w:val="001732D5"/>
    <w:rsid w:val="00174B05"/>
    <w:rsid w:val="00175143"/>
    <w:rsid w:val="00176CA9"/>
    <w:rsid w:val="00177141"/>
    <w:rsid w:val="00177ACB"/>
    <w:rsid w:val="0018069A"/>
    <w:rsid w:val="001815A7"/>
    <w:rsid w:val="00181E9C"/>
    <w:rsid w:val="00182D48"/>
    <w:rsid w:val="00184A94"/>
    <w:rsid w:val="0018531F"/>
    <w:rsid w:val="0019159E"/>
    <w:rsid w:val="00193A3A"/>
    <w:rsid w:val="001940B4"/>
    <w:rsid w:val="0019578C"/>
    <w:rsid w:val="0019649F"/>
    <w:rsid w:val="001968B9"/>
    <w:rsid w:val="001A0BD3"/>
    <w:rsid w:val="001B09F3"/>
    <w:rsid w:val="001B13D0"/>
    <w:rsid w:val="001B2283"/>
    <w:rsid w:val="001B25C2"/>
    <w:rsid w:val="001B2890"/>
    <w:rsid w:val="001B4218"/>
    <w:rsid w:val="001B4852"/>
    <w:rsid w:val="001B4C1B"/>
    <w:rsid w:val="001B54DF"/>
    <w:rsid w:val="001C1130"/>
    <w:rsid w:val="001C1D57"/>
    <w:rsid w:val="001C209F"/>
    <w:rsid w:val="001C4BAF"/>
    <w:rsid w:val="001C53EA"/>
    <w:rsid w:val="001C5E10"/>
    <w:rsid w:val="001C7602"/>
    <w:rsid w:val="001D0F12"/>
    <w:rsid w:val="001D1CE6"/>
    <w:rsid w:val="001D232D"/>
    <w:rsid w:val="001D2685"/>
    <w:rsid w:val="001D2E98"/>
    <w:rsid w:val="001D6774"/>
    <w:rsid w:val="001E2225"/>
    <w:rsid w:val="001E45AE"/>
    <w:rsid w:val="001E4D07"/>
    <w:rsid w:val="001E524E"/>
    <w:rsid w:val="001E6820"/>
    <w:rsid w:val="001F0828"/>
    <w:rsid w:val="001F1705"/>
    <w:rsid w:val="001F588C"/>
    <w:rsid w:val="001F7DEC"/>
    <w:rsid w:val="00200AE4"/>
    <w:rsid w:val="00201F32"/>
    <w:rsid w:val="00204FB4"/>
    <w:rsid w:val="00205F20"/>
    <w:rsid w:val="00206A00"/>
    <w:rsid w:val="00206BEA"/>
    <w:rsid w:val="0020777B"/>
    <w:rsid w:val="002115E1"/>
    <w:rsid w:val="00212C5F"/>
    <w:rsid w:val="00213570"/>
    <w:rsid w:val="00215A6F"/>
    <w:rsid w:val="0021693F"/>
    <w:rsid w:val="00220218"/>
    <w:rsid w:val="0022147A"/>
    <w:rsid w:val="002243E3"/>
    <w:rsid w:val="002244E3"/>
    <w:rsid w:val="00224C2F"/>
    <w:rsid w:val="00224E02"/>
    <w:rsid w:val="0023076A"/>
    <w:rsid w:val="0023187E"/>
    <w:rsid w:val="002324B8"/>
    <w:rsid w:val="0023343F"/>
    <w:rsid w:val="0023424B"/>
    <w:rsid w:val="00234E1D"/>
    <w:rsid w:val="00234FB0"/>
    <w:rsid w:val="002366A0"/>
    <w:rsid w:val="0024005B"/>
    <w:rsid w:val="00240991"/>
    <w:rsid w:val="00241BF7"/>
    <w:rsid w:val="00242761"/>
    <w:rsid w:val="002433F3"/>
    <w:rsid w:val="002437E2"/>
    <w:rsid w:val="002438EA"/>
    <w:rsid w:val="00245556"/>
    <w:rsid w:val="00245E85"/>
    <w:rsid w:val="0024795D"/>
    <w:rsid w:val="00250A90"/>
    <w:rsid w:val="002511C5"/>
    <w:rsid w:val="002515BC"/>
    <w:rsid w:val="00251D89"/>
    <w:rsid w:val="00254682"/>
    <w:rsid w:val="00255DF0"/>
    <w:rsid w:val="002563B8"/>
    <w:rsid w:val="00256856"/>
    <w:rsid w:val="002578E4"/>
    <w:rsid w:val="00257C7E"/>
    <w:rsid w:val="00257E34"/>
    <w:rsid w:val="00262CF3"/>
    <w:rsid w:val="00266EF1"/>
    <w:rsid w:val="00267067"/>
    <w:rsid w:val="00267C0C"/>
    <w:rsid w:val="0027015C"/>
    <w:rsid w:val="002708E5"/>
    <w:rsid w:val="00273D5B"/>
    <w:rsid w:val="00277785"/>
    <w:rsid w:val="002805F0"/>
    <w:rsid w:val="00281B2C"/>
    <w:rsid w:val="00284B04"/>
    <w:rsid w:val="002854EB"/>
    <w:rsid w:val="002862DF"/>
    <w:rsid w:val="0028642F"/>
    <w:rsid w:val="00286DAA"/>
    <w:rsid w:val="00290811"/>
    <w:rsid w:val="0029116B"/>
    <w:rsid w:val="00291311"/>
    <w:rsid w:val="00292B71"/>
    <w:rsid w:val="002970A0"/>
    <w:rsid w:val="002A0C6C"/>
    <w:rsid w:val="002A59F5"/>
    <w:rsid w:val="002B0AC2"/>
    <w:rsid w:val="002B329F"/>
    <w:rsid w:val="002B4488"/>
    <w:rsid w:val="002B4FA4"/>
    <w:rsid w:val="002B5FCD"/>
    <w:rsid w:val="002B65D6"/>
    <w:rsid w:val="002C2EAF"/>
    <w:rsid w:val="002C43A3"/>
    <w:rsid w:val="002C5F3F"/>
    <w:rsid w:val="002D0F2B"/>
    <w:rsid w:val="002D32AF"/>
    <w:rsid w:val="002E0372"/>
    <w:rsid w:val="002E1207"/>
    <w:rsid w:val="002E3D59"/>
    <w:rsid w:val="002E4553"/>
    <w:rsid w:val="002F3B60"/>
    <w:rsid w:val="002F7478"/>
    <w:rsid w:val="00302CBB"/>
    <w:rsid w:val="00305875"/>
    <w:rsid w:val="003063ED"/>
    <w:rsid w:val="0031003D"/>
    <w:rsid w:val="00313070"/>
    <w:rsid w:val="00314450"/>
    <w:rsid w:val="00314858"/>
    <w:rsid w:val="00314C80"/>
    <w:rsid w:val="00315383"/>
    <w:rsid w:val="00315562"/>
    <w:rsid w:val="00322B21"/>
    <w:rsid w:val="00325144"/>
    <w:rsid w:val="003268D5"/>
    <w:rsid w:val="0033002A"/>
    <w:rsid w:val="00330F5A"/>
    <w:rsid w:val="00332103"/>
    <w:rsid w:val="00333D25"/>
    <w:rsid w:val="00334BC4"/>
    <w:rsid w:val="0033579F"/>
    <w:rsid w:val="00335E74"/>
    <w:rsid w:val="00345083"/>
    <w:rsid w:val="00347D37"/>
    <w:rsid w:val="00347D72"/>
    <w:rsid w:val="00350AC9"/>
    <w:rsid w:val="00355115"/>
    <w:rsid w:val="003569BD"/>
    <w:rsid w:val="00360914"/>
    <w:rsid w:val="00360D43"/>
    <w:rsid w:val="00361ADE"/>
    <w:rsid w:val="00370B63"/>
    <w:rsid w:val="00372FB5"/>
    <w:rsid w:val="003755CA"/>
    <w:rsid w:val="003763A7"/>
    <w:rsid w:val="00376CE1"/>
    <w:rsid w:val="00377EAD"/>
    <w:rsid w:val="0038328B"/>
    <w:rsid w:val="003860B2"/>
    <w:rsid w:val="00386E20"/>
    <w:rsid w:val="00390528"/>
    <w:rsid w:val="003924AE"/>
    <w:rsid w:val="00393189"/>
    <w:rsid w:val="003934B8"/>
    <w:rsid w:val="003958B7"/>
    <w:rsid w:val="003961EE"/>
    <w:rsid w:val="00396FB3"/>
    <w:rsid w:val="00397DDE"/>
    <w:rsid w:val="003A2CE2"/>
    <w:rsid w:val="003A4433"/>
    <w:rsid w:val="003A4C10"/>
    <w:rsid w:val="003A5727"/>
    <w:rsid w:val="003A6159"/>
    <w:rsid w:val="003B059E"/>
    <w:rsid w:val="003B0E10"/>
    <w:rsid w:val="003B3E7C"/>
    <w:rsid w:val="003C1463"/>
    <w:rsid w:val="003C37A6"/>
    <w:rsid w:val="003C6992"/>
    <w:rsid w:val="003C74D2"/>
    <w:rsid w:val="003C7DBE"/>
    <w:rsid w:val="003D110A"/>
    <w:rsid w:val="003D1AA8"/>
    <w:rsid w:val="003D2C6D"/>
    <w:rsid w:val="003D2D85"/>
    <w:rsid w:val="003D3B84"/>
    <w:rsid w:val="003D404B"/>
    <w:rsid w:val="003D5069"/>
    <w:rsid w:val="003D77B4"/>
    <w:rsid w:val="003E2CF3"/>
    <w:rsid w:val="003E3089"/>
    <w:rsid w:val="003E3B32"/>
    <w:rsid w:val="003E4232"/>
    <w:rsid w:val="003E4482"/>
    <w:rsid w:val="003E5175"/>
    <w:rsid w:val="003E51D9"/>
    <w:rsid w:val="003E5642"/>
    <w:rsid w:val="003E5DB4"/>
    <w:rsid w:val="003E5F47"/>
    <w:rsid w:val="003E6261"/>
    <w:rsid w:val="003E673D"/>
    <w:rsid w:val="003E70CD"/>
    <w:rsid w:val="003F6BE2"/>
    <w:rsid w:val="0040076B"/>
    <w:rsid w:val="00401ED9"/>
    <w:rsid w:val="00401FFC"/>
    <w:rsid w:val="0040257B"/>
    <w:rsid w:val="004027BE"/>
    <w:rsid w:val="00405E45"/>
    <w:rsid w:val="00410A3B"/>
    <w:rsid w:val="00411D46"/>
    <w:rsid w:val="00411D6D"/>
    <w:rsid w:val="00411D9F"/>
    <w:rsid w:val="0041290D"/>
    <w:rsid w:val="004129B9"/>
    <w:rsid w:val="004133E4"/>
    <w:rsid w:val="00414E3C"/>
    <w:rsid w:val="0041682E"/>
    <w:rsid w:val="00417E47"/>
    <w:rsid w:val="00423686"/>
    <w:rsid w:val="00423C17"/>
    <w:rsid w:val="0042403B"/>
    <w:rsid w:val="0042642D"/>
    <w:rsid w:val="00430F95"/>
    <w:rsid w:val="004310C6"/>
    <w:rsid w:val="0043148F"/>
    <w:rsid w:val="00432A74"/>
    <w:rsid w:val="00432FE1"/>
    <w:rsid w:val="00433CE0"/>
    <w:rsid w:val="004356E3"/>
    <w:rsid w:val="0043662D"/>
    <w:rsid w:val="00444999"/>
    <w:rsid w:val="00446410"/>
    <w:rsid w:val="00446739"/>
    <w:rsid w:val="00446EA7"/>
    <w:rsid w:val="00452974"/>
    <w:rsid w:val="00453A82"/>
    <w:rsid w:val="00454616"/>
    <w:rsid w:val="00456901"/>
    <w:rsid w:val="00456D52"/>
    <w:rsid w:val="0046159B"/>
    <w:rsid w:val="004645B4"/>
    <w:rsid w:val="00465366"/>
    <w:rsid w:val="004659BA"/>
    <w:rsid w:val="00466542"/>
    <w:rsid w:val="0047349C"/>
    <w:rsid w:val="00476ACF"/>
    <w:rsid w:val="00477AD4"/>
    <w:rsid w:val="00480090"/>
    <w:rsid w:val="00480541"/>
    <w:rsid w:val="00480F5F"/>
    <w:rsid w:val="00481162"/>
    <w:rsid w:val="00482662"/>
    <w:rsid w:val="00482E25"/>
    <w:rsid w:val="004856CF"/>
    <w:rsid w:val="00491A8A"/>
    <w:rsid w:val="00494219"/>
    <w:rsid w:val="00496187"/>
    <w:rsid w:val="00497B40"/>
    <w:rsid w:val="004A0724"/>
    <w:rsid w:val="004A0CF9"/>
    <w:rsid w:val="004A117F"/>
    <w:rsid w:val="004A15C3"/>
    <w:rsid w:val="004A4E02"/>
    <w:rsid w:val="004A5C9E"/>
    <w:rsid w:val="004B017C"/>
    <w:rsid w:val="004B14BD"/>
    <w:rsid w:val="004B1ED4"/>
    <w:rsid w:val="004B2020"/>
    <w:rsid w:val="004B31CC"/>
    <w:rsid w:val="004B3C20"/>
    <w:rsid w:val="004B3F8E"/>
    <w:rsid w:val="004B56EE"/>
    <w:rsid w:val="004B6D53"/>
    <w:rsid w:val="004C1247"/>
    <w:rsid w:val="004C3E89"/>
    <w:rsid w:val="004D01BF"/>
    <w:rsid w:val="004D1989"/>
    <w:rsid w:val="004D1A56"/>
    <w:rsid w:val="004D2EF2"/>
    <w:rsid w:val="004D31D6"/>
    <w:rsid w:val="004D4D98"/>
    <w:rsid w:val="004E34A1"/>
    <w:rsid w:val="004E4009"/>
    <w:rsid w:val="004E590D"/>
    <w:rsid w:val="004E7748"/>
    <w:rsid w:val="004F06B7"/>
    <w:rsid w:val="004F0B7B"/>
    <w:rsid w:val="004F10BA"/>
    <w:rsid w:val="004F1243"/>
    <w:rsid w:val="004F1C6D"/>
    <w:rsid w:val="004F3E01"/>
    <w:rsid w:val="004F7435"/>
    <w:rsid w:val="00500A06"/>
    <w:rsid w:val="005025E6"/>
    <w:rsid w:val="00503177"/>
    <w:rsid w:val="00504A9B"/>
    <w:rsid w:val="00505361"/>
    <w:rsid w:val="0050781A"/>
    <w:rsid w:val="00510E94"/>
    <w:rsid w:val="005127B4"/>
    <w:rsid w:val="0051409C"/>
    <w:rsid w:val="00514764"/>
    <w:rsid w:val="005156BC"/>
    <w:rsid w:val="005158A3"/>
    <w:rsid w:val="00524A70"/>
    <w:rsid w:val="00525CBB"/>
    <w:rsid w:val="00525FE7"/>
    <w:rsid w:val="005267DB"/>
    <w:rsid w:val="00526D0C"/>
    <w:rsid w:val="00531AB5"/>
    <w:rsid w:val="00531CBF"/>
    <w:rsid w:val="0053318E"/>
    <w:rsid w:val="00533514"/>
    <w:rsid w:val="00536B32"/>
    <w:rsid w:val="00540C42"/>
    <w:rsid w:val="005414CF"/>
    <w:rsid w:val="005415CE"/>
    <w:rsid w:val="00542893"/>
    <w:rsid w:val="0054334D"/>
    <w:rsid w:val="0054363C"/>
    <w:rsid w:val="0054374D"/>
    <w:rsid w:val="00545F75"/>
    <w:rsid w:val="00546A67"/>
    <w:rsid w:val="00552970"/>
    <w:rsid w:val="0055641C"/>
    <w:rsid w:val="005570EE"/>
    <w:rsid w:val="00564A11"/>
    <w:rsid w:val="00565FB3"/>
    <w:rsid w:val="00566F12"/>
    <w:rsid w:val="005671F2"/>
    <w:rsid w:val="0057057E"/>
    <w:rsid w:val="00573629"/>
    <w:rsid w:val="0057437D"/>
    <w:rsid w:val="005744FE"/>
    <w:rsid w:val="00575024"/>
    <w:rsid w:val="005757CA"/>
    <w:rsid w:val="005803E2"/>
    <w:rsid w:val="005807D8"/>
    <w:rsid w:val="0058280B"/>
    <w:rsid w:val="00585E6D"/>
    <w:rsid w:val="00595B47"/>
    <w:rsid w:val="00597107"/>
    <w:rsid w:val="00597515"/>
    <w:rsid w:val="005A3A4E"/>
    <w:rsid w:val="005B112B"/>
    <w:rsid w:val="005B2151"/>
    <w:rsid w:val="005B458C"/>
    <w:rsid w:val="005B7CF3"/>
    <w:rsid w:val="005C4967"/>
    <w:rsid w:val="005D03A8"/>
    <w:rsid w:val="005D277A"/>
    <w:rsid w:val="005D454B"/>
    <w:rsid w:val="005D4B45"/>
    <w:rsid w:val="005D6E0F"/>
    <w:rsid w:val="005E156F"/>
    <w:rsid w:val="005E1B06"/>
    <w:rsid w:val="005E2B4C"/>
    <w:rsid w:val="005E2C8D"/>
    <w:rsid w:val="005E3668"/>
    <w:rsid w:val="005E4D3A"/>
    <w:rsid w:val="005E5637"/>
    <w:rsid w:val="005E6811"/>
    <w:rsid w:val="005E6FC7"/>
    <w:rsid w:val="005E70DD"/>
    <w:rsid w:val="005F4175"/>
    <w:rsid w:val="005F6AA5"/>
    <w:rsid w:val="005F7B79"/>
    <w:rsid w:val="00600204"/>
    <w:rsid w:val="00603251"/>
    <w:rsid w:val="00604C4B"/>
    <w:rsid w:val="0060538D"/>
    <w:rsid w:val="00610419"/>
    <w:rsid w:val="006112CC"/>
    <w:rsid w:val="006131A2"/>
    <w:rsid w:val="006138D8"/>
    <w:rsid w:val="00613C74"/>
    <w:rsid w:val="00613F2D"/>
    <w:rsid w:val="00614170"/>
    <w:rsid w:val="00614D0B"/>
    <w:rsid w:val="00615817"/>
    <w:rsid w:val="00615834"/>
    <w:rsid w:val="00615B13"/>
    <w:rsid w:val="0062489B"/>
    <w:rsid w:val="00625206"/>
    <w:rsid w:val="00625E59"/>
    <w:rsid w:val="00626BFE"/>
    <w:rsid w:val="00633116"/>
    <w:rsid w:val="00633397"/>
    <w:rsid w:val="00636557"/>
    <w:rsid w:val="00636762"/>
    <w:rsid w:val="00640185"/>
    <w:rsid w:val="00642B03"/>
    <w:rsid w:val="00642B3D"/>
    <w:rsid w:val="00642D2D"/>
    <w:rsid w:val="00646BD8"/>
    <w:rsid w:val="00647C4B"/>
    <w:rsid w:val="00652379"/>
    <w:rsid w:val="0065249C"/>
    <w:rsid w:val="00652EE1"/>
    <w:rsid w:val="0065339A"/>
    <w:rsid w:val="006562B4"/>
    <w:rsid w:val="00662DE7"/>
    <w:rsid w:val="00666469"/>
    <w:rsid w:val="0066747E"/>
    <w:rsid w:val="006716A9"/>
    <w:rsid w:val="006738E0"/>
    <w:rsid w:val="0067432A"/>
    <w:rsid w:val="00674630"/>
    <w:rsid w:val="00676561"/>
    <w:rsid w:val="00676AFF"/>
    <w:rsid w:val="00677F62"/>
    <w:rsid w:val="00680B27"/>
    <w:rsid w:val="00684D1A"/>
    <w:rsid w:val="006851F9"/>
    <w:rsid w:val="00685432"/>
    <w:rsid w:val="00686A7F"/>
    <w:rsid w:val="00691487"/>
    <w:rsid w:val="006926F4"/>
    <w:rsid w:val="006927C3"/>
    <w:rsid w:val="00693BA6"/>
    <w:rsid w:val="00694508"/>
    <w:rsid w:val="006952CE"/>
    <w:rsid w:val="00695962"/>
    <w:rsid w:val="006965D8"/>
    <w:rsid w:val="00696F95"/>
    <w:rsid w:val="006A1254"/>
    <w:rsid w:val="006A20DD"/>
    <w:rsid w:val="006A2127"/>
    <w:rsid w:val="006A316D"/>
    <w:rsid w:val="006A7777"/>
    <w:rsid w:val="006B1936"/>
    <w:rsid w:val="006B6773"/>
    <w:rsid w:val="006C0642"/>
    <w:rsid w:val="006C243D"/>
    <w:rsid w:val="006C2A70"/>
    <w:rsid w:val="006C685E"/>
    <w:rsid w:val="006D0658"/>
    <w:rsid w:val="006D171C"/>
    <w:rsid w:val="006D172B"/>
    <w:rsid w:val="006D29DE"/>
    <w:rsid w:val="006D39B7"/>
    <w:rsid w:val="006D50B3"/>
    <w:rsid w:val="006D7378"/>
    <w:rsid w:val="006E023D"/>
    <w:rsid w:val="006E07B4"/>
    <w:rsid w:val="006E580C"/>
    <w:rsid w:val="006E7040"/>
    <w:rsid w:val="006F386E"/>
    <w:rsid w:val="006F5B0C"/>
    <w:rsid w:val="006F5EA4"/>
    <w:rsid w:val="006F6CF2"/>
    <w:rsid w:val="00700D08"/>
    <w:rsid w:val="007028B5"/>
    <w:rsid w:val="00704FC6"/>
    <w:rsid w:val="007058F7"/>
    <w:rsid w:val="00705E92"/>
    <w:rsid w:val="00707C19"/>
    <w:rsid w:val="007100C7"/>
    <w:rsid w:val="0071267F"/>
    <w:rsid w:val="00714350"/>
    <w:rsid w:val="00714B90"/>
    <w:rsid w:val="00720678"/>
    <w:rsid w:val="00720728"/>
    <w:rsid w:val="00721713"/>
    <w:rsid w:val="00722036"/>
    <w:rsid w:val="0072205F"/>
    <w:rsid w:val="00722376"/>
    <w:rsid w:val="00724D44"/>
    <w:rsid w:val="00725E4A"/>
    <w:rsid w:val="00726C9C"/>
    <w:rsid w:val="0072717D"/>
    <w:rsid w:val="007315AF"/>
    <w:rsid w:val="00731737"/>
    <w:rsid w:val="00733BFA"/>
    <w:rsid w:val="0073403B"/>
    <w:rsid w:val="00736792"/>
    <w:rsid w:val="00736FAC"/>
    <w:rsid w:val="00737694"/>
    <w:rsid w:val="00740EAE"/>
    <w:rsid w:val="00741E00"/>
    <w:rsid w:val="0074424D"/>
    <w:rsid w:val="00746234"/>
    <w:rsid w:val="00750390"/>
    <w:rsid w:val="00751021"/>
    <w:rsid w:val="0075167C"/>
    <w:rsid w:val="00751AF6"/>
    <w:rsid w:val="00751FF5"/>
    <w:rsid w:val="00755162"/>
    <w:rsid w:val="007608A4"/>
    <w:rsid w:val="00760AC6"/>
    <w:rsid w:val="00760C34"/>
    <w:rsid w:val="0076115A"/>
    <w:rsid w:val="0076151C"/>
    <w:rsid w:val="00762F15"/>
    <w:rsid w:val="00763004"/>
    <w:rsid w:val="007657C2"/>
    <w:rsid w:val="00767249"/>
    <w:rsid w:val="0076731D"/>
    <w:rsid w:val="00770427"/>
    <w:rsid w:val="00770975"/>
    <w:rsid w:val="00772CBF"/>
    <w:rsid w:val="007771AE"/>
    <w:rsid w:val="00785346"/>
    <w:rsid w:val="0078745A"/>
    <w:rsid w:val="00792030"/>
    <w:rsid w:val="00792A66"/>
    <w:rsid w:val="0079321B"/>
    <w:rsid w:val="00793CA3"/>
    <w:rsid w:val="00794595"/>
    <w:rsid w:val="00796353"/>
    <w:rsid w:val="00796382"/>
    <w:rsid w:val="00796DBD"/>
    <w:rsid w:val="007A3F81"/>
    <w:rsid w:val="007A4443"/>
    <w:rsid w:val="007A6923"/>
    <w:rsid w:val="007B0DF1"/>
    <w:rsid w:val="007B1687"/>
    <w:rsid w:val="007B3E0D"/>
    <w:rsid w:val="007B400F"/>
    <w:rsid w:val="007C1866"/>
    <w:rsid w:val="007C3C75"/>
    <w:rsid w:val="007C41B2"/>
    <w:rsid w:val="007C4378"/>
    <w:rsid w:val="007C5B05"/>
    <w:rsid w:val="007C7B9D"/>
    <w:rsid w:val="007D3771"/>
    <w:rsid w:val="007D4368"/>
    <w:rsid w:val="007D474B"/>
    <w:rsid w:val="007D57DC"/>
    <w:rsid w:val="007D65EF"/>
    <w:rsid w:val="007D74DD"/>
    <w:rsid w:val="007E03C2"/>
    <w:rsid w:val="007E0691"/>
    <w:rsid w:val="007E2128"/>
    <w:rsid w:val="007E566E"/>
    <w:rsid w:val="007E64C2"/>
    <w:rsid w:val="007F0B36"/>
    <w:rsid w:val="007F0DD8"/>
    <w:rsid w:val="007F264B"/>
    <w:rsid w:val="007F2AA9"/>
    <w:rsid w:val="007F411B"/>
    <w:rsid w:val="007F427C"/>
    <w:rsid w:val="007F5BF1"/>
    <w:rsid w:val="007F70FE"/>
    <w:rsid w:val="008005C0"/>
    <w:rsid w:val="00803612"/>
    <w:rsid w:val="00803BE6"/>
    <w:rsid w:val="008067B2"/>
    <w:rsid w:val="00807760"/>
    <w:rsid w:val="008168AE"/>
    <w:rsid w:val="008170F5"/>
    <w:rsid w:val="00820599"/>
    <w:rsid w:val="00820AF0"/>
    <w:rsid w:val="0082270C"/>
    <w:rsid w:val="00823054"/>
    <w:rsid w:val="00823644"/>
    <w:rsid w:val="00823932"/>
    <w:rsid w:val="0083245F"/>
    <w:rsid w:val="00833F95"/>
    <w:rsid w:val="008345CA"/>
    <w:rsid w:val="00837EF9"/>
    <w:rsid w:val="008405D8"/>
    <w:rsid w:val="008425F5"/>
    <w:rsid w:val="00842C77"/>
    <w:rsid w:val="00844D73"/>
    <w:rsid w:val="00844EAA"/>
    <w:rsid w:val="00845B90"/>
    <w:rsid w:val="008473CD"/>
    <w:rsid w:val="00847406"/>
    <w:rsid w:val="00847B70"/>
    <w:rsid w:val="00847C68"/>
    <w:rsid w:val="008553F1"/>
    <w:rsid w:val="008559A4"/>
    <w:rsid w:val="00856BB1"/>
    <w:rsid w:val="00856DBC"/>
    <w:rsid w:val="00856F55"/>
    <w:rsid w:val="00862FBC"/>
    <w:rsid w:val="0086363B"/>
    <w:rsid w:val="0086407A"/>
    <w:rsid w:val="00865FEF"/>
    <w:rsid w:val="0086705E"/>
    <w:rsid w:val="00867F96"/>
    <w:rsid w:val="00871793"/>
    <w:rsid w:val="00872749"/>
    <w:rsid w:val="00875D7D"/>
    <w:rsid w:val="008773B6"/>
    <w:rsid w:val="00880B52"/>
    <w:rsid w:val="008827B5"/>
    <w:rsid w:val="00883184"/>
    <w:rsid w:val="00883945"/>
    <w:rsid w:val="00887B01"/>
    <w:rsid w:val="0089268E"/>
    <w:rsid w:val="00896293"/>
    <w:rsid w:val="008A0AC3"/>
    <w:rsid w:val="008A482F"/>
    <w:rsid w:val="008A5D71"/>
    <w:rsid w:val="008A7D13"/>
    <w:rsid w:val="008B1324"/>
    <w:rsid w:val="008B2275"/>
    <w:rsid w:val="008B48E2"/>
    <w:rsid w:val="008B5545"/>
    <w:rsid w:val="008B72FC"/>
    <w:rsid w:val="008C434D"/>
    <w:rsid w:val="008C4632"/>
    <w:rsid w:val="008C766B"/>
    <w:rsid w:val="008C7F2D"/>
    <w:rsid w:val="008D1DA1"/>
    <w:rsid w:val="008D2240"/>
    <w:rsid w:val="008D5261"/>
    <w:rsid w:val="008D54D2"/>
    <w:rsid w:val="008D5D43"/>
    <w:rsid w:val="008D6C88"/>
    <w:rsid w:val="008E0EE9"/>
    <w:rsid w:val="008E22DF"/>
    <w:rsid w:val="008E3575"/>
    <w:rsid w:val="008E46CD"/>
    <w:rsid w:val="008F1B26"/>
    <w:rsid w:val="008F36E5"/>
    <w:rsid w:val="008F6537"/>
    <w:rsid w:val="0090257A"/>
    <w:rsid w:val="00904E59"/>
    <w:rsid w:val="009069E3"/>
    <w:rsid w:val="009129CC"/>
    <w:rsid w:val="00912D7F"/>
    <w:rsid w:val="009138EE"/>
    <w:rsid w:val="00913CEC"/>
    <w:rsid w:val="00914E63"/>
    <w:rsid w:val="00915731"/>
    <w:rsid w:val="00916B4C"/>
    <w:rsid w:val="00917EB4"/>
    <w:rsid w:val="009200CC"/>
    <w:rsid w:val="00921BE4"/>
    <w:rsid w:val="00922F4C"/>
    <w:rsid w:val="00923062"/>
    <w:rsid w:val="00924A50"/>
    <w:rsid w:val="00930498"/>
    <w:rsid w:val="00930598"/>
    <w:rsid w:val="00931C26"/>
    <w:rsid w:val="00932508"/>
    <w:rsid w:val="00936C19"/>
    <w:rsid w:val="0094121D"/>
    <w:rsid w:val="00942147"/>
    <w:rsid w:val="0094356A"/>
    <w:rsid w:val="009442D2"/>
    <w:rsid w:val="009442DC"/>
    <w:rsid w:val="0094617A"/>
    <w:rsid w:val="00946703"/>
    <w:rsid w:val="009472E0"/>
    <w:rsid w:val="00951109"/>
    <w:rsid w:val="00952C6B"/>
    <w:rsid w:val="00952CBA"/>
    <w:rsid w:val="0095422E"/>
    <w:rsid w:val="009544EA"/>
    <w:rsid w:val="00954F2F"/>
    <w:rsid w:val="0095518E"/>
    <w:rsid w:val="00956BE6"/>
    <w:rsid w:val="0095762E"/>
    <w:rsid w:val="00962F85"/>
    <w:rsid w:val="009651C0"/>
    <w:rsid w:val="009651F4"/>
    <w:rsid w:val="00967631"/>
    <w:rsid w:val="00971106"/>
    <w:rsid w:val="0097282D"/>
    <w:rsid w:val="00973097"/>
    <w:rsid w:val="00977F99"/>
    <w:rsid w:val="009874AC"/>
    <w:rsid w:val="009878A3"/>
    <w:rsid w:val="009909A7"/>
    <w:rsid w:val="0099239D"/>
    <w:rsid w:val="009933B5"/>
    <w:rsid w:val="00993706"/>
    <w:rsid w:val="0099389C"/>
    <w:rsid w:val="00993C2E"/>
    <w:rsid w:val="0099556C"/>
    <w:rsid w:val="00996908"/>
    <w:rsid w:val="00997652"/>
    <w:rsid w:val="009A0937"/>
    <w:rsid w:val="009A0B41"/>
    <w:rsid w:val="009A30C0"/>
    <w:rsid w:val="009A6EC0"/>
    <w:rsid w:val="009A6F45"/>
    <w:rsid w:val="009B00AD"/>
    <w:rsid w:val="009B0957"/>
    <w:rsid w:val="009B0F45"/>
    <w:rsid w:val="009B120F"/>
    <w:rsid w:val="009B14D9"/>
    <w:rsid w:val="009B229D"/>
    <w:rsid w:val="009B54CA"/>
    <w:rsid w:val="009C4E73"/>
    <w:rsid w:val="009C5A6B"/>
    <w:rsid w:val="009C5B72"/>
    <w:rsid w:val="009C5DA1"/>
    <w:rsid w:val="009C62A7"/>
    <w:rsid w:val="009D109B"/>
    <w:rsid w:val="009D363D"/>
    <w:rsid w:val="009D414F"/>
    <w:rsid w:val="009D7889"/>
    <w:rsid w:val="009D7CFB"/>
    <w:rsid w:val="009E234B"/>
    <w:rsid w:val="009E294B"/>
    <w:rsid w:val="009E3651"/>
    <w:rsid w:val="009E4BEA"/>
    <w:rsid w:val="009E57E3"/>
    <w:rsid w:val="009F0201"/>
    <w:rsid w:val="009F1EC9"/>
    <w:rsid w:val="009F2FE8"/>
    <w:rsid w:val="009F4F75"/>
    <w:rsid w:val="009F57F0"/>
    <w:rsid w:val="009F65AB"/>
    <w:rsid w:val="009F6F63"/>
    <w:rsid w:val="00A048B0"/>
    <w:rsid w:val="00A07158"/>
    <w:rsid w:val="00A127F4"/>
    <w:rsid w:val="00A12A45"/>
    <w:rsid w:val="00A13E12"/>
    <w:rsid w:val="00A14963"/>
    <w:rsid w:val="00A156A4"/>
    <w:rsid w:val="00A2015D"/>
    <w:rsid w:val="00A2311B"/>
    <w:rsid w:val="00A24719"/>
    <w:rsid w:val="00A27D46"/>
    <w:rsid w:val="00A344B0"/>
    <w:rsid w:val="00A3700D"/>
    <w:rsid w:val="00A405F6"/>
    <w:rsid w:val="00A40AEA"/>
    <w:rsid w:val="00A424BB"/>
    <w:rsid w:val="00A42502"/>
    <w:rsid w:val="00A43135"/>
    <w:rsid w:val="00A439C7"/>
    <w:rsid w:val="00A462DC"/>
    <w:rsid w:val="00A46548"/>
    <w:rsid w:val="00A46B78"/>
    <w:rsid w:val="00A51ED1"/>
    <w:rsid w:val="00A5208F"/>
    <w:rsid w:val="00A547D9"/>
    <w:rsid w:val="00A54C2F"/>
    <w:rsid w:val="00A5620E"/>
    <w:rsid w:val="00A57187"/>
    <w:rsid w:val="00A610D7"/>
    <w:rsid w:val="00A64254"/>
    <w:rsid w:val="00A6655A"/>
    <w:rsid w:val="00A67387"/>
    <w:rsid w:val="00A72C6C"/>
    <w:rsid w:val="00A72E72"/>
    <w:rsid w:val="00A7598E"/>
    <w:rsid w:val="00A760C9"/>
    <w:rsid w:val="00A76458"/>
    <w:rsid w:val="00A764DB"/>
    <w:rsid w:val="00A80CF9"/>
    <w:rsid w:val="00A90CEE"/>
    <w:rsid w:val="00AA6626"/>
    <w:rsid w:val="00AA6C49"/>
    <w:rsid w:val="00AB15DD"/>
    <w:rsid w:val="00AB20E6"/>
    <w:rsid w:val="00AB21E2"/>
    <w:rsid w:val="00AB271F"/>
    <w:rsid w:val="00AB2F7D"/>
    <w:rsid w:val="00AB452B"/>
    <w:rsid w:val="00AC03DF"/>
    <w:rsid w:val="00AC2098"/>
    <w:rsid w:val="00AC2CC7"/>
    <w:rsid w:val="00AC35FC"/>
    <w:rsid w:val="00AC4C87"/>
    <w:rsid w:val="00AC5947"/>
    <w:rsid w:val="00AC68C7"/>
    <w:rsid w:val="00AC7A7E"/>
    <w:rsid w:val="00AD0428"/>
    <w:rsid w:val="00AD1085"/>
    <w:rsid w:val="00AD1FD0"/>
    <w:rsid w:val="00AD4D83"/>
    <w:rsid w:val="00AD568A"/>
    <w:rsid w:val="00AD7FBC"/>
    <w:rsid w:val="00AE08FA"/>
    <w:rsid w:val="00AE105B"/>
    <w:rsid w:val="00AE2661"/>
    <w:rsid w:val="00AF3192"/>
    <w:rsid w:val="00AF3277"/>
    <w:rsid w:val="00AF4645"/>
    <w:rsid w:val="00AF6C2F"/>
    <w:rsid w:val="00AF7060"/>
    <w:rsid w:val="00B00885"/>
    <w:rsid w:val="00B01E0B"/>
    <w:rsid w:val="00B0383E"/>
    <w:rsid w:val="00B041C1"/>
    <w:rsid w:val="00B04CB5"/>
    <w:rsid w:val="00B07384"/>
    <w:rsid w:val="00B075EF"/>
    <w:rsid w:val="00B1045F"/>
    <w:rsid w:val="00B1593E"/>
    <w:rsid w:val="00B17557"/>
    <w:rsid w:val="00B20522"/>
    <w:rsid w:val="00B2589C"/>
    <w:rsid w:val="00B26F30"/>
    <w:rsid w:val="00B31598"/>
    <w:rsid w:val="00B342FD"/>
    <w:rsid w:val="00B347BD"/>
    <w:rsid w:val="00B36C6F"/>
    <w:rsid w:val="00B40C26"/>
    <w:rsid w:val="00B45826"/>
    <w:rsid w:val="00B45A88"/>
    <w:rsid w:val="00B47BEC"/>
    <w:rsid w:val="00B51F93"/>
    <w:rsid w:val="00B5202D"/>
    <w:rsid w:val="00B539C2"/>
    <w:rsid w:val="00B55EBB"/>
    <w:rsid w:val="00B56533"/>
    <w:rsid w:val="00B6222A"/>
    <w:rsid w:val="00B66B7D"/>
    <w:rsid w:val="00B66E5A"/>
    <w:rsid w:val="00B715E2"/>
    <w:rsid w:val="00B725BD"/>
    <w:rsid w:val="00B73EBE"/>
    <w:rsid w:val="00B74088"/>
    <w:rsid w:val="00B7618B"/>
    <w:rsid w:val="00B76AA9"/>
    <w:rsid w:val="00B845E1"/>
    <w:rsid w:val="00B84F7D"/>
    <w:rsid w:val="00B87760"/>
    <w:rsid w:val="00B91498"/>
    <w:rsid w:val="00B9173B"/>
    <w:rsid w:val="00B919A9"/>
    <w:rsid w:val="00B9263D"/>
    <w:rsid w:val="00B928C4"/>
    <w:rsid w:val="00B9458C"/>
    <w:rsid w:val="00B9773A"/>
    <w:rsid w:val="00BA0893"/>
    <w:rsid w:val="00BA4087"/>
    <w:rsid w:val="00BA45FF"/>
    <w:rsid w:val="00BA487E"/>
    <w:rsid w:val="00BA6C4E"/>
    <w:rsid w:val="00BA7A59"/>
    <w:rsid w:val="00BA7E0C"/>
    <w:rsid w:val="00BB0122"/>
    <w:rsid w:val="00BB1FED"/>
    <w:rsid w:val="00BB495C"/>
    <w:rsid w:val="00BB61F7"/>
    <w:rsid w:val="00BB664E"/>
    <w:rsid w:val="00BC2B1A"/>
    <w:rsid w:val="00BC3A14"/>
    <w:rsid w:val="00BC44E4"/>
    <w:rsid w:val="00BC4697"/>
    <w:rsid w:val="00BC5818"/>
    <w:rsid w:val="00BC5AD0"/>
    <w:rsid w:val="00BC61D5"/>
    <w:rsid w:val="00BC6B77"/>
    <w:rsid w:val="00BD0CEE"/>
    <w:rsid w:val="00BD2F35"/>
    <w:rsid w:val="00BD5024"/>
    <w:rsid w:val="00BE0EF5"/>
    <w:rsid w:val="00BE264A"/>
    <w:rsid w:val="00BE69CD"/>
    <w:rsid w:val="00BF0409"/>
    <w:rsid w:val="00BF058E"/>
    <w:rsid w:val="00BF229E"/>
    <w:rsid w:val="00BF34F0"/>
    <w:rsid w:val="00BF7011"/>
    <w:rsid w:val="00C00108"/>
    <w:rsid w:val="00C02978"/>
    <w:rsid w:val="00C029C0"/>
    <w:rsid w:val="00C053FC"/>
    <w:rsid w:val="00C10FAC"/>
    <w:rsid w:val="00C117B9"/>
    <w:rsid w:val="00C17CA1"/>
    <w:rsid w:val="00C20322"/>
    <w:rsid w:val="00C20A3B"/>
    <w:rsid w:val="00C225E6"/>
    <w:rsid w:val="00C237EB"/>
    <w:rsid w:val="00C23A51"/>
    <w:rsid w:val="00C23C17"/>
    <w:rsid w:val="00C240A5"/>
    <w:rsid w:val="00C244ED"/>
    <w:rsid w:val="00C25C7E"/>
    <w:rsid w:val="00C30008"/>
    <w:rsid w:val="00C31E55"/>
    <w:rsid w:val="00C356C4"/>
    <w:rsid w:val="00C3596C"/>
    <w:rsid w:val="00C3692C"/>
    <w:rsid w:val="00C37C97"/>
    <w:rsid w:val="00C40865"/>
    <w:rsid w:val="00C42D05"/>
    <w:rsid w:val="00C43836"/>
    <w:rsid w:val="00C4433F"/>
    <w:rsid w:val="00C448B2"/>
    <w:rsid w:val="00C451DF"/>
    <w:rsid w:val="00C47C4A"/>
    <w:rsid w:val="00C513B0"/>
    <w:rsid w:val="00C5523B"/>
    <w:rsid w:val="00C56754"/>
    <w:rsid w:val="00C6034D"/>
    <w:rsid w:val="00C61024"/>
    <w:rsid w:val="00C6381F"/>
    <w:rsid w:val="00C65509"/>
    <w:rsid w:val="00C66583"/>
    <w:rsid w:val="00C679DF"/>
    <w:rsid w:val="00C730E2"/>
    <w:rsid w:val="00C73BFC"/>
    <w:rsid w:val="00C75F72"/>
    <w:rsid w:val="00C7732B"/>
    <w:rsid w:val="00C77622"/>
    <w:rsid w:val="00C77C07"/>
    <w:rsid w:val="00C809E8"/>
    <w:rsid w:val="00C81C2C"/>
    <w:rsid w:val="00C824C8"/>
    <w:rsid w:val="00C84032"/>
    <w:rsid w:val="00C86B55"/>
    <w:rsid w:val="00C87050"/>
    <w:rsid w:val="00C87743"/>
    <w:rsid w:val="00C87BFD"/>
    <w:rsid w:val="00C90D28"/>
    <w:rsid w:val="00C914AB"/>
    <w:rsid w:val="00C9155E"/>
    <w:rsid w:val="00C93493"/>
    <w:rsid w:val="00C94695"/>
    <w:rsid w:val="00C946AB"/>
    <w:rsid w:val="00C970D4"/>
    <w:rsid w:val="00C977E8"/>
    <w:rsid w:val="00CA07BF"/>
    <w:rsid w:val="00CA1229"/>
    <w:rsid w:val="00CA1F96"/>
    <w:rsid w:val="00CA203B"/>
    <w:rsid w:val="00CA6444"/>
    <w:rsid w:val="00CA667B"/>
    <w:rsid w:val="00CB2ED7"/>
    <w:rsid w:val="00CB4722"/>
    <w:rsid w:val="00CB51FC"/>
    <w:rsid w:val="00CB591C"/>
    <w:rsid w:val="00CB59E4"/>
    <w:rsid w:val="00CB5D6C"/>
    <w:rsid w:val="00CC0ACD"/>
    <w:rsid w:val="00CC11A4"/>
    <w:rsid w:val="00CC18A9"/>
    <w:rsid w:val="00CC2AF6"/>
    <w:rsid w:val="00CC2BD8"/>
    <w:rsid w:val="00CC42F8"/>
    <w:rsid w:val="00CC4ED5"/>
    <w:rsid w:val="00CD30AA"/>
    <w:rsid w:val="00CD49AB"/>
    <w:rsid w:val="00CD4E87"/>
    <w:rsid w:val="00CD5DD6"/>
    <w:rsid w:val="00CD644D"/>
    <w:rsid w:val="00CD6C9A"/>
    <w:rsid w:val="00CD74E4"/>
    <w:rsid w:val="00CE3B74"/>
    <w:rsid w:val="00CE3F7E"/>
    <w:rsid w:val="00CE5401"/>
    <w:rsid w:val="00CE5BC4"/>
    <w:rsid w:val="00CF22FC"/>
    <w:rsid w:val="00CF2B67"/>
    <w:rsid w:val="00CF48ED"/>
    <w:rsid w:val="00CF52E3"/>
    <w:rsid w:val="00CF5894"/>
    <w:rsid w:val="00CF61BD"/>
    <w:rsid w:val="00CF62A3"/>
    <w:rsid w:val="00CF77E1"/>
    <w:rsid w:val="00D004F1"/>
    <w:rsid w:val="00D02652"/>
    <w:rsid w:val="00D07141"/>
    <w:rsid w:val="00D1311C"/>
    <w:rsid w:val="00D13F16"/>
    <w:rsid w:val="00D16AE1"/>
    <w:rsid w:val="00D177C2"/>
    <w:rsid w:val="00D21267"/>
    <w:rsid w:val="00D22EBF"/>
    <w:rsid w:val="00D2329E"/>
    <w:rsid w:val="00D255FE"/>
    <w:rsid w:val="00D25620"/>
    <w:rsid w:val="00D26181"/>
    <w:rsid w:val="00D27CE8"/>
    <w:rsid w:val="00D3130E"/>
    <w:rsid w:val="00D31E03"/>
    <w:rsid w:val="00D35A69"/>
    <w:rsid w:val="00D3608D"/>
    <w:rsid w:val="00D36AB8"/>
    <w:rsid w:val="00D372F9"/>
    <w:rsid w:val="00D3774A"/>
    <w:rsid w:val="00D37D93"/>
    <w:rsid w:val="00D415DD"/>
    <w:rsid w:val="00D420B4"/>
    <w:rsid w:val="00D42C83"/>
    <w:rsid w:val="00D44FB5"/>
    <w:rsid w:val="00D468D4"/>
    <w:rsid w:val="00D518B7"/>
    <w:rsid w:val="00D57816"/>
    <w:rsid w:val="00D60665"/>
    <w:rsid w:val="00D6281F"/>
    <w:rsid w:val="00D63EE2"/>
    <w:rsid w:val="00D6562B"/>
    <w:rsid w:val="00D67AA9"/>
    <w:rsid w:val="00D70F74"/>
    <w:rsid w:val="00D7140F"/>
    <w:rsid w:val="00D723D2"/>
    <w:rsid w:val="00D72402"/>
    <w:rsid w:val="00D73A55"/>
    <w:rsid w:val="00D75561"/>
    <w:rsid w:val="00D81727"/>
    <w:rsid w:val="00D817FA"/>
    <w:rsid w:val="00D81E2E"/>
    <w:rsid w:val="00D9411F"/>
    <w:rsid w:val="00D96154"/>
    <w:rsid w:val="00D97A68"/>
    <w:rsid w:val="00D97AF8"/>
    <w:rsid w:val="00D97FD8"/>
    <w:rsid w:val="00DA0217"/>
    <w:rsid w:val="00DA07BF"/>
    <w:rsid w:val="00DA0A18"/>
    <w:rsid w:val="00DA0D80"/>
    <w:rsid w:val="00DA383B"/>
    <w:rsid w:val="00DA45F9"/>
    <w:rsid w:val="00DB1892"/>
    <w:rsid w:val="00DB4399"/>
    <w:rsid w:val="00DB4AE9"/>
    <w:rsid w:val="00DC1E52"/>
    <w:rsid w:val="00DC2482"/>
    <w:rsid w:val="00DC5BDA"/>
    <w:rsid w:val="00DC6E2A"/>
    <w:rsid w:val="00DC7D84"/>
    <w:rsid w:val="00DD060D"/>
    <w:rsid w:val="00DD2D97"/>
    <w:rsid w:val="00DD4138"/>
    <w:rsid w:val="00DD45DC"/>
    <w:rsid w:val="00DD4756"/>
    <w:rsid w:val="00DD4A5D"/>
    <w:rsid w:val="00DD5BBA"/>
    <w:rsid w:val="00DE013E"/>
    <w:rsid w:val="00DE0595"/>
    <w:rsid w:val="00DE25EB"/>
    <w:rsid w:val="00DE3680"/>
    <w:rsid w:val="00DE388F"/>
    <w:rsid w:val="00DE6EF3"/>
    <w:rsid w:val="00DE7D78"/>
    <w:rsid w:val="00DF2350"/>
    <w:rsid w:val="00DF3853"/>
    <w:rsid w:val="00DF5C93"/>
    <w:rsid w:val="00DF644C"/>
    <w:rsid w:val="00E00419"/>
    <w:rsid w:val="00E00CF0"/>
    <w:rsid w:val="00E01BCF"/>
    <w:rsid w:val="00E027FF"/>
    <w:rsid w:val="00E04E09"/>
    <w:rsid w:val="00E05F15"/>
    <w:rsid w:val="00E07066"/>
    <w:rsid w:val="00E10274"/>
    <w:rsid w:val="00E11D6E"/>
    <w:rsid w:val="00E11F73"/>
    <w:rsid w:val="00E12C40"/>
    <w:rsid w:val="00E16AB3"/>
    <w:rsid w:val="00E17530"/>
    <w:rsid w:val="00E2007A"/>
    <w:rsid w:val="00E219E7"/>
    <w:rsid w:val="00E22AE0"/>
    <w:rsid w:val="00E22B9B"/>
    <w:rsid w:val="00E32274"/>
    <w:rsid w:val="00E35E30"/>
    <w:rsid w:val="00E41B4C"/>
    <w:rsid w:val="00E4213D"/>
    <w:rsid w:val="00E439F5"/>
    <w:rsid w:val="00E43A1B"/>
    <w:rsid w:val="00E45137"/>
    <w:rsid w:val="00E457AB"/>
    <w:rsid w:val="00E45801"/>
    <w:rsid w:val="00E46416"/>
    <w:rsid w:val="00E46D6F"/>
    <w:rsid w:val="00E47A60"/>
    <w:rsid w:val="00E50238"/>
    <w:rsid w:val="00E506D6"/>
    <w:rsid w:val="00E51214"/>
    <w:rsid w:val="00E52A6A"/>
    <w:rsid w:val="00E5469E"/>
    <w:rsid w:val="00E54C6D"/>
    <w:rsid w:val="00E54D23"/>
    <w:rsid w:val="00E5668E"/>
    <w:rsid w:val="00E610D1"/>
    <w:rsid w:val="00E62B18"/>
    <w:rsid w:val="00E65D61"/>
    <w:rsid w:val="00E72724"/>
    <w:rsid w:val="00E73618"/>
    <w:rsid w:val="00E73775"/>
    <w:rsid w:val="00E80F78"/>
    <w:rsid w:val="00E82084"/>
    <w:rsid w:val="00E832FC"/>
    <w:rsid w:val="00E8377C"/>
    <w:rsid w:val="00E83ECF"/>
    <w:rsid w:val="00E87298"/>
    <w:rsid w:val="00E876D2"/>
    <w:rsid w:val="00E87FA5"/>
    <w:rsid w:val="00E96061"/>
    <w:rsid w:val="00EA034E"/>
    <w:rsid w:val="00EA045D"/>
    <w:rsid w:val="00EA049B"/>
    <w:rsid w:val="00EA056E"/>
    <w:rsid w:val="00EA36EA"/>
    <w:rsid w:val="00EA42E5"/>
    <w:rsid w:val="00EA7F3D"/>
    <w:rsid w:val="00EB2305"/>
    <w:rsid w:val="00EB2335"/>
    <w:rsid w:val="00EB3D14"/>
    <w:rsid w:val="00EB40C4"/>
    <w:rsid w:val="00EB6443"/>
    <w:rsid w:val="00EB6504"/>
    <w:rsid w:val="00EB7D78"/>
    <w:rsid w:val="00EC0419"/>
    <w:rsid w:val="00EC04CA"/>
    <w:rsid w:val="00EC20C1"/>
    <w:rsid w:val="00EC5983"/>
    <w:rsid w:val="00EC5A8F"/>
    <w:rsid w:val="00EC6310"/>
    <w:rsid w:val="00EC78D5"/>
    <w:rsid w:val="00ED0074"/>
    <w:rsid w:val="00ED19FA"/>
    <w:rsid w:val="00ED1F0A"/>
    <w:rsid w:val="00ED2662"/>
    <w:rsid w:val="00ED2DC7"/>
    <w:rsid w:val="00ED4BF0"/>
    <w:rsid w:val="00ED59E0"/>
    <w:rsid w:val="00ED60E3"/>
    <w:rsid w:val="00EE09DF"/>
    <w:rsid w:val="00EE2459"/>
    <w:rsid w:val="00EE4AB4"/>
    <w:rsid w:val="00EE5BD6"/>
    <w:rsid w:val="00EE5ED8"/>
    <w:rsid w:val="00EE69A6"/>
    <w:rsid w:val="00EE7B8C"/>
    <w:rsid w:val="00EF0737"/>
    <w:rsid w:val="00EF0A8E"/>
    <w:rsid w:val="00EF112C"/>
    <w:rsid w:val="00EF255E"/>
    <w:rsid w:val="00EF31F1"/>
    <w:rsid w:val="00EF37DC"/>
    <w:rsid w:val="00EF3DAC"/>
    <w:rsid w:val="00EF54C5"/>
    <w:rsid w:val="00EF73D4"/>
    <w:rsid w:val="00F015DD"/>
    <w:rsid w:val="00F04C76"/>
    <w:rsid w:val="00F06005"/>
    <w:rsid w:val="00F061BE"/>
    <w:rsid w:val="00F071D3"/>
    <w:rsid w:val="00F10120"/>
    <w:rsid w:val="00F10587"/>
    <w:rsid w:val="00F13EB1"/>
    <w:rsid w:val="00F15013"/>
    <w:rsid w:val="00F21D80"/>
    <w:rsid w:val="00F25547"/>
    <w:rsid w:val="00F27897"/>
    <w:rsid w:val="00F30386"/>
    <w:rsid w:val="00F30DE1"/>
    <w:rsid w:val="00F36EEF"/>
    <w:rsid w:val="00F376D0"/>
    <w:rsid w:val="00F41035"/>
    <w:rsid w:val="00F41B7A"/>
    <w:rsid w:val="00F444FA"/>
    <w:rsid w:val="00F4621A"/>
    <w:rsid w:val="00F462B3"/>
    <w:rsid w:val="00F46607"/>
    <w:rsid w:val="00F46C7D"/>
    <w:rsid w:val="00F527BA"/>
    <w:rsid w:val="00F53CFA"/>
    <w:rsid w:val="00F55D67"/>
    <w:rsid w:val="00F56B10"/>
    <w:rsid w:val="00F6129E"/>
    <w:rsid w:val="00F63D26"/>
    <w:rsid w:val="00F64C7F"/>
    <w:rsid w:val="00F64C94"/>
    <w:rsid w:val="00F6716F"/>
    <w:rsid w:val="00F712C5"/>
    <w:rsid w:val="00F71F1A"/>
    <w:rsid w:val="00F72741"/>
    <w:rsid w:val="00F72AA6"/>
    <w:rsid w:val="00F74364"/>
    <w:rsid w:val="00F74473"/>
    <w:rsid w:val="00F770C1"/>
    <w:rsid w:val="00F77358"/>
    <w:rsid w:val="00F774AD"/>
    <w:rsid w:val="00F81795"/>
    <w:rsid w:val="00F81A1F"/>
    <w:rsid w:val="00F81BFC"/>
    <w:rsid w:val="00F83C35"/>
    <w:rsid w:val="00F90A2C"/>
    <w:rsid w:val="00F95650"/>
    <w:rsid w:val="00F9586D"/>
    <w:rsid w:val="00F95F79"/>
    <w:rsid w:val="00F96B5F"/>
    <w:rsid w:val="00F97E82"/>
    <w:rsid w:val="00FA1212"/>
    <w:rsid w:val="00FA24F7"/>
    <w:rsid w:val="00FB0C91"/>
    <w:rsid w:val="00FB2686"/>
    <w:rsid w:val="00FB4FDC"/>
    <w:rsid w:val="00FB5EEB"/>
    <w:rsid w:val="00FB70BC"/>
    <w:rsid w:val="00FB78C0"/>
    <w:rsid w:val="00FB7EC3"/>
    <w:rsid w:val="00FC2BA6"/>
    <w:rsid w:val="00FC45EF"/>
    <w:rsid w:val="00FC6825"/>
    <w:rsid w:val="00FC723E"/>
    <w:rsid w:val="00FD0E6B"/>
    <w:rsid w:val="00FD21E4"/>
    <w:rsid w:val="00FD2CC8"/>
    <w:rsid w:val="00FD4FD4"/>
    <w:rsid w:val="00FD5765"/>
    <w:rsid w:val="00FD67B0"/>
    <w:rsid w:val="00FE083A"/>
    <w:rsid w:val="00FE145B"/>
    <w:rsid w:val="00FE21D1"/>
    <w:rsid w:val="00FE35C6"/>
    <w:rsid w:val="00FE36E0"/>
    <w:rsid w:val="00FE6121"/>
    <w:rsid w:val="00FE77B7"/>
    <w:rsid w:val="00FE7B9E"/>
    <w:rsid w:val="00FF15A0"/>
    <w:rsid w:val="00FF2A6B"/>
    <w:rsid w:val="00FF33E4"/>
    <w:rsid w:val="00FF532C"/>
    <w:rsid w:val="00FF54E0"/>
    <w:rsid w:val="00FF7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45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6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6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D5069"/>
    <w:rPr>
      <w:sz w:val="20"/>
      <w:szCs w:val="20"/>
    </w:rPr>
  </w:style>
  <w:style w:type="paragraph" w:styleId="Footer">
    <w:name w:val="footer"/>
    <w:basedOn w:val="Normal"/>
    <w:link w:val="FooterChar"/>
    <w:uiPriority w:val="99"/>
    <w:unhideWhenUsed/>
    <w:rsid w:val="003D506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D5069"/>
    <w:rPr>
      <w:sz w:val="20"/>
      <w:szCs w:val="20"/>
    </w:rPr>
  </w:style>
  <w:style w:type="paragraph" w:customStyle="1" w:styleId="EndNoteBibliographyTitle">
    <w:name w:val="EndNote Bibliography Title"/>
    <w:basedOn w:val="Normal"/>
    <w:link w:val="EndNoteBibliographyTitle0"/>
    <w:rsid w:val="003D5069"/>
    <w:pPr>
      <w:jc w:val="center"/>
    </w:pPr>
    <w:rPr>
      <w:rFonts w:ascii="Calibri" w:hAnsi="Calibri"/>
      <w:noProof/>
    </w:rPr>
  </w:style>
  <w:style w:type="character" w:customStyle="1" w:styleId="EndNoteBibliographyTitle0">
    <w:name w:val="EndNote Bibliography Title 字元"/>
    <w:basedOn w:val="DefaultParagraphFont"/>
    <w:link w:val="EndNoteBibliographyTitle"/>
    <w:rsid w:val="003D5069"/>
    <w:rPr>
      <w:rFonts w:ascii="Calibri" w:hAnsi="Calibri"/>
      <w:noProof/>
    </w:rPr>
  </w:style>
  <w:style w:type="paragraph" w:customStyle="1" w:styleId="EndNoteBibliography">
    <w:name w:val="EndNote Bibliography"/>
    <w:basedOn w:val="Normal"/>
    <w:link w:val="EndNoteBibliography0"/>
    <w:rsid w:val="003D5069"/>
    <w:rPr>
      <w:rFonts w:ascii="Calibri" w:hAnsi="Calibri"/>
      <w:noProof/>
    </w:rPr>
  </w:style>
  <w:style w:type="character" w:customStyle="1" w:styleId="EndNoteBibliography0">
    <w:name w:val="EndNote Bibliography 字元"/>
    <w:basedOn w:val="DefaultParagraphFont"/>
    <w:link w:val="EndNoteBibliography"/>
    <w:rsid w:val="003D5069"/>
    <w:rPr>
      <w:rFonts w:ascii="Calibri" w:hAnsi="Calibri"/>
      <w:noProof/>
    </w:rPr>
  </w:style>
  <w:style w:type="character" w:styleId="PlaceholderText">
    <w:name w:val="Placeholder Text"/>
    <w:basedOn w:val="DefaultParagraphFont"/>
    <w:uiPriority w:val="99"/>
    <w:semiHidden/>
    <w:rsid w:val="003D5069"/>
    <w:rPr>
      <w:color w:val="808080"/>
    </w:rPr>
  </w:style>
  <w:style w:type="paragraph" w:styleId="BalloonText">
    <w:name w:val="Balloon Text"/>
    <w:basedOn w:val="Normal"/>
    <w:link w:val="BalloonTextChar"/>
    <w:uiPriority w:val="99"/>
    <w:semiHidden/>
    <w:unhideWhenUsed/>
    <w:rsid w:val="003D506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069"/>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3D5069"/>
    <w:rPr>
      <w:color w:val="0000FF" w:themeColor="hyperlink"/>
      <w:u w:val="single"/>
    </w:rPr>
  </w:style>
  <w:style w:type="paragraph" w:styleId="ListParagraph">
    <w:name w:val="List Paragraph"/>
    <w:basedOn w:val="Normal"/>
    <w:uiPriority w:val="34"/>
    <w:qFormat/>
    <w:rsid w:val="003D5069"/>
    <w:pPr>
      <w:ind w:leftChars="200" w:left="480"/>
    </w:pPr>
  </w:style>
  <w:style w:type="character" w:styleId="CommentReference">
    <w:name w:val="annotation reference"/>
    <w:basedOn w:val="DefaultParagraphFont"/>
    <w:uiPriority w:val="99"/>
    <w:semiHidden/>
    <w:unhideWhenUsed/>
    <w:rsid w:val="003D5069"/>
    <w:rPr>
      <w:sz w:val="18"/>
      <w:szCs w:val="18"/>
    </w:rPr>
  </w:style>
  <w:style w:type="paragraph" w:styleId="CommentText">
    <w:name w:val="annotation text"/>
    <w:basedOn w:val="Normal"/>
    <w:link w:val="CommentTextChar"/>
    <w:uiPriority w:val="99"/>
    <w:semiHidden/>
    <w:unhideWhenUsed/>
    <w:rsid w:val="003D5069"/>
  </w:style>
  <w:style w:type="character" w:customStyle="1" w:styleId="CommentTextChar">
    <w:name w:val="Comment Text Char"/>
    <w:basedOn w:val="DefaultParagraphFont"/>
    <w:link w:val="CommentText"/>
    <w:uiPriority w:val="99"/>
    <w:semiHidden/>
    <w:rsid w:val="003D5069"/>
  </w:style>
  <w:style w:type="paragraph" w:styleId="CommentSubject">
    <w:name w:val="annotation subject"/>
    <w:basedOn w:val="CommentText"/>
    <w:next w:val="CommentText"/>
    <w:link w:val="CommentSubjectChar"/>
    <w:uiPriority w:val="99"/>
    <w:semiHidden/>
    <w:unhideWhenUsed/>
    <w:rsid w:val="003D5069"/>
    <w:rPr>
      <w:b/>
      <w:bCs/>
    </w:rPr>
  </w:style>
  <w:style w:type="character" w:customStyle="1" w:styleId="CommentSubjectChar">
    <w:name w:val="Comment Subject Char"/>
    <w:basedOn w:val="CommentTextChar"/>
    <w:link w:val="CommentSubject"/>
    <w:uiPriority w:val="99"/>
    <w:semiHidden/>
    <w:rsid w:val="003D5069"/>
    <w:rPr>
      <w:b/>
      <w:bCs/>
    </w:rPr>
  </w:style>
  <w:style w:type="paragraph" w:styleId="Revision">
    <w:name w:val="Revision"/>
    <w:hidden/>
    <w:uiPriority w:val="99"/>
    <w:semiHidden/>
    <w:rsid w:val="003D5069"/>
  </w:style>
  <w:style w:type="character" w:customStyle="1" w:styleId="apple-converted-space">
    <w:name w:val="apple-converted-space"/>
    <w:basedOn w:val="DefaultParagraphFont"/>
    <w:rsid w:val="003D5069"/>
  </w:style>
  <w:style w:type="character" w:styleId="LineNumber">
    <w:name w:val="line number"/>
    <w:basedOn w:val="DefaultParagraphFont"/>
    <w:uiPriority w:val="99"/>
    <w:semiHidden/>
    <w:unhideWhenUsed/>
    <w:rsid w:val="003D50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3307</Characters>
  <Application>Microsoft Macintosh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dc:creator>
  <cp:lastModifiedBy>Microsoft Office User</cp:lastModifiedBy>
  <cp:revision>4</cp:revision>
  <dcterms:created xsi:type="dcterms:W3CDTF">2018-07-25T00:12:00Z</dcterms:created>
  <dcterms:modified xsi:type="dcterms:W3CDTF">2018-07-26T09:08:00Z</dcterms:modified>
</cp:coreProperties>
</file>