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706C" w14:textId="77777777" w:rsidR="00EA35AC" w:rsidRPr="00571952" w:rsidRDefault="00EA35AC" w:rsidP="00EA35AC">
      <w:pPr>
        <w:spacing w:line="360" w:lineRule="auto"/>
        <w:rPr>
          <w:sz w:val="24"/>
          <w:lang w:val="en-US"/>
        </w:rPr>
      </w:pPr>
      <w:bookmarkStart w:id="0" w:name="_GoBack"/>
      <w:bookmarkEnd w:id="0"/>
      <w:r>
        <w:rPr>
          <w:b/>
          <w:sz w:val="24"/>
          <w:lang w:val="en-US"/>
        </w:rPr>
        <w:t xml:space="preserve">Supplementary Table 1: </w:t>
      </w:r>
      <w:r w:rsidRPr="00EC7BAA">
        <w:rPr>
          <w:b/>
          <w:sz w:val="24"/>
          <w:lang w:val="en-US"/>
        </w:rPr>
        <w:t>Categories of all included somatic diagnoses as defined within the International Classification of Diseases, 8</w:t>
      </w:r>
      <w:r w:rsidRPr="00EC7BAA">
        <w:rPr>
          <w:b/>
          <w:sz w:val="24"/>
          <w:vertAlign w:val="superscript"/>
          <w:lang w:val="en-US"/>
        </w:rPr>
        <w:t>th</w:t>
      </w:r>
      <w:r w:rsidRPr="00EC7BAA">
        <w:rPr>
          <w:b/>
          <w:sz w:val="24"/>
          <w:lang w:val="en-US"/>
        </w:rPr>
        <w:t xml:space="preserve"> revision (ICD-8) and ICD-10, respectively.</w:t>
      </w:r>
      <w:r>
        <w:rPr>
          <w:sz w:val="24"/>
          <w:lang w:val="en-US"/>
        </w:rPr>
        <w:t xml:space="preserve"> </w:t>
      </w:r>
    </w:p>
    <w:tbl>
      <w:tblPr>
        <w:tblStyle w:val="Almindeligtabel11"/>
        <w:tblW w:w="9628" w:type="dxa"/>
        <w:tblLook w:val="04A0" w:firstRow="1" w:lastRow="0" w:firstColumn="1" w:lastColumn="0" w:noHBand="0" w:noVBand="1"/>
      </w:tblPr>
      <w:tblGrid>
        <w:gridCol w:w="3256"/>
        <w:gridCol w:w="3402"/>
        <w:gridCol w:w="2970"/>
      </w:tblGrid>
      <w:tr w:rsidR="00EA35AC" w14:paraId="23FEE3E7" w14:textId="77777777" w:rsidTr="00000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E7A96AF" w14:textId="77777777" w:rsidR="00EA35AC" w:rsidRDefault="00EA35AC" w:rsidP="00000B7F">
            <w:pPr>
              <w:spacing w:line="360" w:lineRule="auto"/>
              <w:jc w:val="center"/>
              <w:rPr>
                <w:sz w:val="24"/>
                <w:lang w:val="en-US"/>
              </w:rPr>
            </w:pPr>
            <w:r>
              <w:rPr>
                <w:sz w:val="24"/>
                <w:lang w:val="en-US"/>
              </w:rPr>
              <w:t>Disease</w:t>
            </w:r>
          </w:p>
        </w:tc>
        <w:tc>
          <w:tcPr>
            <w:tcW w:w="3402" w:type="dxa"/>
          </w:tcPr>
          <w:p w14:paraId="2FF37AF0" w14:textId="77777777" w:rsidR="00EA35AC" w:rsidRDefault="00EA35AC" w:rsidP="00000B7F">
            <w:pPr>
              <w:spacing w:line="360" w:lineRule="auto"/>
              <w:jc w:val="center"/>
              <w:cnfStyle w:val="100000000000" w:firstRow="1" w:lastRow="0" w:firstColumn="0" w:lastColumn="0" w:oddVBand="0" w:evenVBand="0" w:oddHBand="0" w:evenHBand="0" w:firstRowFirstColumn="0" w:firstRowLastColumn="0" w:lastRowFirstColumn="0" w:lastRowLastColumn="0"/>
              <w:rPr>
                <w:sz w:val="24"/>
                <w:lang w:val="en-US"/>
              </w:rPr>
            </w:pPr>
            <w:r>
              <w:rPr>
                <w:sz w:val="24"/>
                <w:lang w:val="en-US"/>
              </w:rPr>
              <w:t>ICD-8</w:t>
            </w:r>
          </w:p>
        </w:tc>
        <w:tc>
          <w:tcPr>
            <w:tcW w:w="2970" w:type="dxa"/>
          </w:tcPr>
          <w:p w14:paraId="2AC007FB" w14:textId="77777777" w:rsidR="00EA35AC" w:rsidRDefault="00EA35AC" w:rsidP="00000B7F">
            <w:pPr>
              <w:spacing w:line="360" w:lineRule="auto"/>
              <w:jc w:val="center"/>
              <w:cnfStyle w:val="100000000000" w:firstRow="1" w:lastRow="0" w:firstColumn="0" w:lastColumn="0" w:oddVBand="0" w:evenVBand="0" w:oddHBand="0" w:evenHBand="0" w:firstRowFirstColumn="0" w:firstRowLastColumn="0" w:lastRowFirstColumn="0" w:lastRowLastColumn="0"/>
              <w:rPr>
                <w:sz w:val="24"/>
                <w:lang w:val="en-US"/>
              </w:rPr>
            </w:pPr>
            <w:r>
              <w:rPr>
                <w:sz w:val="24"/>
                <w:lang w:val="en-US"/>
              </w:rPr>
              <w:t>ICD-10</w:t>
            </w:r>
          </w:p>
        </w:tc>
      </w:tr>
      <w:tr w:rsidR="00EA35AC" w14:paraId="08832D44" w14:textId="77777777" w:rsidTr="00000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479E5D8" w14:textId="77777777" w:rsidR="00EA35AC" w:rsidRPr="00153864" w:rsidRDefault="00EA35AC" w:rsidP="00000B7F">
            <w:pPr>
              <w:spacing w:line="360" w:lineRule="auto"/>
              <w:rPr>
                <w:lang w:val="en-US"/>
              </w:rPr>
            </w:pPr>
            <w:r w:rsidRPr="00153864">
              <w:rPr>
                <w:lang w:val="en-US"/>
              </w:rPr>
              <w:t>Main Categories</w:t>
            </w:r>
          </w:p>
        </w:tc>
        <w:tc>
          <w:tcPr>
            <w:tcW w:w="3402" w:type="dxa"/>
          </w:tcPr>
          <w:p w14:paraId="5373498A" w14:textId="77777777" w:rsidR="00EA35AC" w:rsidRDefault="00EA35AC" w:rsidP="00000B7F">
            <w:pPr>
              <w:spacing w:line="360" w:lineRule="auto"/>
              <w:jc w:val="center"/>
              <w:cnfStyle w:val="000000100000" w:firstRow="0" w:lastRow="0" w:firstColumn="0" w:lastColumn="0" w:oddVBand="0" w:evenVBand="0" w:oddHBand="1" w:evenHBand="0" w:firstRowFirstColumn="0" w:firstRowLastColumn="0" w:lastRowFirstColumn="0" w:lastRowLastColumn="0"/>
              <w:rPr>
                <w:sz w:val="24"/>
                <w:lang w:val="en-US"/>
              </w:rPr>
            </w:pPr>
          </w:p>
        </w:tc>
        <w:tc>
          <w:tcPr>
            <w:tcW w:w="2970" w:type="dxa"/>
          </w:tcPr>
          <w:p w14:paraId="08D90435" w14:textId="77777777" w:rsidR="00EA35AC" w:rsidRDefault="00EA35AC" w:rsidP="00000B7F">
            <w:pPr>
              <w:spacing w:line="360" w:lineRule="auto"/>
              <w:jc w:val="center"/>
              <w:cnfStyle w:val="000000100000" w:firstRow="0" w:lastRow="0" w:firstColumn="0" w:lastColumn="0" w:oddVBand="0" w:evenVBand="0" w:oddHBand="1" w:evenHBand="0" w:firstRowFirstColumn="0" w:firstRowLastColumn="0" w:lastRowFirstColumn="0" w:lastRowLastColumn="0"/>
              <w:rPr>
                <w:sz w:val="24"/>
                <w:lang w:val="en-US"/>
              </w:rPr>
            </w:pPr>
          </w:p>
        </w:tc>
      </w:tr>
      <w:tr w:rsidR="00EA35AC" w:rsidRPr="009430E5" w14:paraId="67553F9E" w14:textId="77777777" w:rsidTr="00000B7F">
        <w:tc>
          <w:tcPr>
            <w:cnfStyle w:val="001000000000" w:firstRow="0" w:lastRow="0" w:firstColumn="1" w:lastColumn="0" w:oddVBand="0" w:evenVBand="0" w:oddHBand="0" w:evenHBand="0" w:firstRowFirstColumn="0" w:firstRowLastColumn="0" w:lastRowFirstColumn="0" w:lastRowLastColumn="0"/>
            <w:tcW w:w="3256" w:type="dxa"/>
          </w:tcPr>
          <w:p w14:paraId="2B6C2C2C" w14:textId="77777777" w:rsidR="00EA35AC" w:rsidRPr="003E1797" w:rsidRDefault="00EA35AC" w:rsidP="00000B7F">
            <w:pPr>
              <w:spacing w:line="360" w:lineRule="auto"/>
              <w:jc w:val="both"/>
              <w:rPr>
                <w:sz w:val="20"/>
                <w:szCs w:val="20"/>
                <w:lang w:val="en-US"/>
              </w:rPr>
            </w:pPr>
            <w:r w:rsidRPr="003E1797">
              <w:rPr>
                <w:sz w:val="20"/>
                <w:szCs w:val="20"/>
                <w:lang w:val="en-US"/>
              </w:rPr>
              <w:t>Certain infectious and parasitic diseases.</w:t>
            </w:r>
          </w:p>
        </w:tc>
        <w:tc>
          <w:tcPr>
            <w:tcW w:w="3402" w:type="dxa"/>
          </w:tcPr>
          <w:p w14:paraId="6FE75CBD" w14:textId="77777777" w:rsidR="00EA35AC" w:rsidRPr="003E1797" w:rsidRDefault="00EA35AC"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3E1797">
              <w:rPr>
                <w:sz w:val="20"/>
                <w:szCs w:val="20"/>
                <w:lang w:val="en-US"/>
              </w:rPr>
              <w:t>000-136</w:t>
            </w:r>
          </w:p>
        </w:tc>
        <w:tc>
          <w:tcPr>
            <w:tcW w:w="2970" w:type="dxa"/>
          </w:tcPr>
          <w:p w14:paraId="19DDA6D0" w14:textId="77777777" w:rsidR="00EA35AC" w:rsidRPr="003E1797" w:rsidRDefault="00EA35AC"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3E1797">
              <w:rPr>
                <w:sz w:val="20"/>
                <w:szCs w:val="20"/>
                <w:lang w:val="en-US"/>
              </w:rPr>
              <w:t>A00-B99</w:t>
            </w:r>
          </w:p>
        </w:tc>
      </w:tr>
      <w:tr w:rsidR="00EA35AC" w:rsidRPr="007507B8" w14:paraId="440DBD5F" w14:textId="77777777" w:rsidTr="00000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C768A3B" w14:textId="77777777" w:rsidR="00EA35AC" w:rsidRPr="003E1797" w:rsidRDefault="00EA35AC" w:rsidP="00000B7F">
            <w:pPr>
              <w:spacing w:line="360" w:lineRule="auto"/>
              <w:jc w:val="both"/>
              <w:rPr>
                <w:sz w:val="20"/>
                <w:szCs w:val="20"/>
                <w:lang w:val="en-US"/>
              </w:rPr>
            </w:pPr>
            <w:r w:rsidRPr="003E1797">
              <w:rPr>
                <w:sz w:val="20"/>
                <w:szCs w:val="20"/>
                <w:lang w:val="en-US"/>
              </w:rPr>
              <w:t>Neoplasms</w:t>
            </w:r>
          </w:p>
        </w:tc>
        <w:tc>
          <w:tcPr>
            <w:tcW w:w="3402" w:type="dxa"/>
          </w:tcPr>
          <w:p w14:paraId="7AA1E09B" w14:textId="77777777" w:rsidR="00EA35AC" w:rsidRPr="003E1797" w:rsidRDefault="00EA35AC"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3E1797">
              <w:rPr>
                <w:sz w:val="20"/>
                <w:szCs w:val="20"/>
                <w:lang w:val="en-US"/>
              </w:rPr>
              <w:t>140-239</w:t>
            </w:r>
          </w:p>
        </w:tc>
        <w:tc>
          <w:tcPr>
            <w:tcW w:w="2970" w:type="dxa"/>
          </w:tcPr>
          <w:p w14:paraId="2F329F15" w14:textId="77777777" w:rsidR="00EA35AC" w:rsidRPr="003E1797" w:rsidRDefault="00EA35AC"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3E1797">
              <w:rPr>
                <w:sz w:val="20"/>
                <w:szCs w:val="20"/>
                <w:lang w:val="en-US"/>
              </w:rPr>
              <w:t>C00-D48</w:t>
            </w:r>
          </w:p>
        </w:tc>
      </w:tr>
      <w:tr w:rsidR="00EA35AC" w:rsidRPr="009430E5" w14:paraId="41152593" w14:textId="77777777" w:rsidTr="00000B7F">
        <w:tc>
          <w:tcPr>
            <w:cnfStyle w:val="001000000000" w:firstRow="0" w:lastRow="0" w:firstColumn="1" w:lastColumn="0" w:oddVBand="0" w:evenVBand="0" w:oddHBand="0" w:evenHBand="0" w:firstRowFirstColumn="0" w:firstRowLastColumn="0" w:lastRowFirstColumn="0" w:lastRowLastColumn="0"/>
            <w:tcW w:w="3256" w:type="dxa"/>
          </w:tcPr>
          <w:p w14:paraId="5E26D00F" w14:textId="77777777" w:rsidR="00EA35AC" w:rsidRPr="003E1797" w:rsidRDefault="00EA35AC" w:rsidP="00000B7F">
            <w:pPr>
              <w:spacing w:line="360" w:lineRule="auto"/>
              <w:jc w:val="both"/>
              <w:rPr>
                <w:sz w:val="20"/>
                <w:szCs w:val="20"/>
                <w:lang w:val="en-US"/>
              </w:rPr>
            </w:pPr>
            <w:r w:rsidRPr="003E1797">
              <w:rPr>
                <w:sz w:val="20"/>
                <w:szCs w:val="20"/>
                <w:lang w:val="en-US"/>
              </w:rPr>
              <w:t>Diseases of the blood and blood-forming organs and certain disorders involving the immune mechanism</w:t>
            </w:r>
          </w:p>
        </w:tc>
        <w:tc>
          <w:tcPr>
            <w:tcW w:w="3402" w:type="dxa"/>
          </w:tcPr>
          <w:p w14:paraId="1208B488" w14:textId="77777777" w:rsidR="00EA35AC" w:rsidRPr="003E1797" w:rsidRDefault="00EA35AC"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3E1797">
              <w:rPr>
                <w:sz w:val="20"/>
                <w:szCs w:val="20"/>
                <w:lang w:val="en-US"/>
              </w:rPr>
              <w:t>280-289</w:t>
            </w:r>
          </w:p>
        </w:tc>
        <w:tc>
          <w:tcPr>
            <w:tcW w:w="2970" w:type="dxa"/>
          </w:tcPr>
          <w:p w14:paraId="73027A27" w14:textId="77777777" w:rsidR="00EA35AC" w:rsidRPr="003E1797" w:rsidRDefault="00EA35AC"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3E1797">
              <w:rPr>
                <w:sz w:val="20"/>
                <w:szCs w:val="20"/>
                <w:lang w:val="en-US"/>
              </w:rPr>
              <w:t>D50-D89</w:t>
            </w:r>
          </w:p>
        </w:tc>
      </w:tr>
      <w:tr w:rsidR="00EA35AC" w:rsidRPr="009430E5" w14:paraId="051E97EC" w14:textId="77777777" w:rsidTr="00000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34F5889" w14:textId="77777777" w:rsidR="00EA35AC" w:rsidRPr="003E1797" w:rsidRDefault="00EA35AC" w:rsidP="00000B7F">
            <w:pPr>
              <w:spacing w:line="360" w:lineRule="auto"/>
              <w:jc w:val="both"/>
              <w:rPr>
                <w:sz w:val="20"/>
                <w:szCs w:val="20"/>
                <w:lang w:val="en-US"/>
              </w:rPr>
            </w:pPr>
            <w:r w:rsidRPr="003E1797">
              <w:rPr>
                <w:sz w:val="20"/>
                <w:szCs w:val="20"/>
                <w:lang w:val="en-US"/>
              </w:rPr>
              <w:t>Endocrine, nutritional and metabolic diseases.</w:t>
            </w:r>
          </w:p>
        </w:tc>
        <w:tc>
          <w:tcPr>
            <w:tcW w:w="3402" w:type="dxa"/>
          </w:tcPr>
          <w:p w14:paraId="76045B54" w14:textId="77777777" w:rsidR="00EA35AC" w:rsidRPr="003E1797" w:rsidRDefault="00EA35AC"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3E1797">
              <w:rPr>
                <w:sz w:val="20"/>
                <w:szCs w:val="20"/>
                <w:lang w:val="en-US"/>
              </w:rPr>
              <w:t>240-279</w:t>
            </w:r>
          </w:p>
        </w:tc>
        <w:tc>
          <w:tcPr>
            <w:tcW w:w="2970" w:type="dxa"/>
          </w:tcPr>
          <w:p w14:paraId="2030A45F" w14:textId="77777777" w:rsidR="00EA35AC" w:rsidRPr="003E1797" w:rsidRDefault="00EA35AC"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3E1797">
              <w:rPr>
                <w:sz w:val="20"/>
                <w:szCs w:val="20"/>
                <w:lang w:val="en-US"/>
              </w:rPr>
              <w:t>E00-E90</w:t>
            </w:r>
          </w:p>
        </w:tc>
      </w:tr>
      <w:tr w:rsidR="00EA35AC" w:rsidRPr="009430E5" w14:paraId="2E98BA68" w14:textId="77777777" w:rsidTr="00000B7F">
        <w:tc>
          <w:tcPr>
            <w:cnfStyle w:val="001000000000" w:firstRow="0" w:lastRow="0" w:firstColumn="1" w:lastColumn="0" w:oddVBand="0" w:evenVBand="0" w:oddHBand="0" w:evenHBand="0" w:firstRowFirstColumn="0" w:firstRowLastColumn="0" w:lastRowFirstColumn="0" w:lastRowLastColumn="0"/>
            <w:tcW w:w="3256" w:type="dxa"/>
          </w:tcPr>
          <w:p w14:paraId="01B6F02F" w14:textId="77777777" w:rsidR="00EA35AC" w:rsidRPr="00D13ACA" w:rsidRDefault="00EA35AC" w:rsidP="00000B7F">
            <w:pPr>
              <w:spacing w:line="360" w:lineRule="auto"/>
              <w:jc w:val="both"/>
              <w:rPr>
                <w:sz w:val="20"/>
                <w:szCs w:val="20"/>
                <w:lang w:val="en-US"/>
              </w:rPr>
            </w:pPr>
            <w:r w:rsidRPr="00D13ACA">
              <w:rPr>
                <w:sz w:val="20"/>
                <w:szCs w:val="20"/>
                <w:lang w:val="en-US"/>
              </w:rPr>
              <w:t>Diseases of the nervous system and the sense organs</w:t>
            </w:r>
          </w:p>
        </w:tc>
        <w:tc>
          <w:tcPr>
            <w:tcW w:w="3402" w:type="dxa"/>
          </w:tcPr>
          <w:p w14:paraId="6228FE6F" w14:textId="77777777" w:rsidR="00EA35AC" w:rsidRPr="00D13ACA" w:rsidRDefault="00EA35AC"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3ACA">
              <w:rPr>
                <w:sz w:val="20"/>
                <w:szCs w:val="20"/>
                <w:lang w:val="en-US"/>
              </w:rPr>
              <w:t>320-389</w:t>
            </w:r>
          </w:p>
        </w:tc>
        <w:tc>
          <w:tcPr>
            <w:tcW w:w="2970" w:type="dxa"/>
          </w:tcPr>
          <w:p w14:paraId="59B5CD7A" w14:textId="77777777" w:rsidR="00EA35AC" w:rsidRPr="00D13ACA" w:rsidRDefault="00EA35AC"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3ACA">
              <w:rPr>
                <w:sz w:val="20"/>
                <w:szCs w:val="20"/>
                <w:lang w:val="en-US"/>
              </w:rPr>
              <w:t>G00-H95</w:t>
            </w:r>
          </w:p>
        </w:tc>
      </w:tr>
      <w:tr w:rsidR="00EA35AC" w:rsidRPr="009430E5" w14:paraId="2EF74B0B" w14:textId="77777777" w:rsidTr="00000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433EFA3" w14:textId="77777777" w:rsidR="00EA35AC" w:rsidRPr="00D13ACA" w:rsidRDefault="00EA35AC" w:rsidP="00000B7F">
            <w:pPr>
              <w:spacing w:line="360" w:lineRule="auto"/>
              <w:jc w:val="both"/>
              <w:rPr>
                <w:sz w:val="20"/>
                <w:szCs w:val="20"/>
                <w:lang w:val="en-US"/>
              </w:rPr>
            </w:pPr>
            <w:r w:rsidRPr="00D13ACA">
              <w:rPr>
                <w:sz w:val="20"/>
                <w:szCs w:val="20"/>
                <w:lang w:val="en-US"/>
              </w:rPr>
              <w:t>Diseases of the circulatory system</w:t>
            </w:r>
          </w:p>
        </w:tc>
        <w:tc>
          <w:tcPr>
            <w:tcW w:w="3402" w:type="dxa"/>
          </w:tcPr>
          <w:p w14:paraId="477D2179" w14:textId="77777777" w:rsidR="00EA35AC" w:rsidRPr="00D13ACA" w:rsidRDefault="00EA35AC"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D13ACA">
              <w:rPr>
                <w:sz w:val="20"/>
                <w:szCs w:val="20"/>
                <w:lang w:val="en-US"/>
              </w:rPr>
              <w:t>390-441.1, 444.3-458, 782.4</w:t>
            </w:r>
          </w:p>
        </w:tc>
        <w:tc>
          <w:tcPr>
            <w:tcW w:w="2970" w:type="dxa"/>
          </w:tcPr>
          <w:p w14:paraId="2679EFF5" w14:textId="77777777" w:rsidR="00EA35AC" w:rsidRPr="00D13ACA" w:rsidRDefault="00EA35AC"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D13ACA">
              <w:rPr>
                <w:sz w:val="20"/>
                <w:szCs w:val="20"/>
                <w:lang w:val="en-US"/>
              </w:rPr>
              <w:t>I00-I99</w:t>
            </w:r>
          </w:p>
        </w:tc>
      </w:tr>
      <w:tr w:rsidR="00EA35AC" w:rsidRPr="009430E5" w14:paraId="168242FB" w14:textId="77777777" w:rsidTr="00000B7F">
        <w:tc>
          <w:tcPr>
            <w:cnfStyle w:val="001000000000" w:firstRow="0" w:lastRow="0" w:firstColumn="1" w:lastColumn="0" w:oddVBand="0" w:evenVBand="0" w:oddHBand="0" w:evenHBand="0" w:firstRowFirstColumn="0" w:firstRowLastColumn="0" w:lastRowFirstColumn="0" w:lastRowLastColumn="0"/>
            <w:tcW w:w="3256" w:type="dxa"/>
          </w:tcPr>
          <w:p w14:paraId="6006B1F2" w14:textId="77777777" w:rsidR="00EA35AC" w:rsidRPr="00D13ACA" w:rsidRDefault="00EA35AC" w:rsidP="00000B7F">
            <w:pPr>
              <w:spacing w:line="360" w:lineRule="auto"/>
              <w:jc w:val="both"/>
              <w:rPr>
                <w:sz w:val="20"/>
                <w:szCs w:val="20"/>
                <w:lang w:val="en-US"/>
              </w:rPr>
            </w:pPr>
            <w:r w:rsidRPr="00D13ACA">
              <w:rPr>
                <w:sz w:val="20"/>
                <w:szCs w:val="20"/>
                <w:lang w:val="en-US"/>
              </w:rPr>
              <w:t>Diseases of the respiratory system</w:t>
            </w:r>
          </w:p>
        </w:tc>
        <w:tc>
          <w:tcPr>
            <w:tcW w:w="3402" w:type="dxa"/>
          </w:tcPr>
          <w:p w14:paraId="7BE57FA8" w14:textId="77777777" w:rsidR="00EA35AC" w:rsidRPr="00D13ACA" w:rsidRDefault="00EA35AC"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3ACA">
              <w:rPr>
                <w:sz w:val="20"/>
                <w:szCs w:val="20"/>
                <w:lang w:val="en-US"/>
              </w:rPr>
              <w:t>460-519</w:t>
            </w:r>
          </w:p>
        </w:tc>
        <w:tc>
          <w:tcPr>
            <w:tcW w:w="2970" w:type="dxa"/>
          </w:tcPr>
          <w:p w14:paraId="2E5F3BB4" w14:textId="77777777" w:rsidR="00EA35AC" w:rsidRPr="00D13ACA" w:rsidRDefault="00EA35AC"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3ACA">
              <w:rPr>
                <w:sz w:val="20"/>
                <w:szCs w:val="20"/>
                <w:lang w:val="en-US"/>
              </w:rPr>
              <w:t>J00-J99</w:t>
            </w:r>
          </w:p>
        </w:tc>
      </w:tr>
      <w:tr w:rsidR="00EA35AC" w:rsidRPr="009430E5" w14:paraId="187A878F" w14:textId="77777777" w:rsidTr="00000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E5061D1" w14:textId="77777777" w:rsidR="00EA35AC" w:rsidRPr="00D13ACA" w:rsidRDefault="00EA35AC" w:rsidP="00000B7F">
            <w:pPr>
              <w:spacing w:line="360" w:lineRule="auto"/>
              <w:jc w:val="both"/>
              <w:rPr>
                <w:sz w:val="20"/>
                <w:szCs w:val="20"/>
                <w:lang w:val="en-US"/>
              </w:rPr>
            </w:pPr>
            <w:r w:rsidRPr="00D13ACA">
              <w:rPr>
                <w:sz w:val="20"/>
                <w:szCs w:val="20"/>
                <w:lang w:val="en-US"/>
              </w:rPr>
              <w:t>Diseases of the digestive system</w:t>
            </w:r>
          </w:p>
        </w:tc>
        <w:tc>
          <w:tcPr>
            <w:tcW w:w="3402" w:type="dxa"/>
          </w:tcPr>
          <w:p w14:paraId="0CC53F1C" w14:textId="77777777" w:rsidR="00EA35AC" w:rsidRPr="00D13ACA" w:rsidRDefault="00EA35AC"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D13ACA">
              <w:rPr>
                <w:sz w:val="20"/>
                <w:szCs w:val="20"/>
                <w:lang w:val="en-US"/>
              </w:rPr>
              <w:t>520-577, 444.2</w:t>
            </w:r>
          </w:p>
        </w:tc>
        <w:tc>
          <w:tcPr>
            <w:tcW w:w="2970" w:type="dxa"/>
          </w:tcPr>
          <w:p w14:paraId="0612C0C9" w14:textId="77777777" w:rsidR="00EA35AC" w:rsidRPr="00D13ACA" w:rsidRDefault="00EA35AC"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D13ACA">
              <w:rPr>
                <w:sz w:val="20"/>
                <w:szCs w:val="20"/>
                <w:lang w:val="en-US"/>
              </w:rPr>
              <w:t>K00-K93</w:t>
            </w:r>
          </w:p>
        </w:tc>
      </w:tr>
      <w:tr w:rsidR="00EA35AC" w:rsidRPr="009430E5" w14:paraId="1CFC2DA9" w14:textId="77777777" w:rsidTr="00000B7F">
        <w:tc>
          <w:tcPr>
            <w:cnfStyle w:val="001000000000" w:firstRow="0" w:lastRow="0" w:firstColumn="1" w:lastColumn="0" w:oddVBand="0" w:evenVBand="0" w:oddHBand="0" w:evenHBand="0" w:firstRowFirstColumn="0" w:firstRowLastColumn="0" w:lastRowFirstColumn="0" w:lastRowLastColumn="0"/>
            <w:tcW w:w="3256" w:type="dxa"/>
          </w:tcPr>
          <w:p w14:paraId="2FAF36B1" w14:textId="77777777" w:rsidR="00EA35AC" w:rsidRPr="00D13ACA" w:rsidRDefault="00EA35AC" w:rsidP="00000B7F">
            <w:pPr>
              <w:spacing w:line="360" w:lineRule="auto"/>
              <w:jc w:val="both"/>
              <w:rPr>
                <w:sz w:val="20"/>
                <w:szCs w:val="20"/>
                <w:lang w:val="en-US"/>
              </w:rPr>
            </w:pPr>
            <w:r w:rsidRPr="00D13ACA">
              <w:rPr>
                <w:sz w:val="20"/>
                <w:szCs w:val="20"/>
                <w:lang w:val="en-US"/>
              </w:rPr>
              <w:t>Diseases of the skin and subcutaneous tissue</w:t>
            </w:r>
          </w:p>
        </w:tc>
        <w:tc>
          <w:tcPr>
            <w:tcW w:w="3402" w:type="dxa"/>
          </w:tcPr>
          <w:p w14:paraId="6FD1F18D" w14:textId="77777777" w:rsidR="00EA35AC" w:rsidRPr="00D13ACA" w:rsidRDefault="00EA35AC"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3ACA">
              <w:rPr>
                <w:sz w:val="20"/>
                <w:szCs w:val="20"/>
                <w:lang w:val="en-US"/>
              </w:rPr>
              <w:t>680-709</w:t>
            </w:r>
          </w:p>
        </w:tc>
        <w:tc>
          <w:tcPr>
            <w:tcW w:w="2970" w:type="dxa"/>
          </w:tcPr>
          <w:p w14:paraId="642C927A" w14:textId="77777777" w:rsidR="00EA35AC" w:rsidRPr="00D13ACA" w:rsidRDefault="00EA35AC"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3ACA">
              <w:rPr>
                <w:sz w:val="20"/>
                <w:szCs w:val="20"/>
                <w:lang w:val="en-US"/>
              </w:rPr>
              <w:t>L00-L99</w:t>
            </w:r>
          </w:p>
        </w:tc>
      </w:tr>
      <w:tr w:rsidR="00EA35AC" w:rsidRPr="009430E5" w14:paraId="3629AE8D" w14:textId="77777777" w:rsidTr="00000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1706FFC" w14:textId="77777777" w:rsidR="00EA35AC" w:rsidRPr="00D13ACA" w:rsidRDefault="00EA35AC" w:rsidP="00000B7F">
            <w:pPr>
              <w:spacing w:line="360" w:lineRule="auto"/>
              <w:jc w:val="both"/>
              <w:rPr>
                <w:sz w:val="20"/>
                <w:szCs w:val="20"/>
                <w:lang w:val="en-US"/>
              </w:rPr>
            </w:pPr>
            <w:r w:rsidRPr="00D13ACA">
              <w:rPr>
                <w:sz w:val="20"/>
                <w:szCs w:val="20"/>
                <w:lang w:val="en-US"/>
              </w:rPr>
              <w:t>Diseases of the musculoskeletal system and connective tissue</w:t>
            </w:r>
          </w:p>
        </w:tc>
        <w:tc>
          <w:tcPr>
            <w:tcW w:w="3402" w:type="dxa"/>
          </w:tcPr>
          <w:p w14:paraId="2184C3E1" w14:textId="77777777" w:rsidR="00EA35AC" w:rsidRPr="00D13ACA" w:rsidRDefault="00EA35AC"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D13ACA">
              <w:rPr>
                <w:sz w:val="20"/>
                <w:szCs w:val="20"/>
                <w:lang w:val="en-US"/>
              </w:rPr>
              <w:t>710-738</w:t>
            </w:r>
          </w:p>
        </w:tc>
        <w:tc>
          <w:tcPr>
            <w:tcW w:w="2970" w:type="dxa"/>
          </w:tcPr>
          <w:p w14:paraId="7D5B6474" w14:textId="77777777" w:rsidR="00EA35AC" w:rsidRPr="00D13ACA" w:rsidRDefault="00EA35AC"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D13ACA">
              <w:rPr>
                <w:sz w:val="20"/>
                <w:szCs w:val="20"/>
                <w:lang w:val="en-US"/>
              </w:rPr>
              <w:t>M00-M99</w:t>
            </w:r>
          </w:p>
        </w:tc>
      </w:tr>
      <w:tr w:rsidR="00EA35AC" w:rsidRPr="009430E5" w14:paraId="29BA261D" w14:textId="77777777" w:rsidTr="00000B7F">
        <w:tc>
          <w:tcPr>
            <w:cnfStyle w:val="001000000000" w:firstRow="0" w:lastRow="0" w:firstColumn="1" w:lastColumn="0" w:oddVBand="0" w:evenVBand="0" w:oddHBand="0" w:evenHBand="0" w:firstRowFirstColumn="0" w:firstRowLastColumn="0" w:lastRowFirstColumn="0" w:lastRowLastColumn="0"/>
            <w:tcW w:w="3256" w:type="dxa"/>
          </w:tcPr>
          <w:p w14:paraId="781A2D2A" w14:textId="77777777" w:rsidR="00EA35AC" w:rsidRPr="00D13ACA" w:rsidRDefault="00EA35AC" w:rsidP="00000B7F">
            <w:pPr>
              <w:spacing w:line="360" w:lineRule="auto"/>
              <w:jc w:val="both"/>
              <w:rPr>
                <w:sz w:val="20"/>
                <w:szCs w:val="20"/>
                <w:lang w:val="en-US"/>
              </w:rPr>
            </w:pPr>
            <w:r w:rsidRPr="00D13ACA">
              <w:rPr>
                <w:sz w:val="20"/>
                <w:szCs w:val="20"/>
                <w:lang w:val="en-US"/>
              </w:rPr>
              <w:t>Diseases of the genitourinary system</w:t>
            </w:r>
          </w:p>
        </w:tc>
        <w:tc>
          <w:tcPr>
            <w:tcW w:w="3402" w:type="dxa"/>
          </w:tcPr>
          <w:p w14:paraId="1F438B36" w14:textId="77777777" w:rsidR="00EA35AC" w:rsidRPr="00D13ACA" w:rsidRDefault="00EA35AC"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3ACA">
              <w:rPr>
                <w:sz w:val="20"/>
                <w:szCs w:val="20"/>
                <w:lang w:val="en-US"/>
              </w:rPr>
              <w:t>580-629, 792</w:t>
            </w:r>
          </w:p>
        </w:tc>
        <w:tc>
          <w:tcPr>
            <w:tcW w:w="2970" w:type="dxa"/>
          </w:tcPr>
          <w:p w14:paraId="7D406045" w14:textId="77777777" w:rsidR="00EA35AC" w:rsidRPr="00D13ACA" w:rsidRDefault="00EA35AC"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3ACA">
              <w:rPr>
                <w:sz w:val="20"/>
                <w:szCs w:val="20"/>
                <w:lang w:val="en-US"/>
              </w:rPr>
              <w:t>N00-N99</w:t>
            </w:r>
          </w:p>
        </w:tc>
      </w:tr>
      <w:tr w:rsidR="00EA35AC" w:rsidRPr="009430E5" w14:paraId="397029F0" w14:textId="77777777" w:rsidTr="00000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554E180" w14:textId="77777777" w:rsidR="00EA35AC" w:rsidRPr="00D13ACA" w:rsidRDefault="00EA35AC" w:rsidP="00000B7F">
            <w:pPr>
              <w:spacing w:line="360" w:lineRule="auto"/>
              <w:jc w:val="both"/>
              <w:rPr>
                <w:sz w:val="20"/>
                <w:szCs w:val="20"/>
                <w:lang w:val="en-US"/>
              </w:rPr>
            </w:pPr>
            <w:r w:rsidRPr="00D13ACA">
              <w:rPr>
                <w:sz w:val="20"/>
                <w:szCs w:val="20"/>
                <w:lang w:val="en-US"/>
              </w:rPr>
              <w:t>Pregnancy, childbirth and the puerperium</w:t>
            </w:r>
          </w:p>
        </w:tc>
        <w:tc>
          <w:tcPr>
            <w:tcW w:w="3402" w:type="dxa"/>
          </w:tcPr>
          <w:p w14:paraId="045BE9D5" w14:textId="77777777" w:rsidR="00EA35AC" w:rsidRPr="00D13ACA" w:rsidRDefault="00EA35AC"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D13ACA">
              <w:rPr>
                <w:sz w:val="20"/>
                <w:szCs w:val="20"/>
                <w:lang w:val="en-US"/>
              </w:rPr>
              <w:t>630-678</w:t>
            </w:r>
          </w:p>
        </w:tc>
        <w:tc>
          <w:tcPr>
            <w:tcW w:w="2970" w:type="dxa"/>
          </w:tcPr>
          <w:p w14:paraId="55264D4B" w14:textId="77777777" w:rsidR="00EA35AC" w:rsidRPr="00D13ACA" w:rsidRDefault="00EA35AC"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D13ACA">
              <w:rPr>
                <w:sz w:val="20"/>
                <w:szCs w:val="20"/>
                <w:lang w:val="en-US"/>
              </w:rPr>
              <w:t>O00-O99</w:t>
            </w:r>
          </w:p>
        </w:tc>
      </w:tr>
      <w:tr w:rsidR="00EA35AC" w:rsidRPr="009430E5" w14:paraId="27CC88F7" w14:textId="77777777" w:rsidTr="00000B7F">
        <w:tc>
          <w:tcPr>
            <w:cnfStyle w:val="001000000000" w:firstRow="0" w:lastRow="0" w:firstColumn="1" w:lastColumn="0" w:oddVBand="0" w:evenVBand="0" w:oddHBand="0" w:evenHBand="0" w:firstRowFirstColumn="0" w:firstRowLastColumn="0" w:lastRowFirstColumn="0" w:lastRowLastColumn="0"/>
            <w:tcW w:w="3256" w:type="dxa"/>
          </w:tcPr>
          <w:p w14:paraId="1F05A10D" w14:textId="77777777" w:rsidR="00EA35AC" w:rsidRPr="00D13ACA" w:rsidRDefault="00EA35AC" w:rsidP="00000B7F">
            <w:pPr>
              <w:spacing w:line="360" w:lineRule="auto"/>
              <w:jc w:val="both"/>
              <w:rPr>
                <w:sz w:val="20"/>
                <w:szCs w:val="20"/>
                <w:lang w:val="en-US"/>
              </w:rPr>
            </w:pPr>
            <w:r w:rsidRPr="00D13ACA">
              <w:rPr>
                <w:sz w:val="20"/>
                <w:szCs w:val="20"/>
                <w:lang w:val="en-US"/>
              </w:rPr>
              <w:t>Certain conditions originating in the perinatal period</w:t>
            </w:r>
          </w:p>
        </w:tc>
        <w:tc>
          <w:tcPr>
            <w:tcW w:w="3402" w:type="dxa"/>
          </w:tcPr>
          <w:p w14:paraId="3600206D" w14:textId="77777777" w:rsidR="00EA35AC" w:rsidRPr="00D13ACA" w:rsidRDefault="00EA35AC"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3ACA">
              <w:rPr>
                <w:sz w:val="20"/>
                <w:szCs w:val="20"/>
                <w:lang w:val="en-US"/>
              </w:rPr>
              <w:t>760-779</w:t>
            </w:r>
          </w:p>
        </w:tc>
        <w:tc>
          <w:tcPr>
            <w:tcW w:w="2970" w:type="dxa"/>
          </w:tcPr>
          <w:p w14:paraId="3DE8D1FC" w14:textId="77777777" w:rsidR="00EA35AC" w:rsidRPr="00D13ACA" w:rsidRDefault="00EA35AC"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3ACA">
              <w:rPr>
                <w:sz w:val="20"/>
                <w:szCs w:val="20"/>
                <w:lang w:val="en-US"/>
              </w:rPr>
              <w:t>P00-P96</w:t>
            </w:r>
          </w:p>
        </w:tc>
      </w:tr>
      <w:tr w:rsidR="00EA35AC" w:rsidRPr="009430E5" w14:paraId="31F4E241" w14:textId="77777777" w:rsidTr="00000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CAF2C17" w14:textId="77777777" w:rsidR="00EA35AC" w:rsidRPr="00D13ACA" w:rsidRDefault="00EA35AC" w:rsidP="00000B7F">
            <w:pPr>
              <w:spacing w:line="360" w:lineRule="auto"/>
              <w:jc w:val="both"/>
              <w:rPr>
                <w:sz w:val="20"/>
                <w:szCs w:val="20"/>
                <w:lang w:val="en-US"/>
              </w:rPr>
            </w:pPr>
            <w:r w:rsidRPr="00D13ACA">
              <w:rPr>
                <w:sz w:val="20"/>
                <w:szCs w:val="20"/>
                <w:lang w:val="en-US"/>
              </w:rPr>
              <w:t>Congenital malformations, deformations and chromosomal abnormalities</w:t>
            </w:r>
          </w:p>
        </w:tc>
        <w:tc>
          <w:tcPr>
            <w:tcW w:w="3402" w:type="dxa"/>
          </w:tcPr>
          <w:p w14:paraId="173B6FAF" w14:textId="77777777" w:rsidR="00EA35AC" w:rsidRPr="00D13ACA" w:rsidRDefault="00EA35AC"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D13ACA">
              <w:rPr>
                <w:sz w:val="20"/>
                <w:szCs w:val="20"/>
                <w:lang w:val="en-US"/>
              </w:rPr>
              <w:t>740-759</w:t>
            </w:r>
          </w:p>
        </w:tc>
        <w:tc>
          <w:tcPr>
            <w:tcW w:w="2970" w:type="dxa"/>
          </w:tcPr>
          <w:p w14:paraId="5E3853D4" w14:textId="77777777" w:rsidR="00EA35AC" w:rsidRPr="00D13ACA" w:rsidRDefault="00EA35AC"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D13ACA">
              <w:rPr>
                <w:sz w:val="20"/>
                <w:szCs w:val="20"/>
                <w:lang w:val="en-US"/>
              </w:rPr>
              <w:t>Q00-Q99</w:t>
            </w:r>
          </w:p>
        </w:tc>
      </w:tr>
      <w:tr w:rsidR="00D13ACA" w:rsidRPr="00D13ACA" w14:paraId="65C3CC6A" w14:textId="77777777" w:rsidTr="00000B7F">
        <w:tc>
          <w:tcPr>
            <w:cnfStyle w:val="001000000000" w:firstRow="0" w:lastRow="0" w:firstColumn="1" w:lastColumn="0" w:oddVBand="0" w:evenVBand="0" w:oddHBand="0" w:evenHBand="0" w:firstRowFirstColumn="0" w:firstRowLastColumn="0" w:lastRowFirstColumn="0" w:lastRowLastColumn="0"/>
            <w:tcW w:w="3256" w:type="dxa"/>
          </w:tcPr>
          <w:p w14:paraId="1A98A338" w14:textId="77777777" w:rsidR="00D13ACA" w:rsidRPr="00D13ACA" w:rsidRDefault="00D13ACA" w:rsidP="00000B7F">
            <w:pPr>
              <w:spacing w:line="360" w:lineRule="auto"/>
              <w:jc w:val="both"/>
              <w:rPr>
                <w:sz w:val="20"/>
                <w:szCs w:val="20"/>
                <w:lang w:val="en-US"/>
              </w:rPr>
            </w:pPr>
            <w:r w:rsidRPr="00D13ACA">
              <w:rPr>
                <w:sz w:val="20"/>
                <w:szCs w:val="20"/>
                <w:lang w:val="en-US"/>
              </w:rPr>
              <w:t>Symptoms, signs and abnormal clinical and laboratory findings, not elsewhere classified</w:t>
            </w:r>
          </w:p>
        </w:tc>
        <w:tc>
          <w:tcPr>
            <w:tcW w:w="3402" w:type="dxa"/>
          </w:tcPr>
          <w:p w14:paraId="6CBA5962" w14:textId="77777777" w:rsidR="00D13ACA" w:rsidRPr="00D13ACA" w:rsidRDefault="00D13ACA"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3ACA">
              <w:rPr>
                <w:sz w:val="20"/>
                <w:szCs w:val="20"/>
                <w:lang w:val="en-US"/>
              </w:rPr>
              <w:t>780, 782.3, 782.5-791, 793-796</w:t>
            </w:r>
          </w:p>
        </w:tc>
        <w:tc>
          <w:tcPr>
            <w:tcW w:w="2970" w:type="dxa"/>
          </w:tcPr>
          <w:p w14:paraId="4403EDBA" w14:textId="77777777" w:rsidR="00D13ACA" w:rsidRPr="00D13ACA" w:rsidRDefault="00D13ACA"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3ACA">
              <w:rPr>
                <w:sz w:val="20"/>
                <w:szCs w:val="20"/>
                <w:lang w:val="en-US"/>
              </w:rPr>
              <w:t>R00-R99</w:t>
            </w:r>
          </w:p>
        </w:tc>
      </w:tr>
      <w:tr w:rsidR="00D13ACA" w:rsidRPr="00D13ACA" w14:paraId="463807E7" w14:textId="77777777" w:rsidTr="00000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385E22A" w14:textId="77777777" w:rsidR="00D13ACA" w:rsidRPr="00D13ACA" w:rsidRDefault="00D13ACA" w:rsidP="00000B7F">
            <w:pPr>
              <w:spacing w:line="360" w:lineRule="auto"/>
              <w:jc w:val="both"/>
              <w:rPr>
                <w:sz w:val="20"/>
                <w:szCs w:val="20"/>
                <w:lang w:val="en-US"/>
              </w:rPr>
            </w:pPr>
            <w:r w:rsidRPr="00D13ACA">
              <w:rPr>
                <w:sz w:val="20"/>
                <w:szCs w:val="20"/>
                <w:lang w:val="en-US"/>
              </w:rPr>
              <w:lastRenderedPageBreak/>
              <w:t>Injury, poisoning and certain other consequences of external causes</w:t>
            </w:r>
          </w:p>
        </w:tc>
        <w:tc>
          <w:tcPr>
            <w:tcW w:w="3402" w:type="dxa"/>
          </w:tcPr>
          <w:p w14:paraId="62422F0F" w14:textId="77777777" w:rsidR="00D13ACA" w:rsidRPr="00D13ACA" w:rsidRDefault="00D13ACA"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D13ACA">
              <w:rPr>
                <w:sz w:val="20"/>
                <w:szCs w:val="20"/>
                <w:lang w:val="en-US"/>
              </w:rPr>
              <w:t>800-999</w:t>
            </w:r>
          </w:p>
        </w:tc>
        <w:tc>
          <w:tcPr>
            <w:tcW w:w="2970" w:type="dxa"/>
          </w:tcPr>
          <w:p w14:paraId="20144F6F" w14:textId="77777777" w:rsidR="00D13ACA" w:rsidRPr="00D13ACA" w:rsidRDefault="00D13ACA"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D13ACA">
              <w:rPr>
                <w:sz w:val="20"/>
                <w:szCs w:val="20"/>
                <w:lang w:val="en-US"/>
              </w:rPr>
              <w:t>S00-T99</w:t>
            </w:r>
          </w:p>
        </w:tc>
      </w:tr>
      <w:tr w:rsidR="00D13ACA" w:rsidRPr="00D13ACA" w14:paraId="6836C080" w14:textId="77777777" w:rsidTr="00000B7F">
        <w:tc>
          <w:tcPr>
            <w:cnfStyle w:val="001000000000" w:firstRow="0" w:lastRow="0" w:firstColumn="1" w:lastColumn="0" w:oddVBand="0" w:evenVBand="0" w:oddHBand="0" w:evenHBand="0" w:firstRowFirstColumn="0" w:firstRowLastColumn="0" w:lastRowFirstColumn="0" w:lastRowLastColumn="0"/>
            <w:tcW w:w="3256" w:type="dxa"/>
          </w:tcPr>
          <w:p w14:paraId="6E93F3B2" w14:textId="77777777" w:rsidR="00D13ACA" w:rsidRPr="00D13ACA" w:rsidRDefault="00D13ACA" w:rsidP="00000B7F">
            <w:pPr>
              <w:spacing w:line="360" w:lineRule="auto"/>
              <w:jc w:val="both"/>
              <w:rPr>
                <w:sz w:val="20"/>
                <w:szCs w:val="20"/>
                <w:lang w:val="en-US"/>
              </w:rPr>
            </w:pPr>
            <w:r w:rsidRPr="00D13ACA">
              <w:rPr>
                <w:sz w:val="20"/>
                <w:szCs w:val="20"/>
                <w:lang w:val="en-US"/>
              </w:rPr>
              <w:t>External causes of morbidity and mortality</w:t>
            </w:r>
          </w:p>
        </w:tc>
        <w:tc>
          <w:tcPr>
            <w:tcW w:w="3402" w:type="dxa"/>
          </w:tcPr>
          <w:p w14:paraId="3CF8D825" w14:textId="77777777" w:rsidR="00D13ACA" w:rsidRPr="00D13ACA" w:rsidRDefault="00D13ACA"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970" w:type="dxa"/>
          </w:tcPr>
          <w:p w14:paraId="3188CD3F" w14:textId="77777777" w:rsidR="00D13ACA" w:rsidRPr="00D13ACA" w:rsidRDefault="00D13ACA"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13ACA">
              <w:rPr>
                <w:sz w:val="20"/>
                <w:szCs w:val="20"/>
                <w:lang w:val="en-US"/>
              </w:rPr>
              <w:t>V01-Y98</w:t>
            </w:r>
          </w:p>
        </w:tc>
      </w:tr>
      <w:tr w:rsidR="00D13ACA" w:rsidRPr="00D13ACA" w14:paraId="6505C2AE" w14:textId="77777777" w:rsidTr="00000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783EDCE" w14:textId="77777777" w:rsidR="00D13ACA" w:rsidRPr="00D13ACA" w:rsidRDefault="00D13ACA" w:rsidP="00000B7F">
            <w:pPr>
              <w:spacing w:line="360" w:lineRule="auto"/>
              <w:jc w:val="both"/>
              <w:rPr>
                <w:sz w:val="20"/>
                <w:szCs w:val="20"/>
                <w:lang w:val="en-US"/>
              </w:rPr>
            </w:pPr>
            <w:r w:rsidRPr="00D13ACA">
              <w:rPr>
                <w:sz w:val="20"/>
                <w:szCs w:val="20"/>
                <w:lang w:val="en-US"/>
              </w:rPr>
              <w:t>Factors influencing health status and contact with health services</w:t>
            </w:r>
          </w:p>
        </w:tc>
        <w:tc>
          <w:tcPr>
            <w:tcW w:w="3402" w:type="dxa"/>
          </w:tcPr>
          <w:p w14:paraId="3B46C29D" w14:textId="77777777" w:rsidR="00D13ACA" w:rsidRPr="00D13ACA" w:rsidRDefault="00D13ACA"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970" w:type="dxa"/>
          </w:tcPr>
          <w:p w14:paraId="24A4E584" w14:textId="77777777" w:rsidR="00D13ACA" w:rsidRPr="00D13ACA" w:rsidRDefault="00D13ACA"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D13ACA">
              <w:rPr>
                <w:sz w:val="20"/>
                <w:szCs w:val="20"/>
                <w:lang w:val="en-US"/>
              </w:rPr>
              <w:t>Z00-Z99</w:t>
            </w:r>
          </w:p>
        </w:tc>
      </w:tr>
      <w:tr w:rsidR="00EA35AC" w:rsidRPr="009430E5" w14:paraId="2DA4FE0E" w14:textId="77777777" w:rsidTr="00000B7F">
        <w:tc>
          <w:tcPr>
            <w:cnfStyle w:val="001000000000" w:firstRow="0" w:lastRow="0" w:firstColumn="1" w:lastColumn="0" w:oddVBand="0" w:evenVBand="0" w:oddHBand="0" w:evenHBand="0" w:firstRowFirstColumn="0" w:firstRowLastColumn="0" w:lastRowFirstColumn="0" w:lastRowLastColumn="0"/>
            <w:tcW w:w="3256" w:type="dxa"/>
          </w:tcPr>
          <w:p w14:paraId="290A833A" w14:textId="77777777" w:rsidR="00EA35AC" w:rsidRDefault="00EA35AC" w:rsidP="00000B7F">
            <w:pPr>
              <w:spacing w:line="360" w:lineRule="auto"/>
              <w:jc w:val="both"/>
              <w:rPr>
                <w:lang w:val="en-US"/>
              </w:rPr>
            </w:pPr>
          </w:p>
          <w:p w14:paraId="1358FEC5" w14:textId="77777777" w:rsidR="00EA35AC" w:rsidRPr="00153864" w:rsidRDefault="00EA35AC" w:rsidP="00000B7F">
            <w:pPr>
              <w:spacing w:line="360" w:lineRule="auto"/>
              <w:jc w:val="both"/>
              <w:rPr>
                <w:lang w:val="en-US"/>
              </w:rPr>
            </w:pPr>
            <w:r>
              <w:rPr>
                <w:lang w:val="en-US"/>
              </w:rPr>
              <w:t>Specific disease entities</w:t>
            </w:r>
          </w:p>
        </w:tc>
        <w:tc>
          <w:tcPr>
            <w:tcW w:w="3402" w:type="dxa"/>
          </w:tcPr>
          <w:p w14:paraId="583295F8" w14:textId="77777777" w:rsidR="00EA35AC" w:rsidRPr="003E1797" w:rsidRDefault="00EA35AC"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970" w:type="dxa"/>
          </w:tcPr>
          <w:p w14:paraId="27B03319" w14:textId="77777777" w:rsidR="00EA35AC" w:rsidRPr="003E1797" w:rsidRDefault="00EA35AC"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EA35AC" w:rsidRPr="009430E5" w14:paraId="337F0F96" w14:textId="77777777" w:rsidTr="00000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DB32CDD" w14:textId="77777777" w:rsidR="00EA35AC" w:rsidRPr="003E1797" w:rsidRDefault="00EA35AC" w:rsidP="00000B7F">
            <w:pPr>
              <w:spacing w:line="360" w:lineRule="auto"/>
              <w:jc w:val="both"/>
              <w:rPr>
                <w:sz w:val="20"/>
                <w:szCs w:val="20"/>
                <w:lang w:val="en-US"/>
              </w:rPr>
            </w:pPr>
            <w:r w:rsidRPr="003E1797">
              <w:rPr>
                <w:sz w:val="20"/>
                <w:szCs w:val="20"/>
                <w:lang w:val="en-US"/>
              </w:rPr>
              <w:t>Epilepsy</w:t>
            </w:r>
          </w:p>
        </w:tc>
        <w:tc>
          <w:tcPr>
            <w:tcW w:w="3402" w:type="dxa"/>
          </w:tcPr>
          <w:p w14:paraId="4DCCE297" w14:textId="77777777" w:rsidR="00EA35AC" w:rsidRPr="003E1797" w:rsidRDefault="00EA35AC"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3E1797">
              <w:rPr>
                <w:sz w:val="20"/>
                <w:szCs w:val="20"/>
                <w:lang w:val="en-US"/>
              </w:rPr>
              <w:t>345-345.99</w:t>
            </w:r>
          </w:p>
        </w:tc>
        <w:tc>
          <w:tcPr>
            <w:tcW w:w="2970" w:type="dxa"/>
          </w:tcPr>
          <w:p w14:paraId="481D9F8F" w14:textId="77777777" w:rsidR="00EA35AC" w:rsidRPr="003E1797" w:rsidRDefault="00EA35AC"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3E1797">
              <w:rPr>
                <w:sz w:val="20"/>
                <w:szCs w:val="20"/>
                <w:lang w:val="en-US"/>
              </w:rPr>
              <w:t>G40-41</w:t>
            </w:r>
          </w:p>
        </w:tc>
      </w:tr>
      <w:tr w:rsidR="00EA35AC" w:rsidRPr="009430E5" w14:paraId="1ED93B3B" w14:textId="77777777" w:rsidTr="00000B7F">
        <w:tc>
          <w:tcPr>
            <w:cnfStyle w:val="001000000000" w:firstRow="0" w:lastRow="0" w:firstColumn="1" w:lastColumn="0" w:oddVBand="0" w:evenVBand="0" w:oddHBand="0" w:evenHBand="0" w:firstRowFirstColumn="0" w:firstRowLastColumn="0" w:lastRowFirstColumn="0" w:lastRowLastColumn="0"/>
            <w:tcW w:w="3256" w:type="dxa"/>
          </w:tcPr>
          <w:p w14:paraId="2C85B0C8" w14:textId="77777777" w:rsidR="00EA35AC" w:rsidRPr="003E1797" w:rsidRDefault="00EA35AC" w:rsidP="00000B7F">
            <w:pPr>
              <w:spacing w:line="360" w:lineRule="auto"/>
              <w:jc w:val="both"/>
              <w:rPr>
                <w:sz w:val="20"/>
                <w:szCs w:val="20"/>
                <w:lang w:val="en-US"/>
              </w:rPr>
            </w:pPr>
            <w:r w:rsidRPr="003E1797">
              <w:rPr>
                <w:sz w:val="20"/>
                <w:szCs w:val="20"/>
                <w:lang w:val="en-US"/>
              </w:rPr>
              <w:t>Brain injury</w:t>
            </w:r>
          </w:p>
        </w:tc>
        <w:tc>
          <w:tcPr>
            <w:tcW w:w="3402" w:type="dxa"/>
          </w:tcPr>
          <w:p w14:paraId="1FDBA07B" w14:textId="77777777" w:rsidR="00EA35AC" w:rsidRPr="003E1797" w:rsidRDefault="00EA35AC"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3E1797">
              <w:rPr>
                <w:sz w:val="20"/>
                <w:szCs w:val="20"/>
                <w:lang w:val="en-US"/>
              </w:rPr>
              <w:t>850.99, 851.29-854.99, 800.99-801.09, 803.88</w:t>
            </w:r>
          </w:p>
        </w:tc>
        <w:tc>
          <w:tcPr>
            <w:tcW w:w="2970" w:type="dxa"/>
          </w:tcPr>
          <w:p w14:paraId="47A84E86" w14:textId="77777777" w:rsidR="00EA35AC" w:rsidRPr="003E1797" w:rsidRDefault="00EA35AC"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S06, S01</w:t>
            </w:r>
            <w:r w:rsidRPr="003E1797">
              <w:rPr>
                <w:sz w:val="20"/>
                <w:szCs w:val="20"/>
                <w:lang w:val="en-US"/>
              </w:rPr>
              <w:t>.1-S01.9, S02-S02.1, S02.7, S02.9</w:t>
            </w:r>
          </w:p>
        </w:tc>
      </w:tr>
      <w:tr w:rsidR="00EA35AC" w:rsidRPr="00EE5FE2" w14:paraId="4F7E7086" w14:textId="77777777" w:rsidTr="00000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EC20407" w14:textId="77777777" w:rsidR="00EA35AC" w:rsidRPr="003E1797" w:rsidRDefault="00EA35AC" w:rsidP="004D22DA">
            <w:pPr>
              <w:spacing w:line="360" w:lineRule="auto"/>
              <w:jc w:val="both"/>
              <w:rPr>
                <w:sz w:val="20"/>
                <w:szCs w:val="20"/>
                <w:lang w:val="en-US"/>
              </w:rPr>
            </w:pPr>
            <w:r>
              <w:rPr>
                <w:sz w:val="20"/>
                <w:szCs w:val="20"/>
                <w:lang w:val="en-US"/>
              </w:rPr>
              <w:t>A</w:t>
            </w:r>
            <w:r w:rsidRPr="003E1797">
              <w:rPr>
                <w:sz w:val="20"/>
                <w:szCs w:val="20"/>
                <w:lang w:val="en-US"/>
              </w:rPr>
              <w:t>utoimmune dis</w:t>
            </w:r>
            <w:r w:rsidR="004D22DA">
              <w:rPr>
                <w:sz w:val="20"/>
                <w:szCs w:val="20"/>
                <w:lang w:val="en-US"/>
              </w:rPr>
              <w:t>eases</w:t>
            </w:r>
          </w:p>
        </w:tc>
        <w:tc>
          <w:tcPr>
            <w:tcW w:w="3402" w:type="dxa"/>
          </w:tcPr>
          <w:p w14:paraId="44213FDC" w14:textId="77777777" w:rsidR="00EA35AC" w:rsidRPr="003E1797" w:rsidRDefault="00EA35AC"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3E1797">
              <w:rPr>
                <w:sz w:val="20"/>
                <w:szCs w:val="20"/>
                <w:lang w:val="en-US"/>
              </w:rPr>
              <w:t>242.00, 245.03, 249, 255.1, 269.00, 281.0, 283.90-91, 340, 354, 364, 446.29, 446.30-31, 446.39, 446.49, 563.01, 563.19, 571.93, 571.90, 694, 694.05, 696.09-10, 696.19, 704.00, 709.01, 712.19, 712.39, 712.59, 712.09, 716, 733.09, 734.0, 734.19, 734.90, 712.49</w:t>
            </w:r>
          </w:p>
        </w:tc>
        <w:tc>
          <w:tcPr>
            <w:tcW w:w="2970" w:type="dxa"/>
          </w:tcPr>
          <w:p w14:paraId="4A9BA10E" w14:textId="77777777" w:rsidR="00EA35AC" w:rsidRPr="003E1797" w:rsidRDefault="00EA35AC"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3E1797">
              <w:rPr>
                <w:sz w:val="20"/>
                <w:szCs w:val="20"/>
                <w:lang w:val="en-US"/>
              </w:rPr>
              <w:t>D51.0, D59.1, D69.3, E05.0, E06.3, E10, E27.1, G35, G61.0, G70.0, H20, K50, K51, K73, K74.3, K90.0, L10, L12, L40, L63, L80.9, M05-M06, M08, M31.3, M32.1, M32.9, M33, M31.5-6, M34, M35.0, M35.3, M45.9</w:t>
            </w:r>
          </w:p>
        </w:tc>
      </w:tr>
      <w:tr w:rsidR="00EA35AC" w:rsidRPr="009430E5" w14:paraId="46BCC523" w14:textId="77777777" w:rsidTr="00000B7F">
        <w:tc>
          <w:tcPr>
            <w:cnfStyle w:val="001000000000" w:firstRow="0" w:lastRow="0" w:firstColumn="1" w:lastColumn="0" w:oddVBand="0" w:evenVBand="0" w:oddHBand="0" w:evenHBand="0" w:firstRowFirstColumn="0" w:firstRowLastColumn="0" w:lastRowFirstColumn="0" w:lastRowLastColumn="0"/>
            <w:tcW w:w="3256" w:type="dxa"/>
          </w:tcPr>
          <w:p w14:paraId="40AFA7BC" w14:textId="77777777" w:rsidR="00EA35AC" w:rsidRPr="003E1797" w:rsidRDefault="00EA35AC" w:rsidP="00DF68DE">
            <w:pPr>
              <w:spacing w:line="360" w:lineRule="auto"/>
              <w:jc w:val="both"/>
              <w:rPr>
                <w:sz w:val="20"/>
                <w:szCs w:val="20"/>
                <w:lang w:val="en-US"/>
              </w:rPr>
            </w:pPr>
            <w:r>
              <w:rPr>
                <w:sz w:val="20"/>
                <w:szCs w:val="20"/>
                <w:lang w:val="en-US"/>
              </w:rPr>
              <w:t xml:space="preserve">Atopic disorders </w:t>
            </w:r>
          </w:p>
        </w:tc>
        <w:tc>
          <w:tcPr>
            <w:tcW w:w="3402" w:type="dxa"/>
          </w:tcPr>
          <w:p w14:paraId="2DC2B615" w14:textId="77777777" w:rsidR="00EA35AC" w:rsidRPr="003E1797" w:rsidRDefault="00EA35AC"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493, 691, 708, 507</w:t>
            </w:r>
          </w:p>
        </w:tc>
        <w:tc>
          <w:tcPr>
            <w:tcW w:w="2970" w:type="dxa"/>
          </w:tcPr>
          <w:p w14:paraId="21D014DA" w14:textId="77777777" w:rsidR="00EA35AC" w:rsidRPr="003E1797" w:rsidRDefault="00EA35AC" w:rsidP="00000B7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J30, J45, J469, L20, L50</w:t>
            </w:r>
          </w:p>
        </w:tc>
      </w:tr>
      <w:tr w:rsidR="00EA35AC" w:rsidRPr="003E206F" w14:paraId="7A4B4EDB" w14:textId="77777777" w:rsidTr="00000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2E3B6AA" w14:textId="77777777" w:rsidR="00EA35AC" w:rsidRDefault="00EA35AC" w:rsidP="00DF68DE">
            <w:pPr>
              <w:spacing w:line="360" w:lineRule="auto"/>
              <w:jc w:val="both"/>
              <w:rPr>
                <w:sz w:val="20"/>
                <w:szCs w:val="20"/>
                <w:lang w:val="en-US"/>
              </w:rPr>
            </w:pPr>
            <w:r>
              <w:rPr>
                <w:sz w:val="20"/>
                <w:szCs w:val="20"/>
                <w:lang w:val="en-US"/>
              </w:rPr>
              <w:t xml:space="preserve">Asthma </w:t>
            </w:r>
          </w:p>
        </w:tc>
        <w:tc>
          <w:tcPr>
            <w:tcW w:w="3402" w:type="dxa"/>
          </w:tcPr>
          <w:p w14:paraId="04E387A1" w14:textId="77777777" w:rsidR="00EA35AC" w:rsidRDefault="00EA35AC"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493</w:t>
            </w:r>
          </w:p>
        </w:tc>
        <w:tc>
          <w:tcPr>
            <w:tcW w:w="2970" w:type="dxa"/>
          </w:tcPr>
          <w:p w14:paraId="27D6E63C" w14:textId="77777777" w:rsidR="00EA35AC" w:rsidRDefault="00EA35AC" w:rsidP="00000B7F">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J45, J469</w:t>
            </w:r>
          </w:p>
        </w:tc>
      </w:tr>
    </w:tbl>
    <w:p w14:paraId="361D1734" w14:textId="77777777" w:rsidR="009C4B8A" w:rsidRDefault="009C4B8A"/>
    <w:p w14:paraId="150FF23F" w14:textId="77777777" w:rsidR="000D201D" w:rsidRDefault="000D201D">
      <w:pPr>
        <w:sectPr w:rsidR="000D201D">
          <w:pgSz w:w="11906" w:h="16838"/>
          <w:pgMar w:top="1701" w:right="1134" w:bottom="1701" w:left="1134" w:header="708" w:footer="708" w:gutter="0"/>
          <w:cols w:space="708"/>
          <w:docGrid w:linePitch="360"/>
        </w:sectPr>
      </w:pPr>
    </w:p>
    <w:p w14:paraId="1FCD11E3" w14:textId="77777777" w:rsidR="000D201D" w:rsidRPr="0006689E" w:rsidRDefault="000D201D" w:rsidP="000D201D">
      <w:pPr>
        <w:rPr>
          <w:b/>
          <w:lang w:val="en-US"/>
        </w:rPr>
      </w:pPr>
      <w:r>
        <w:rPr>
          <w:b/>
          <w:lang w:val="en-US"/>
        </w:rPr>
        <w:lastRenderedPageBreak/>
        <w:t>Supplementary Table 2</w:t>
      </w:r>
      <w:r w:rsidRPr="00281F92">
        <w:rPr>
          <w:b/>
          <w:lang w:val="en-US"/>
        </w:rPr>
        <w:t>:</w:t>
      </w:r>
      <w:r w:rsidRPr="0006689E">
        <w:rPr>
          <w:b/>
          <w:lang w:val="en-US"/>
        </w:rPr>
        <w:t xml:space="preserve"> </w:t>
      </w:r>
      <w:r w:rsidRPr="00EC7BAA">
        <w:rPr>
          <w:b/>
          <w:lang w:val="en-US"/>
        </w:rPr>
        <w:t>ATC-codes used to identify prescriptions for somatic medications during the year prior to first-time schizophrenia diagnosis.</w:t>
      </w:r>
      <w:r>
        <w:rPr>
          <w:b/>
          <w:lang w:val="en-US"/>
        </w:rPr>
        <w:t xml:space="preserve"> </w:t>
      </w:r>
    </w:p>
    <w:tbl>
      <w:tblPr>
        <w:tblStyle w:val="LightShading"/>
        <w:tblW w:w="0" w:type="auto"/>
        <w:tblLook w:val="04A0" w:firstRow="1" w:lastRow="0" w:firstColumn="1" w:lastColumn="0" w:noHBand="0" w:noVBand="1"/>
      </w:tblPr>
      <w:tblGrid>
        <w:gridCol w:w="2093"/>
        <w:gridCol w:w="6662"/>
      </w:tblGrid>
      <w:tr w:rsidR="000D201D" w14:paraId="7610E4F2" w14:textId="77777777" w:rsidTr="00D91F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933F162" w14:textId="77777777" w:rsidR="000D201D" w:rsidRDefault="000D201D" w:rsidP="00D91FD9">
            <w:pPr>
              <w:rPr>
                <w:lang w:val="en-US"/>
              </w:rPr>
            </w:pPr>
            <w:r>
              <w:rPr>
                <w:lang w:val="en-US"/>
              </w:rPr>
              <w:t>ATC-code</w:t>
            </w:r>
          </w:p>
        </w:tc>
        <w:tc>
          <w:tcPr>
            <w:tcW w:w="6662" w:type="dxa"/>
          </w:tcPr>
          <w:p w14:paraId="78BFEDC0" w14:textId="77777777" w:rsidR="000D201D" w:rsidRDefault="000D201D" w:rsidP="00D91FD9">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Medication group</w:t>
            </w:r>
          </w:p>
        </w:tc>
      </w:tr>
      <w:tr w:rsidR="000D201D" w14:paraId="7BEE9059" w14:textId="77777777" w:rsidTr="00D91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12BFE0C" w14:textId="77777777" w:rsidR="000D201D" w:rsidRPr="0006689E" w:rsidRDefault="000D201D" w:rsidP="00D91FD9">
            <w:pPr>
              <w:rPr>
                <w:b w:val="0"/>
                <w:lang w:val="en-US"/>
              </w:rPr>
            </w:pPr>
            <w:r>
              <w:rPr>
                <w:b w:val="0"/>
                <w:lang w:val="en-US"/>
              </w:rPr>
              <w:t>A</w:t>
            </w:r>
          </w:p>
        </w:tc>
        <w:tc>
          <w:tcPr>
            <w:tcW w:w="6662" w:type="dxa"/>
          </w:tcPr>
          <w:p w14:paraId="0FBDB5A7" w14:textId="77777777" w:rsidR="000D201D" w:rsidRPr="00E74ABE" w:rsidRDefault="000D201D" w:rsidP="00D91FD9">
            <w:pPr>
              <w:jc w:val="center"/>
              <w:cnfStyle w:val="000000100000" w:firstRow="0" w:lastRow="0" w:firstColumn="0" w:lastColumn="0" w:oddVBand="0" w:evenVBand="0" w:oddHBand="1" w:evenHBand="0" w:firstRowFirstColumn="0" w:firstRowLastColumn="0" w:lastRowFirstColumn="0" w:lastRowLastColumn="0"/>
              <w:rPr>
                <w:b/>
                <w:lang w:val="en-US"/>
              </w:rPr>
            </w:pPr>
            <w:r w:rsidRPr="00E74ABE">
              <w:rPr>
                <w:b/>
                <w:lang w:val="en-US"/>
              </w:rPr>
              <w:t>Alimentary tract and metabolism</w:t>
            </w:r>
          </w:p>
        </w:tc>
      </w:tr>
      <w:tr w:rsidR="000D201D" w:rsidRPr="00EE5FE2" w14:paraId="122302BB" w14:textId="77777777" w:rsidTr="00D91FD9">
        <w:tc>
          <w:tcPr>
            <w:cnfStyle w:val="001000000000" w:firstRow="0" w:lastRow="0" w:firstColumn="1" w:lastColumn="0" w:oddVBand="0" w:evenVBand="0" w:oddHBand="0" w:evenHBand="0" w:firstRowFirstColumn="0" w:firstRowLastColumn="0" w:lastRowFirstColumn="0" w:lastRowLastColumn="0"/>
            <w:tcW w:w="2093" w:type="dxa"/>
          </w:tcPr>
          <w:p w14:paraId="0A249305" w14:textId="77777777" w:rsidR="000D201D" w:rsidRPr="0006689E" w:rsidRDefault="000D201D" w:rsidP="00D91FD9">
            <w:pPr>
              <w:rPr>
                <w:b w:val="0"/>
                <w:lang w:val="en-US"/>
              </w:rPr>
            </w:pPr>
            <w:r>
              <w:rPr>
                <w:b w:val="0"/>
                <w:lang w:val="en-US"/>
              </w:rPr>
              <w:t>B</w:t>
            </w:r>
          </w:p>
        </w:tc>
        <w:tc>
          <w:tcPr>
            <w:tcW w:w="6662" w:type="dxa"/>
          </w:tcPr>
          <w:p w14:paraId="3828D93E" w14:textId="77777777" w:rsidR="000D201D" w:rsidRPr="0006689E" w:rsidRDefault="000D201D" w:rsidP="00D91FD9">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Blood and blood forming organs</w:t>
            </w:r>
          </w:p>
        </w:tc>
      </w:tr>
      <w:tr w:rsidR="000D201D" w:rsidRPr="008B6983" w14:paraId="0396EBC4" w14:textId="77777777" w:rsidTr="00D91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42C864A" w14:textId="77777777" w:rsidR="000D201D" w:rsidRPr="0006689E" w:rsidRDefault="000D201D" w:rsidP="00D91FD9">
            <w:pPr>
              <w:rPr>
                <w:b w:val="0"/>
                <w:lang w:val="en-US"/>
              </w:rPr>
            </w:pPr>
            <w:r>
              <w:rPr>
                <w:b w:val="0"/>
                <w:lang w:val="en-US"/>
              </w:rPr>
              <w:t>C</w:t>
            </w:r>
          </w:p>
        </w:tc>
        <w:tc>
          <w:tcPr>
            <w:tcW w:w="6662" w:type="dxa"/>
          </w:tcPr>
          <w:p w14:paraId="1B28B43B" w14:textId="77777777" w:rsidR="000D201D" w:rsidRPr="0006689E" w:rsidRDefault="000D201D" w:rsidP="00D91FD9">
            <w:pPr>
              <w:jc w:val="center"/>
              <w:cnfStyle w:val="000000100000" w:firstRow="0" w:lastRow="0" w:firstColumn="0" w:lastColumn="0" w:oddVBand="0" w:evenVBand="0" w:oddHBand="1" w:evenHBand="0" w:firstRowFirstColumn="0" w:firstRowLastColumn="0" w:lastRowFirstColumn="0" w:lastRowLastColumn="0"/>
              <w:rPr>
                <w:b/>
                <w:lang w:val="en-US"/>
              </w:rPr>
            </w:pPr>
            <w:r>
              <w:rPr>
                <w:b/>
                <w:lang w:val="en-US"/>
              </w:rPr>
              <w:t>Cardiovascular system</w:t>
            </w:r>
          </w:p>
        </w:tc>
      </w:tr>
      <w:tr w:rsidR="000D201D" w:rsidRPr="008B6983" w14:paraId="1E4BC5A3" w14:textId="77777777" w:rsidTr="00D91FD9">
        <w:tc>
          <w:tcPr>
            <w:cnfStyle w:val="001000000000" w:firstRow="0" w:lastRow="0" w:firstColumn="1" w:lastColumn="0" w:oddVBand="0" w:evenVBand="0" w:oddHBand="0" w:evenHBand="0" w:firstRowFirstColumn="0" w:firstRowLastColumn="0" w:lastRowFirstColumn="0" w:lastRowLastColumn="0"/>
            <w:tcW w:w="2093" w:type="dxa"/>
          </w:tcPr>
          <w:p w14:paraId="4FDF77BF" w14:textId="77777777" w:rsidR="000D201D" w:rsidRPr="0006689E" w:rsidRDefault="000D201D" w:rsidP="00D91FD9">
            <w:pPr>
              <w:rPr>
                <w:b w:val="0"/>
                <w:lang w:val="en-US"/>
              </w:rPr>
            </w:pPr>
            <w:r>
              <w:rPr>
                <w:b w:val="0"/>
                <w:lang w:val="en-US"/>
              </w:rPr>
              <w:t>D</w:t>
            </w:r>
          </w:p>
        </w:tc>
        <w:tc>
          <w:tcPr>
            <w:tcW w:w="6662" w:type="dxa"/>
          </w:tcPr>
          <w:p w14:paraId="4B01C768" w14:textId="77777777" w:rsidR="000D201D" w:rsidRPr="0006689E" w:rsidRDefault="000D201D" w:rsidP="00D91FD9">
            <w:pPr>
              <w:jc w:val="center"/>
              <w:cnfStyle w:val="000000000000" w:firstRow="0" w:lastRow="0" w:firstColumn="0" w:lastColumn="0" w:oddVBand="0" w:evenVBand="0" w:oddHBand="0" w:evenHBand="0" w:firstRowFirstColumn="0" w:firstRowLastColumn="0" w:lastRowFirstColumn="0" w:lastRowLastColumn="0"/>
              <w:rPr>
                <w:b/>
                <w:lang w:val="en-US"/>
              </w:rPr>
            </w:pPr>
            <w:proofErr w:type="spellStart"/>
            <w:r>
              <w:rPr>
                <w:b/>
                <w:lang w:val="en-US"/>
              </w:rPr>
              <w:t>Dermatologicals</w:t>
            </w:r>
            <w:proofErr w:type="spellEnd"/>
          </w:p>
        </w:tc>
      </w:tr>
      <w:tr w:rsidR="000D201D" w:rsidRPr="00EE5FE2" w14:paraId="41532683" w14:textId="77777777" w:rsidTr="00D91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BE9C46C" w14:textId="77777777" w:rsidR="000D201D" w:rsidRPr="0006689E" w:rsidRDefault="000D201D" w:rsidP="00D91FD9">
            <w:pPr>
              <w:rPr>
                <w:b w:val="0"/>
                <w:lang w:val="en-US"/>
              </w:rPr>
            </w:pPr>
            <w:r>
              <w:rPr>
                <w:b w:val="0"/>
                <w:lang w:val="en-US"/>
              </w:rPr>
              <w:t>G</w:t>
            </w:r>
          </w:p>
        </w:tc>
        <w:tc>
          <w:tcPr>
            <w:tcW w:w="6662" w:type="dxa"/>
          </w:tcPr>
          <w:p w14:paraId="322144A4" w14:textId="77777777" w:rsidR="000D201D" w:rsidRPr="0006689E" w:rsidRDefault="000D201D" w:rsidP="00D91FD9">
            <w:pPr>
              <w:jc w:val="center"/>
              <w:cnfStyle w:val="000000100000" w:firstRow="0" w:lastRow="0" w:firstColumn="0" w:lastColumn="0" w:oddVBand="0" w:evenVBand="0" w:oddHBand="1" w:evenHBand="0" w:firstRowFirstColumn="0" w:firstRowLastColumn="0" w:lastRowFirstColumn="0" w:lastRowLastColumn="0"/>
              <w:rPr>
                <w:b/>
                <w:lang w:val="en-US"/>
              </w:rPr>
            </w:pPr>
            <w:r>
              <w:rPr>
                <w:b/>
                <w:lang w:val="en-US"/>
              </w:rPr>
              <w:t>Genitourinary system and sex hormones</w:t>
            </w:r>
          </w:p>
        </w:tc>
      </w:tr>
      <w:tr w:rsidR="000D201D" w:rsidRPr="00EE5FE2" w14:paraId="7E5EC87A" w14:textId="77777777" w:rsidTr="00D91FD9">
        <w:tc>
          <w:tcPr>
            <w:cnfStyle w:val="001000000000" w:firstRow="0" w:lastRow="0" w:firstColumn="1" w:lastColumn="0" w:oddVBand="0" w:evenVBand="0" w:oddHBand="0" w:evenHBand="0" w:firstRowFirstColumn="0" w:firstRowLastColumn="0" w:lastRowFirstColumn="0" w:lastRowLastColumn="0"/>
            <w:tcW w:w="2093" w:type="dxa"/>
          </w:tcPr>
          <w:p w14:paraId="2DF94EC0" w14:textId="77777777" w:rsidR="000D201D" w:rsidRPr="0006689E" w:rsidRDefault="000D201D" w:rsidP="00D91FD9">
            <w:pPr>
              <w:rPr>
                <w:b w:val="0"/>
                <w:lang w:val="en-US"/>
              </w:rPr>
            </w:pPr>
            <w:r>
              <w:rPr>
                <w:b w:val="0"/>
                <w:lang w:val="en-US"/>
              </w:rPr>
              <w:t>H</w:t>
            </w:r>
          </w:p>
        </w:tc>
        <w:tc>
          <w:tcPr>
            <w:tcW w:w="6662" w:type="dxa"/>
          </w:tcPr>
          <w:p w14:paraId="504EE973" w14:textId="77777777" w:rsidR="000D201D" w:rsidRPr="0006689E" w:rsidRDefault="000D201D" w:rsidP="00D91FD9">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Systemic hormonal preparations, excl. sex hormones and insulins</w:t>
            </w:r>
          </w:p>
        </w:tc>
      </w:tr>
      <w:tr w:rsidR="000D201D" w:rsidRPr="00EE5FE2" w14:paraId="6A352611" w14:textId="77777777" w:rsidTr="00D91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53DD926" w14:textId="77777777" w:rsidR="000D201D" w:rsidRPr="0006689E" w:rsidRDefault="000D201D" w:rsidP="00D91FD9">
            <w:pPr>
              <w:rPr>
                <w:b w:val="0"/>
                <w:lang w:val="en-US"/>
              </w:rPr>
            </w:pPr>
            <w:r>
              <w:rPr>
                <w:b w:val="0"/>
                <w:lang w:val="en-US"/>
              </w:rPr>
              <w:t>J</w:t>
            </w:r>
          </w:p>
        </w:tc>
        <w:tc>
          <w:tcPr>
            <w:tcW w:w="6662" w:type="dxa"/>
          </w:tcPr>
          <w:p w14:paraId="00C03EC8" w14:textId="77777777" w:rsidR="000D201D" w:rsidRPr="0006689E" w:rsidRDefault="000D201D" w:rsidP="00D91FD9">
            <w:pPr>
              <w:jc w:val="center"/>
              <w:cnfStyle w:val="000000100000" w:firstRow="0" w:lastRow="0" w:firstColumn="0" w:lastColumn="0" w:oddVBand="0" w:evenVBand="0" w:oddHBand="1" w:evenHBand="0" w:firstRowFirstColumn="0" w:firstRowLastColumn="0" w:lastRowFirstColumn="0" w:lastRowLastColumn="0"/>
              <w:rPr>
                <w:b/>
                <w:lang w:val="en-US"/>
              </w:rPr>
            </w:pPr>
            <w:r>
              <w:rPr>
                <w:b/>
                <w:lang w:val="en-US"/>
              </w:rPr>
              <w:t>Anti-</w:t>
            </w:r>
            <w:proofErr w:type="spellStart"/>
            <w:r>
              <w:rPr>
                <w:b/>
                <w:lang w:val="en-US"/>
              </w:rPr>
              <w:t>infectives</w:t>
            </w:r>
            <w:proofErr w:type="spellEnd"/>
            <w:r>
              <w:rPr>
                <w:b/>
                <w:lang w:val="en-US"/>
              </w:rPr>
              <w:t xml:space="preserve"> for systemic use</w:t>
            </w:r>
          </w:p>
        </w:tc>
      </w:tr>
      <w:tr w:rsidR="000D201D" w:rsidRPr="008B6983" w14:paraId="512121D5" w14:textId="77777777" w:rsidTr="00D91FD9">
        <w:tc>
          <w:tcPr>
            <w:cnfStyle w:val="001000000000" w:firstRow="0" w:lastRow="0" w:firstColumn="1" w:lastColumn="0" w:oddVBand="0" w:evenVBand="0" w:oddHBand="0" w:evenHBand="0" w:firstRowFirstColumn="0" w:firstRowLastColumn="0" w:lastRowFirstColumn="0" w:lastRowLastColumn="0"/>
            <w:tcW w:w="2093" w:type="dxa"/>
          </w:tcPr>
          <w:p w14:paraId="140248D9" w14:textId="77777777" w:rsidR="000D201D" w:rsidRPr="0006689E" w:rsidRDefault="000D201D" w:rsidP="00D91FD9">
            <w:pPr>
              <w:rPr>
                <w:b w:val="0"/>
                <w:lang w:val="en-US"/>
              </w:rPr>
            </w:pPr>
            <w:r>
              <w:rPr>
                <w:b w:val="0"/>
                <w:lang w:val="en-US"/>
              </w:rPr>
              <w:t>L</w:t>
            </w:r>
          </w:p>
        </w:tc>
        <w:tc>
          <w:tcPr>
            <w:tcW w:w="6662" w:type="dxa"/>
          </w:tcPr>
          <w:p w14:paraId="36B176A3" w14:textId="77777777" w:rsidR="000D201D" w:rsidRPr="0006689E" w:rsidRDefault="000D201D" w:rsidP="00D91FD9">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 xml:space="preserve">Antineoplastic and </w:t>
            </w:r>
            <w:proofErr w:type="spellStart"/>
            <w:r>
              <w:rPr>
                <w:b/>
                <w:lang w:val="en-US"/>
              </w:rPr>
              <w:t>immunomodulating</w:t>
            </w:r>
            <w:proofErr w:type="spellEnd"/>
            <w:r>
              <w:rPr>
                <w:b/>
                <w:lang w:val="en-US"/>
              </w:rPr>
              <w:t xml:space="preserve"> agents</w:t>
            </w:r>
          </w:p>
        </w:tc>
      </w:tr>
      <w:tr w:rsidR="000D201D" w:rsidRPr="008B6983" w14:paraId="757E6C4D" w14:textId="77777777" w:rsidTr="00D91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F1BC151" w14:textId="77777777" w:rsidR="000D201D" w:rsidRPr="0006689E" w:rsidRDefault="000D201D" w:rsidP="00D91FD9">
            <w:pPr>
              <w:rPr>
                <w:b w:val="0"/>
                <w:lang w:val="en-US"/>
              </w:rPr>
            </w:pPr>
            <w:r>
              <w:rPr>
                <w:b w:val="0"/>
                <w:lang w:val="en-US"/>
              </w:rPr>
              <w:t>M</w:t>
            </w:r>
          </w:p>
        </w:tc>
        <w:tc>
          <w:tcPr>
            <w:tcW w:w="6662" w:type="dxa"/>
          </w:tcPr>
          <w:p w14:paraId="66D43191" w14:textId="77777777" w:rsidR="000D201D" w:rsidRPr="0006689E" w:rsidRDefault="000D201D" w:rsidP="00D91FD9">
            <w:pPr>
              <w:jc w:val="center"/>
              <w:cnfStyle w:val="000000100000" w:firstRow="0" w:lastRow="0" w:firstColumn="0" w:lastColumn="0" w:oddVBand="0" w:evenVBand="0" w:oddHBand="1" w:evenHBand="0" w:firstRowFirstColumn="0" w:firstRowLastColumn="0" w:lastRowFirstColumn="0" w:lastRowLastColumn="0"/>
              <w:rPr>
                <w:b/>
                <w:lang w:val="en-US"/>
              </w:rPr>
            </w:pPr>
            <w:r>
              <w:rPr>
                <w:b/>
                <w:lang w:val="en-US"/>
              </w:rPr>
              <w:t>Musculoskeletal system</w:t>
            </w:r>
          </w:p>
        </w:tc>
      </w:tr>
      <w:tr w:rsidR="000D201D" w:rsidRPr="008B6983" w14:paraId="4893201E" w14:textId="77777777" w:rsidTr="00D91FD9">
        <w:tc>
          <w:tcPr>
            <w:cnfStyle w:val="001000000000" w:firstRow="0" w:lastRow="0" w:firstColumn="1" w:lastColumn="0" w:oddVBand="0" w:evenVBand="0" w:oddHBand="0" w:evenHBand="0" w:firstRowFirstColumn="0" w:firstRowLastColumn="0" w:lastRowFirstColumn="0" w:lastRowLastColumn="0"/>
            <w:tcW w:w="2093" w:type="dxa"/>
          </w:tcPr>
          <w:p w14:paraId="0E0DC401" w14:textId="77777777" w:rsidR="000D201D" w:rsidRPr="0006689E" w:rsidRDefault="00BA015B" w:rsidP="00BA015B">
            <w:pPr>
              <w:rPr>
                <w:b w:val="0"/>
                <w:lang w:val="en-US"/>
              </w:rPr>
            </w:pPr>
            <w:r>
              <w:rPr>
                <w:b w:val="0"/>
                <w:lang w:val="en-US"/>
              </w:rPr>
              <w:t>N (excl. N03-07</w:t>
            </w:r>
            <w:r w:rsidR="000D201D">
              <w:rPr>
                <w:b w:val="0"/>
                <w:lang w:val="en-US"/>
              </w:rPr>
              <w:t>)</w:t>
            </w:r>
          </w:p>
        </w:tc>
        <w:tc>
          <w:tcPr>
            <w:tcW w:w="6662" w:type="dxa"/>
          </w:tcPr>
          <w:p w14:paraId="412521EC" w14:textId="77777777" w:rsidR="000D201D" w:rsidRPr="0006689E" w:rsidRDefault="000D201D" w:rsidP="00D91FD9">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Nervous system</w:t>
            </w:r>
          </w:p>
        </w:tc>
      </w:tr>
      <w:tr w:rsidR="000D201D" w:rsidRPr="00EE5FE2" w14:paraId="76E7931D" w14:textId="77777777" w:rsidTr="00D91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F440061" w14:textId="77777777" w:rsidR="000D201D" w:rsidRPr="0006689E" w:rsidRDefault="000D201D" w:rsidP="00D91FD9">
            <w:pPr>
              <w:rPr>
                <w:b w:val="0"/>
                <w:lang w:val="en-US"/>
              </w:rPr>
            </w:pPr>
            <w:r>
              <w:rPr>
                <w:b w:val="0"/>
                <w:lang w:val="en-US"/>
              </w:rPr>
              <w:t>P</w:t>
            </w:r>
          </w:p>
        </w:tc>
        <w:tc>
          <w:tcPr>
            <w:tcW w:w="6662" w:type="dxa"/>
          </w:tcPr>
          <w:p w14:paraId="7ECF6F23" w14:textId="77777777" w:rsidR="000D201D" w:rsidRPr="0006689E" w:rsidRDefault="000D201D" w:rsidP="00D91FD9">
            <w:pPr>
              <w:jc w:val="center"/>
              <w:cnfStyle w:val="000000100000" w:firstRow="0" w:lastRow="0" w:firstColumn="0" w:lastColumn="0" w:oddVBand="0" w:evenVBand="0" w:oddHBand="1" w:evenHBand="0" w:firstRowFirstColumn="0" w:firstRowLastColumn="0" w:lastRowFirstColumn="0" w:lastRowLastColumn="0"/>
              <w:rPr>
                <w:b/>
                <w:lang w:val="en-US"/>
              </w:rPr>
            </w:pPr>
            <w:proofErr w:type="spellStart"/>
            <w:r>
              <w:rPr>
                <w:b/>
                <w:lang w:val="en-US"/>
              </w:rPr>
              <w:t>Antiparasitic</w:t>
            </w:r>
            <w:proofErr w:type="spellEnd"/>
            <w:r>
              <w:rPr>
                <w:b/>
                <w:lang w:val="en-US"/>
              </w:rPr>
              <w:t xml:space="preserve"> products, insecticides and repellents</w:t>
            </w:r>
          </w:p>
        </w:tc>
      </w:tr>
      <w:tr w:rsidR="000D201D" w:rsidRPr="008B6983" w14:paraId="7E71FA31" w14:textId="77777777" w:rsidTr="00D91FD9">
        <w:tc>
          <w:tcPr>
            <w:cnfStyle w:val="001000000000" w:firstRow="0" w:lastRow="0" w:firstColumn="1" w:lastColumn="0" w:oddVBand="0" w:evenVBand="0" w:oddHBand="0" w:evenHBand="0" w:firstRowFirstColumn="0" w:firstRowLastColumn="0" w:lastRowFirstColumn="0" w:lastRowLastColumn="0"/>
            <w:tcW w:w="2093" w:type="dxa"/>
          </w:tcPr>
          <w:p w14:paraId="2D03B40D" w14:textId="77777777" w:rsidR="000D201D" w:rsidRPr="0006689E" w:rsidRDefault="000D201D" w:rsidP="00D91FD9">
            <w:pPr>
              <w:rPr>
                <w:b w:val="0"/>
                <w:lang w:val="en-US"/>
              </w:rPr>
            </w:pPr>
            <w:r>
              <w:rPr>
                <w:b w:val="0"/>
                <w:lang w:val="en-US"/>
              </w:rPr>
              <w:t>R</w:t>
            </w:r>
          </w:p>
        </w:tc>
        <w:tc>
          <w:tcPr>
            <w:tcW w:w="6662" w:type="dxa"/>
          </w:tcPr>
          <w:p w14:paraId="021F1B96" w14:textId="77777777" w:rsidR="000D201D" w:rsidRPr="0006689E" w:rsidRDefault="000D201D" w:rsidP="00D91FD9">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Respiratory system</w:t>
            </w:r>
          </w:p>
        </w:tc>
      </w:tr>
      <w:tr w:rsidR="000D201D" w:rsidRPr="008B6983" w14:paraId="05DBCD51" w14:textId="77777777" w:rsidTr="00D91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5982C8D" w14:textId="77777777" w:rsidR="000D201D" w:rsidRPr="0006689E" w:rsidRDefault="000D201D" w:rsidP="00D91FD9">
            <w:pPr>
              <w:rPr>
                <w:b w:val="0"/>
                <w:lang w:val="en-US"/>
              </w:rPr>
            </w:pPr>
            <w:r>
              <w:rPr>
                <w:b w:val="0"/>
                <w:lang w:val="en-US"/>
              </w:rPr>
              <w:t>S</w:t>
            </w:r>
          </w:p>
        </w:tc>
        <w:tc>
          <w:tcPr>
            <w:tcW w:w="6662" w:type="dxa"/>
          </w:tcPr>
          <w:p w14:paraId="69F20CA4" w14:textId="77777777" w:rsidR="000D201D" w:rsidRPr="0006689E" w:rsidRDefault="000D201D" w:rsidP="00D91FD9">
            <w:pPr>
              <w:jc w:val="center"/>
              <w:cnfStyle w:val="000000100000" w:firstRow="0" w:lastRow="0" w:firstColumn="0" w:lastColumn="0" w:oddVBand="0" w:evenVBand="0" w:oddHBand="1" w:evenHBand="0" w:firstRowFirstColumn="0" w:firstRowLastColumn="0" w:lastRowFirstColumn="0" w:lastRowLastColumn="0"/>
              <w:rPr>
                <w:b/>
                <w:lang w:val="en-US"/>
              </w:rPr>
            </w:pPr>
            <w:r>
              <w:rPr>
                <w:b/>
                <w:lang w:val="en-US"/>
              </w:rPr>
              <w:t>Sensory organs</w:t>
            </w:r>
          </w:p>
        </w:tc>
      </w:tr>
      <w:tr w:rsidR="000D201D" w:rsidRPr="008B6983" w14:paraId="5B850D3C" w14:textId="77777777" w:rsidTr="00D91FD9">
        <w:tc>
          <w:tcPr>
            <w:cnfStyle w:val="001000000000" w:firstRow="0" w:lastRow="0" w:firstColumn="1" w:lastColumn="0" w:oddVBand="0" w:evenVBand="0" w:oddHBand="0" w:evenHBand="0" w:firstRowFirstColumn="0" w:firstRowLastColumn="0" w:lastRowFirstColumn="0" w:lastRowLastColumn="0"/>
            <w:tcW w:w="2093" w:type="dxa"/>
          </w:tcPr>
          <w:p w14:paraId="5C6058D1" w14:textId="77777777" w:rsidR="000D201D" w:rsidRPr="0006689E" w:rsidRDefault="000D201D" w:rsidP="00D91FD9">
            <w:pPr>
              <w:rPr>
                <w:b w:val="0"/>
                <w:lang w:val="en-US"/>
              </w:rPr>
            </w:pPr>
            <w:r>
              <w:rPr>
                <w:b w:val="0"/>
                <w:lang w:val="en-US"/>
              </w:rPr>
              <w:t>V</w:t>
            </w:r>
          </w:p>
        </w:tc>
        <w:tc>
          <w:tcPr>
            <w:tcW w:w="6662" w:type="dxa"/>
          </w:tcPr>
          <w:p w14:paraId="773C3332" w14:textId="77777777" w:rsidR="000D201D" w:rsidRPr="0006689E" w:rsidRDefault="000D201D" w:rsidP="00D91FD9">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Various</w:t>
            </w:r>
          </w:p>
        </w:tc>
      </w:tr>
    </w:tbl>
    <w:p w14:paraId="1A598B3E" w14:textId="77777777" w:rsidR="000D201D" w:rsidRDefault="000D201D" w:rsidP="000D201D">
      <w:pPr>
        <w:spacing w:line="240" w:lineRule="auto"/>
        <w:rPr>
          <w:sz w:val="18"/>
          <w:szCs w:val="18"/>
          <w:lang w:val="en-US"/>
        </w:rPr>
      </w:pPr>
      <w:r>
        <w:rPr>
          <w:sz w:val="18"/>
          <w:szCs w:val="18"/>
          <w:lang w:val="en-US"/>
        </w:rPr>
        <w:t xml:space="preserve">Abbreviations: ATC=Anatomical </w:t>
      </w:r>
      <w:proofErr w:type="spellStart"/>
      <w:r>
        <w:rPr>
          <w:sz w:val="18"/>
          <w:szCs w:val="18"/>
          <w:lang w:val="en-US"/>
        </w:rPr>
        <w:t>Therapeutical</w:t>
      </w:r>
      <w:proofErr w:type="spellEnd"/>
      <w:r>
        <w:rPr>
          <w:sz w:val="18"/>
          <w:szCs w:val="18"/>
          <w:lang w:val="en-US"/>
        </w:rPr>
        <w:t xml:space="preserve"> Chemical. </w:t>
      </w:r>
    </w:p>
    <w:p w14:paraId="783F9832" w14:textId="77777777" w:rsidR="000D201D" w:rsidRPr="00B24F63" w:rsidRDefault="000D201D" w:rsidP="000D201D">
      <w:pPr>
        <w:spacing w:line="240" w:lineRule="auto"/>
        <w:rPr>
          <w:sz w:val="18"/>
          <w:szCs w:val="18"/>
          <w:lang w:val="en-US"/>
        </w:rPr>
      </w:pPr>
      <w:r>
        <w:rPr>
          <w:sz w:val="18"/>
          <w:szCs w:val="18"/>
          <w:lang w:val="en-US"/>
        </w:rPr>
        <w:t xml:space="preserve"> </w:t>
      </w:r>
    </w:p>
    <w:p w14:paraId="3ABEABBA" w14:textId="77777777" w:rsidR="000D201D" w:rsidRDefault="000D201D">
      <w:pPr>
        <w:rPr>
          <w:lang w:val="en-US"/>
        </w:rPr>
        <w:sectPr w:rsidR="000D201D" w:rsidSect="003B0DD9">
          <w:pgSz w:w="11906" w:h="16838"/>
          <w:pgMar w:top="1701" w:right="1134" w:bottom="1701" w:left="1134" w:header="708" w:footer="708" w:gutter="0"/>
          <w:cols w:space="708"/>
          <w:docGrid w:linePitch="360"/>
        </w:sectPr>
      </w:pPr>
    </w:p>
    <w:p w14:paraId="3FCED843" w14:textId="77777777" w:rsidR="000D201D" w:rsidRPr="0006689E" w:rsidRDefault="000D201D" w:rsidP="000D201D">
      <w:pPr>
        <w:rPr>
          <w:b/>
          <w:lang w:val="en-US"/>
        </w:rPr>
      </w:pPr>
      <w:r>
        <w:rPr>
          <w:b/>
          <w:lang w:val="en-US"/>
        </w:rPr>
        <w:lastRenderedPageBreak/>
        <w:t>Supplementary Table 3</w:t>
      </w:r>
      <w:r w:rsidRPr="00281F92">
        <w:rPr>
          <w:b/>
          <w:lang w:val="en-US"/>
        </w:rPr>
        <w:t>:</w:t>
      </w:r>
      <w:r w:rsidRPr="0006689E">
        <w:rPr>
          <w:b/>
          <w:lang w:val="en-US"/>
        </w:rPr>
        <w:t xml:space="preserve"> </w:t>
      </w:r>
      <w:r w:rsidRPr="00EC7BAA">
        <w:rPr>
          <w:b/>
          <w:lang w:val="en-US"/>
        </w:rPr>
        <w:t>ICD-8 and ICD-10 codes used to identify mental disorders prior to first-time schizophrenia diagnosis.</w:t>
      </w:r>
      <w:r>
        <w:rPr>
          <w:b/>
          <w:lang w:val="en-US"/>
        </w:rPr>
        <w:t xml:space="preserve"> </w:t>
      </w:r>
    </w:p>
    <w:tbl>
      <w:tblPr>
        <w:tblStyle w:val="LightShading"/>
        <w:tblW w:w="0" w:type="auto"/>
        <w:tblLook w:val="04A0" w:firstRow="1" w:lastRow="0" w:firstColumn="1" w:lastColumn="0" w:noHBand="0" w:noVBand="1"/>
      </w:tblPr>
      <w:tblGrid>
        <w:gridCol w:w="3227"/>
        <w:gridCol w:w="3969"/>
        <w:gridCol w:w="2582"/>
      </w:tblGrid>
      <w:tr w:rsidR="000D201D" w14:paraId="7DA66C8D" w14:textId="77777777" w:rsidTr="00D91F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D4B4612" w14:textId="77777777" w:rsidR="000D201D" w:rsidRDefault="000D201D" w:rsidP="00D91FD9">
            <w:pPr>
              <w:rPr>
                <w:lang w:val="en-US"/>
              </w:rPr>
            </w:pPr>
            <w:r>
              <w:rPr>
                <w:lang w:val="en-US"/>
              </w:rPr>
              <w:t>Mental Disorders</w:t>
            </w:r>
          </w:p>
        </w:tc>
        <w:tc>
          <w:tcPr>
            <w:tcW w:w="3969" w:type="dxa"/>
          </w:tcPr>
          <w:p w14:paraId="4BCC2889" w14:textId="77777777" w:rsidR="000D201D" w:rsidRDefault="000D201D" w:rsidP="00D91FD9">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ICD-8 codes</w:t>
            </w:r>
          </w:p>
        </w:tc>
        <w:tc>
          <w:tcPr>
            <w:tcW w:w="2582" w:type="dxa"/>
          </w:tcPr>
          <w:p w14:paraId="723BDD51" w14:textId="77777777" w:rsidR="000D201D" w:rsidRDefault="000D201D" w:rsidP="00D91FD9">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ICD-10 codes</w:t>
            </w:r>
          </w:p>
        </w:tc>
      </w:tr>
      <w:tr w:rsidR="000D201D" w14:paraId="15C8D7F1" w14:textId="77777777" w:rsidTr="00D91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49F4E70" w14:textId="77777777" w:rsidR="000D201D" w:rsidRPr="0006689E" w:rsidRDefault="000D201D" w:rsidP="00D91FD9">
            <w:pPr>
              <w:rPr>
                <w:b w:val="0"/>
                <w:lang w:val="en-US"/>
              </w:rPr>
            </w:pPr>
            <w:r>
              <w:rPr>
                <w:b w:val="0"/>
                <w:lang w:val="en-US"/>
              </w:rPr>
              <w:t>Disorders due to use of a</w:t>
            </w:r>
            <w:r w:rsidRPr="0006689E">
              <w:rPr>
                <w:b w:val="0"/>
                <w:lang w:val="en-US"/>
              </w:rPr>
              <w:t>lcohol</w:t>
            </w:r>
            <w:r>
              <w:rPr>
                <w:b w:val="0"/>
                <w:lang w:val="en-US"/>
              </w:rPr>
              <w:t xml:space="preserve"> or psychoactive substance use</w:t>
            </w:r>
          </w:p>
        </w:tc>
        <w:tc>
          <w:tcPr>
            <w:tcW w:w="3969" w:type="dxa"/>
          </w:tcPr>
          <w:p w14:paraId="1E910A36" w14:textId="77777777" w:rsidR="000D201D" w:rsidRDefault="000D201D" w:rsidP="00D91FD9">
            <w:pPr>
              <w:cnfStyle w:val="000000100000" w:firstRow="0" w:lastRow="0" w:firstColumn="0" w:lastColumn="0" w:oddVBand="0" w:evenVBand="0" w:oddHBand="1" w:evenHBand="0" w:firstRowFirstColumn="0" w:firstRowLastColumn="0" w:lastRowFirstColumn="0" w:lastRowLastColumn="0"/>
              <w:rPr>
                <w:lang w:val="en-US"/>
              </w:rPr>
            </w:pPr>
            <w:r>
              <w:rPr>
                <w:lang w:val="en-US"/>
              </w:rPr>
              <w:t>291, 303, 570, 571.00, 571.10, 573.00, 573.01, 577.10, 979, 980, 304, 294.4</w:t>
            </w:r>
          </w:p>
        </w:tc>
        <w:tc>
          <w:tcPr>
            <w:tcW w:w="2582" w:type="dxa"/>
          </w:tcPr>
          <w:p w14:paraId="3D418645" w14:textId="77777777" w:rsidR="000D201D" w:rsidRDefault="000D201D" w:rsidP="00D91FD9">
            <w:pPr>
              <w:cnfStyle w:val="000000100000" w:firstRow="0" w:lastRow="0" w:firstColumn="0" w:lastColumn="0" w:oddVBand="0" w:evenVBand="0" w:oddHBand="1" w:evenHBand="0" w:firstRowFirstColumn="0" w:firstRowLastColumn="0" w:lastRowFirstColumn="0" w:lastRowLastColumn="0"/>
              <w:rPr>
                <w:lang w:val="en-US"/>
              </w:rPr>
            </w:pPr>
            <w:r>
              <w:rPr>
                <w:lang w:val="en-US"/>
              </w:rPr>
              <w:t>F10, F11-16 and F18-19</w:t>
            </w:r>
          </w:p>
        </w:tc>
      </w:tr>
      <w:tr w:rsidR="000D201D" w14:paraId="639364C9" w14:textId="77777777" w:rsidTr="00D91FD9">
        <w:tc>
          <w:tcPr>
            <w:cnfStyle w:val="001000000000" w:firstRow="0" w:lastRow="0" w:firstColumn="1" w:lastColumn="0" w:oddVBand="0" w:evenVBand="0" w:oddHBand="0" w:evenHBand="0" w:firstRowFirstColumn="0" w:firstRowLastColumn="0" w:lastRowFirstColumn="0" w:lastRowLastColumn="0"/>
            <w:tcW w:w="3227" w:type="dxa"/>
          </w:tcPr>
          <w:p w14:paraId="5510E7FB" w14:textId="77777777" w:rsidR="000D201D" w:rsidRPr="0006689E" w:rsidRDefault="000D201D" w:rsidP="00D91FD9">
            <w:pPr>
              <w:rPr>
                <w:b w:val="0"/>
                <w:lang w:val="en-US"/>
              </w:rPr>
            </w:pPr>
            <w:r w:rsidRPr="0006689E">
              <w:rPr>
                <w:b w:val="0"/>
                <w:lang w:val="en-US"/>
              </w:rPr>
              <w:t>Bipolar disorder</w:t>
            </w:r>
          </w:p>
        </w:tc>
        <w:tc>
          <w:tcPr>
            <w:tcW w:w="3969" w:type="dxa"/>
          </w:tcPr>
          <w:p w14:paraId="04A06134" w14:textId="77777777" w:rsidR="000D201D" w:rsidRDefault="000D201D" w:rsidP="00D91FD9">
            <w:pPr>
              <w:cnfStyle w:val="000000000000" w:firstRow="0" w:lastRow="0" w:firstColumn="0" w:lastColumn="0" w:oddVBand="0" w:evenVBand="0" w:oddHBand="0" w:evenHBand="0" w:firstRowFirstColumn="0" w:firstRowLastColumn="0" w:lastRowFirstColumn="0" w:lastRowLastColumn="0"/>
              <w:rPr>
                <w:lang w:val="en-US"/>
              </w:rPr>
            </w:pPr>
            <w:r>
              <w:rPr>
                <w:lang w:val="en-US"/>
              </w:rPr>
              <w:t>296.16, 296.39, 298.19</w:t>
            </w:r>
          </w:p>
        </w:tc>
        <w:tc>
          <w:tcPr>
            <w:tcW w:w="2582" w:type="dxa"/>
          </w:tcPr>
          <w:p w14:paraId="17BDB347" w14:textId="77777777" w:rsidR="000D201D" w:rsidRDefault="000D201D" w:rsidP="00D91FD9">
            <w:pPr>
              <w:cnfStyle w:val="000000000000" w:firstRow="0" w:lastRow="0" w:firstColumn="0" w:lastColumn="0" w:oddVBand="0" w:evenVBand="0" w:oddHBand="0" w:evenHBand="0" w:firstRowFirstColumn="0" w:firstRowLastColumn="0" w:lastRowFirstColumn="0" w:lastRowLastColumn="0"/>
              <w:rPr>
                <w:lang w:val="en-US"/>
              </w:rPr>
            </w:pPr>
            <w:r>
              <w:rPr>
                <w:lang w:val="en-US"/>
              </w:rPr>
              <w:t>F30-31</w:t>
            </w:r>
          </w:p>
        </w:tc>
      </w:tr>
      <w:tr w:rsidR="000D201D" w14:paraId="5A5B3935" w14:textId="77777777" w:rsidTr="00D91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88E637D" w14:textId="77777777" w:rsidR="000D201D" w:rsidRPr="0006689E" w:rsidRDefault="000D201D" w:rsidP="00D91FD9">
            <w:pPr>
              <w:rPr>
                <w:b w:val="0"/>
                <w:lang w:val="en-US"/>
              </w:rPr>
            </w:pPr>
            <w:r w:rsidRPr="0006689E">
              <w:rPr>
                <w:b w:val="0"/>
                <w:lang w:val="en-US"/>
              </w:rPr>
              <w:t>Depression</w:t>
            </w:r>
          </w:p>
        </w:tc>
        <w:tc>
          <w:tcPr>
            <w:tcW w:w="3969" w:type="dxa"/>
          </w:tcPr>
          <w:p w14:paraId="798B7E89" w14:textId="77777777" w:rsidR="000D201D" w:rsidRDefault="000D201D" w:rsidP="00D91FD9">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296.09, 296.29, 296.99 </w:t>
            </w:r>
          </w:p>
        </w:tc>
        <w:tc>
          <w:tcPr>
            <w:tcW w:w="2582" w:type="dxa"/>
          </w:tcPr>
          <w:p w14:paraId="77823C96" w14:textId="77777777" w:rsidR="000D201D" w:rsidRDefault="000D201D" w:rsidP="00D91FD9">
            <w:pPr>
              <w:cnfStyle w:val="000000100000" w:firstRow="0" w:lastRow="0" w:firstColumn="0" w:lastColumn="0" w:oddVBand="0" w:evenVBand="0" w:oddHBand="1" w:evenHBand="0" w:firstRowFirstColumn="0" w:firstRowLastColumn="0" w:lastRowFirstColumn="0" w:lastRowLastColumn="0"/>
              <w:rPr>
                <w:lang w:val="en-US"/>
              </w:rPr>
            </w:pPr>
            <w:r>
              <w:rPr>
                <w:lang w:val="en-US"/>
              </w:rPr>
              <w:t>F32-33</w:t>
            </w:r>
          </w:p>
        </w:tc>
      </w:tr>
      <w:tr w:rsidR="000D201D" w14:paraId="57C5458B" w14:textId="77777777" w:rsidTr="00D91FD9">
        <w:tc>
          <w:tcPr>
            <w:cnfStyle w:val="001000000000" w:firstRow="0" w:lastRow="0" w:firstColumn="1" w:lastColumn="0" w:oddVBand="0" w:evenVBand="0" w:oddHBand="0" w:evenHBand="0" w:firstRowFirstColumn="0" w:firstRowLastColumn="0" w:lastRowFirstColumn="0" w:lastRowLastColumn="0"/>
            <w:tcW w:w="3227" w:type="dxa"/>
          </w:tcPr>
          <w:p w14:paraId="78AE83B0" w14:textId="77777777" w:rsidR="000D201D" w:rsidRPr="0006689E" w:rsidRDefault="000D201D" w:rsidP="00D91FD9">
            <w:pPr>
              <w:rPr>
                <w:b w:val="0"/>
                <w:lang w:val="en-US"/>
              </w:rPr>
            </w:pPr>
            <w:r w:rsidRPr="0006689E">
              <w:rPr>
                <w:b w:val="0"/>
                <w:lang w:val="en-US"/>
              </w:rPr>
              <w:t>Anxiety</w:t>
            </w:r>
            <w:r>
              <w:rPr>
                <w:b w:val="0"/>
                <w:lang w:val="en-US"/>
              </w:rPr>
              <w:t xml:space="preserve"> disorders</w:t>
            </w:r>
          </w:p>
        </w:tc>
        <w:tc>
          <w:tcPr>
            <w:tcW w:w="3969" w:type="dxa"/>
          </w:tcPr>
          <w:p w14:paraId="59FEE42F" w14:textId="77777777" w:rsidR="000D201D" w:rsidRDefault="000D201D" w:rsidP="00D91FD9">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300.09 </w:t>
            </w:r>
          </w:p>
        </w:tc>
        <w:tc>
          <w:tcPr>
            <w:tcW w:w="2582" w:type="dxa"/>
          </w:tcPr>
          <w:p w14:paraId="2284B29F" w14:textId="77777777" w:rsidR="000D201D" w:rsidRDefault="000D201D" w:rsidP="00D91FD9">
            <w:pPr>
              <w:cnfStyle w:val="000000000000" w:firstRow="0" w:lastRow="0" w:firstColumn="0" w:lastColumn="0" w:oddVBand="0" w:evenVBand="0" w:oddHBand="0" w:evenHBand="0" w:firstRowFirstColumn="0" w:firstRowLastColumn="0" w:lastRowFirstColumn="0" w:lastRowLastColumn="0"/>
              <w:rPr>
                <w:lang w:val="en-US"/>
              </w:rPr>
            </w:pPr>
            <w:r>
              <w:rPr>
                <w:lang w:val="en-US"/>
              </w:rPr>
              <w:t>F40-42</w:t>
            </w:r>
          </w:p>
        </w:tc>
      </w:tr>
    </w:tbl>
    <w:p w14:paraId="4609BFC9" w14:textId="77777777" w:rsidR="000D201D" w:rsidRDefault="000D201D" w:rsidP="000D201D">
      <w:pPr>
        <w:spacing w:line="240" w:lineRule="auto"/>
        <w:rPr>
          <w:sz w:val="18"/>
          <w:szCs w:val="18"/>
          <w:lang w:val="en-US"/>
        </w:rPr>
      </w:pPr>
      <w:r>
        <w:rPr>
          <w:sz w:val="18"/>
          <w:szCs w:val="18"/>
          <w:lang w:val="en-US"/>
        </w:rPr>
        <w:t>Abbreviations: ICD=International Classification of Diseases</w:t>
      </w:r>
    </w:p>
    <w:p w14:paraId="7F0F5722" w14:textId="77777777" w:rsidR="000D201D" w:rsidRPr="00B24F63" w:rsidRDefault="000D201D" w:rsidP="000D201D">
      <w:pPr>
        <w:spacing w:line="240" w:lineRule="auto"/>
        <w:rPr>
          <w:sz w:val="18"/>
          <w:szCs w:val="18"/>
          <w:lang w:val="en-US"/>
        </w:rPr>
      </w:pPr>
      <w:r>
        <w:rPr>
          <w:sz w:val="18"/>
          <w:szCs w:val="18"/>
          <w:lang w:val="en-US"/>
        </w:rPr>
        <w:t xml:space="preserve"> </w:t>
      </w:r>
    </w:p>
    <w:p w14:paraId="0A8EC0BF" w14:textId="77777777" w:rsidR="004D4520" w:rsidRDefault="004D4520">
      <w:pPr>
        <w:rPr>
          <w:lang w:val="en-US"/>
        </w:rPr>
      </w:pPr>
      <w:r>
        <w:rPr>
          <w:lang w:val="en-US"/>
        </w:rPr>
        <w:br w:type="page"/>
      </w:r>
    </w:p>
    <w:p w14:paraId="21850993" w14:textId="77777777" w:rsidR="004D4520" w:rsidRDefault="004D4520" w:rsidP="004D4520">
      <w:pPr>
        <w:spacing w:line="360" w:lineRule="auto"/>
        <w:rPr>
          <w:sz w:val="24"/>
          <w:lang w:val="en-US"/>
        </w:rPr>
      </w:pPr>
      <w:r>
        <w:rPr>
          <w:b/>
          <w:sz w:val="24"/>
          <w:lang w:val="en-US"/>
        </w:rPr>
        <w:lastRenderedPageBreak/>
        <w:t>Supplementary Table 4: Risk</w:t>
      </w:r>
      <w:r w:rsidRPr="00056247">
        <w:rPr>
          <w:b/>
          <w:sz w:val="24"/>
          <w:lang w:val="en-US"/>
        </w:rPr>
        <w:t xml:space="preserve"> of </w:t>
      </w:r>
      <w:r>
        <w:rPr>
          <w:b/>
          <w:sz w:val="24"/>
          <w:lang w:val="en-US"/>
        </w:rPr>
        <w:t xml:space="preserve">hospitalization with schizophrenia (i.e. relapse) during the first five years after incident schizophrenia diagnosis </w:t>
      </w:r>
      <w:r w:rsidRPr="00056247">
        <w:rPr>
          <w:b/>
          <w:sz w:val="24"/>
          <w:lang w:val="en-US"/>
        </w:rPr>
        <w:t xml:space="preserve">depending on </w:t>
      </w:r>
      <w:r>
        <w:rPr>
          <w:b/>
          <w:sz w:val="24"/>
          <w:lang w:val="en-US"/>
        </w:rPr>
        <w:t xml:space="preserve">the number of different somatic hospital contacts and redeemed somatic medications during the year before the incident schizophrenia diagnosis. </w:t>
      </w:r>
    </w:p>
    <w:tbl>
      <w:tblPr>
        <w:tblStyle w:val="PlainTable11"/>
        <w:tblW w:w="8960" w:type="dxa"/>
        <w:tblInd w:w="-176" w:type="dxa"/>
        <w:tblLayout w:type="fixed"/>
        <w:tblLook w:val="04A0" w:firstRow="1" w:lastRow="0" w:firstColumn="1" w:lastColumn="0" w:noHBand="0" w:noVBand="1"/>
      </w:tblPr>
      <w:tblGrid>
        <w:gridCol w:w="2581"/>
        <w:gridCol w:w="1276"/>
        <w:gridCol w:w="1417"/>
        <w:gridCol w:w="1701"/>
        <w:gridCol w:w="1985"/>
      </w:tblGrid>
      <w:tr w:rsidR="004D4520" w:rsidRPr="00EE5FE2" w14:paraId="43B368C6" w14:textId="77777777" w:rsidTr="00F15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0" w:type="dxa"/>
            <w:gridSpan w:val="5"/>
            <w:tcBorders>
              <w:right w:val="single" w:sz="4" w:space="0" w:color="auto"/>
            </w:tcBorders>
          </w:tcPr>
          <w:p w14:paraId="07CD09FF" w14:textId="77777777" w:rsidR="004D4520" w:rsidRPr="00002394" w:rsidRDefault="004D4520" w:rsidP="00F154A0">
            <w:pPr>
              <w:spacing w:line="360" w:lineRule="auto"/>
              <w:jc w:val="center"/>
              <w:rPr>
                <w:sz w:val="24"/>
                <w:lang w:val="en-US"/>
              </w:rPr>
            </w:pPr>
            <w:r w:rsidRPr="00002394">
              <w:rPr>
                <w:sz w:val="24"/>
                <w:lang w:val="en-US"/>
              </w:rPr>
              <w:t xml:space="preserve">Any </w:t>
            </w:r>
            <w:r>
              <w:rPr>
                <w:sz w:val="24"/>
                <w:lang w:val="en-US"/>
              </w:rPr>
              <w:t>somatic hospital contact</w:t>
            </w:r>
            <w:r w:rsidRPr="00002394">
              <w:rPr>
                <w:sz w:val="24"/>
                <w:lang w:val="en-US"/>
              </w:rPr>
              <w:t xml:space="preserve"> within the year </w:t>
            </w:r>
          </w:p>
          <w:p w14:paraId="60053AF3" w14:textId="77777777" w:rsidR="004D4520" w:rsidRPr="0004512D" w:rsidRDefault="004D4520" w:rsidP="00F154A0">
            <w:pPr>
              <w:spacing w:line="360" w:lineRule="auto"/>
              <w:jc w:val="center"/>
              <w:rPr>
                <w:b w:val="0"/>
                <w:sz w:val="14"/>
                <w:szCs w:val="14"/>
                <w:lang w:val="en-US"/>
              </w:rPr>
            </w:pPr>
            <w:r w:rsidRPr="00002394">
              <w:rPr>
                <w:sz w:val="24"/>
                <w:lang w:val="en-US"/>
              </w:rPr>
              <w:t>prior to first-time schizophrenia diagnosis</w:t>
            </w:r>
          </w:p>
        </w:tc>
      </w:tr>
      <w:tr w:rsidR="004D4520" w:rsidRPr="00DC1645" w14:paraId="495A2187" w14:textId="77777777" w:rsidTr="00F15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Borders>
              <w:right w:val="single" w:sz="4" w:space="0" w:color="auto"/>
            </w:tcBorders>
          </w:tcPr>
          <w:p w14:paraId="54C74E5E" w14:textId="77777777" w:rsidR="004D4520" w:rsidRPr="00031B51" w:rsidRDefault="004D4520" w:rsidP="00F154A0">
            <w:pPr>
              <w:spacing w:line="360" w:lineRule="auto"/>
              <w:rPr>
                <w:sz w:val="14"/>
                <w:szCs w:val="14"/>
                <w:lang w:val="en-US"/>
              </w:rPr>
            </w:pPr>
          </w:p>
        </w:tc>
        <w:tc>
          <w:tcPr>
            <w:tcW w:w="1276" w:type="dxa"/>
            <w:tcBorders>
              <w:left w:val="single" w:sz="4" w:space="0" w:color="auto"/>
            </w:tcBorders>
          </w:tcPr>
          <w:p w14:paraId="7D164F33" w14:textId="77777777" w:rsidR="004D4520" w:rsidRDefault="004D4520" w:rsidP="00F154A0">
            <w:pPr>
              <w:spacing w:line="360" w:lineRule="auto"/>
              <w:jc w:val="center"/>
              <w:cnfStyle w:val="000000100000" w:firstRow="0" w:lastRow="0" w:firstColumn="0" w:lastColumn="0" w:oddVBand="0" w:evenVBand="0" w:oddHBand="1" w:evenHBand="0" w:firstRowFirstColumn="0" w:firstRowLastColumn="0" w:lastRowFirstColumn="0" w:lastRowLastColumn="0"/>
              <w:rPr>
                <w:sz w:val="24"/>
                <w:lang w:val="en-US"/>
              </w:rPr>
            </w:pPr>
            <w:r w:rsidRPr="00CC29F5">
              <w:rPr>
                <w:b/>
                <w:sz w:val="16"/>
                <w:szCs w:val="16"/>
                <w:lang w:val="en-US"/>
              </w:rPr>
              <w:t>N (%)</w:t>
            </w:r>
          </w:p>
        </w:tc>
        <w:tc>
          <w:tcPr>
            <w:tcW w:w="1417" w:type="dxa"/>
          </w:tcPr>
          <w:p w14:paraId="5BE95CAC" w14:textId="77777777" w:rsidR="004D4520" w:rsidRDefault="004D4520" w:rsidP="00F154A0">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b/>
                <w:sz w:val="16"/>
                <w:szCs w:val="16"/>
                <w:lang w:val="en-US"/>
              </w:rPr>
              <w:t>Relapse N (%)</w:t>
            </w:r>
          </w:p>
        </w:tc>
        <w:tc>
          <w:tcPr>
            <w:tcW w:w="1701" w:type="dxa"/>
          </w:tcPr>
          <w:p w14:paraId="22952A26" w14:textId="77777777" w:rsidR="004D4520" w:rsidRDefault="004D4520" w:rsidP="00F154A0">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sidRPr="00CC29F5">
              <w:rPr>
                <w:b/>
                <w:sz w:val="16"/>
                <w:szCs w:val="16"/>
                <w:lang w:val="en-US"/>
              </w:rPr>
              <w:t>Crude HRR</w:t>
            </w:r>
            <w:r>
              <w:rPr>
                <w:b/>
                <w:sz w:val="16"/>
                <w:szCs w:val="16"/>
                <w:lang w:val="en-US"/>
              </w:rPr>
              <w:t>*</w:t>
            </w:r>
            <w:r w:rsidRPr="00CC29F5">
              <w:rPr>
                <w:b/>
                <w:sz w:val="16"/>
                <w:szCs w:val="16"/>
                <w:lang w:val="en-US"/>
              </w:rPr>
              <w:t xml:space="preserve"> (95%-CI)</w:t>
            </w:r>
          </w:p>
        </w:tc>
        <w:tc>
          <w:tcPr>
            <w:tcW w:w="1985" w:type="dxa"/>
            <w:tcBorders>
              <w:right w:val="single" w:sz="4" w:space="0" w:color="auto"/>
            </w:tcBorders>
          </w:tcPr>
          <w:p w14:paraId="4F7EAA5A" w14:textId="77777777" w:rsidR="004D4520" w:rsidRDefault="004D4520" w:rsidP="00F154A0">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sidRPr="00CC29F5">
              <w:rPr>
                <w:b/>
                <w:sz w:val="16"/>
                <w:szCs w:val="16"/>
                <w:lang w:val="en-US"/>
              </w:rPr>
              <w:t>Adjusted HRR</w:t>
            </w:r>
            <w:r>
              <w:rPr>
                <w:b/>
                <w:sz w:val="16"/>
                <w:szCs w:val="16"/>
                <w:lang w:val="en-US"/>
              </w:rPr>
              <w:t>^</w:t>
            </w:r>
            <w:r w:rsidRPr="00CC29F5">
              <w:rPr>
                <w:b/>
                <w:sz w:val="16"/>
                <w:szCs w:val="16"/>
                <w:lang w:val="en-US"/>
              </w:rPr>
              <w:t xml:space="preserve"> (95%-CI)</w:t>
            </w:r>
          </w:p>
        </w:tc>
      </w:tr>
      <w:tr w:rsidR="00A412A7" w:rsidRPr="00DC1645" w14:paraId="2675D029" w14:textId="77777777" w:rsidTr="00F154A0">
        <w:tc>
          <w:tcPr>
            <w:cnfStyle w:val="001000000000" w:firstRow="0" w:lastRow="0" w:firstColumn="1" w:lastColumn="0" w:oddVBand="0" w:evenVBand="0" w:oddHBand="0" w:evenHBand="0" w:firstRowFirstColumn="0" w:firstRowLastColumn="0" w:lastRowFirstColumn="0" w:lastRowLastColumn="0"/>
            <w:tcW w:w="2581" w:type="dxa"/>
            <w:tcBorders>
              <w:right w:val="single" w:sz="4" w:space="0" w:color="auto"/>
            </w:tcBorders>
          </w:tcPr>
          <w:p w14:paraId="21C501ED" w14:textId="77777777" w:rsidR="00A412A7" w:rsidRPr="00031B51" w:rsidRDefault="00A412A7" w:rsidP="00A412A7">
            <w:pPr>
              <w:spacing w:line="360" w:lineRule="auto"/>
              <w:rPr>
                <w:sz w:val="14"/>
                <w:szCs w:val="14"/>
                <w:lang w:val="en-US"/>
              </w:rPr>
            </w:pPr>
            <w:r w:rsidRPr="009D53D9">
              <w:rPr>
                <w:sz w:val="17"/>
                <w:szCs w:val="17"/>
                <w:lang w:val="en-US"/>
              </w:rPr>
              <w:t>Eligible individuals</w:t>
            </w:r>
          </w:p>
        </w:tc>
        <w:tc>
          <w:tcPr>
            <w:tcW w:w="1276" w:type="dxa"/>
            <w:tcBorders>
              <w:left w:val="single" w:sz="4" w:space="0" w:color="auto"/>
            </w:tcBorders>
          </w:tcPr>
          <w:p w14:paraId="1DE79852" w14:textId="77777777" w:rsidR="00A412A7" w:rsidRPr="00DC1645" w:rsidRDefault="00A412A7" w:rsidP="00A412A7">
            <w:pPr>
              <w:spacing w:line="360" w:lineRule="auto"/>
              <w:jc w:val="center"/>
              <w:cnfStyle w:val="000000000000" w:firstRow="0" w:lastRow="0" w:firstColumn="0" w:lastColumn="0" w:oddVBand="0" w:evenVBand="0" w:oddHBand="0" w:evenHBand="0" w:firstRowFirstColumn="0" w:firstRowLastColumn="0" w:lastRowFirstColumn="0" w:lastRowLastColumn="0"/>
              <w:rPr>
                <w:sz w:val="14"/>
                <w:szCs w:val="14"/>
                <w:lang w:val="en-US"/>
              </w:rPr>
            </w:pPr>
            <w:r>
              <w:rPr>
                <w:sz w:val="14"/>
                <w:szCs w:val="14"/>
                <w:lang w:val="en-US"/>
              </w:rPr>
              <w:t>11,856 (100)</w:t>
            </w:r>
          </w:p>
        </w:tc>
        <w:tc>
          <w:tcPr>
            <w:tcW w:w="1417" w:type="dxa"/>
          </w:tcPr>
          <w:p w14:paraId="58CB569B" w14:textId="77777777" w:rsidR="00A412A7" w:rsidRPr="00DC1645" w:rsidRDefault="00A412A7" w:rsidP="00A412A7">
            <w:pPr>
              <w:spacing w:line="360" w:lineRule="auto"/>
              <w:jc w:val="center"/>
              <w:cnfStyle w:val="000000000000" w:firstRow="0" w:lastRow="0" w:firstColumn="0" w:lastColumn="0" w:oddVBand="0" w:evenVBand="0" w:oddHBand="0" w:evenHBand="0" w:firstRowFirstColumn="0" w:firstRowLastColumn="0" w:lastRowFirstColumn="0" w:lastRowLastColumn="0"/>
              <w:rPr>
                <w:sz w:val="14"/>
                <w:szCs w:val="14"/>
                <w:lang w:val="en-US"/>
              </w:rPr>
            </w:pPr>
            <w:r>
              <w:rPr>
                <w:sz w:val="14"/>
                <w:szCs w:val="14"/>
                <w:lang w:val="en-US"/>
              </w:rPr>
              <w:t>5,506 (46.4)</w:t>
            </w:r>
          </w:p>
        </w:tc>
        <w:tc>
          <w:tcPr>
            <w:tcW w:w="1701" w:type="dxa"/>
          </w:tcPr>
          <w:p w14:paraId="0BC669D4" w14:textId="77777777" w:rsidR="00A412A7" w:rsidRPr="00DC1645" w:rsidRDefault="00A412A7" w:rsidP="00A412A7">
            <w:pPr>
              <w:spacing w:line="360" w:lineRule="auto"/>
              <w:jc w:val="center"/>
              <w:cnfStyle w:val="000000000000" w:firstRow="0" w:lastRow="0" w:firstColumn="0" w:lastColumn="0" w:oddVBand="0" w:evenVBand="0" w:oddHBand="0" w:evenHBand="0" w:firstRowFirstColumn="0" w:firstRowLastColumn="0" w:lastRowFirstColumn="0" w:lastRowLastColumn="0"/>
              <w:rPr>
                <w:sz w:val="14"/>
                <w:szCs w:val="14"/>
                <w:lang w:val="en-US"/>
              </w:rPr>
            </w:pPr>
          </w:p>
        </w:tc>
        <w:tc>
          <w:tcPr>
            <w:tcW w:w="1985" w:type="dxa"/>
            <w:tcBorders>
              <w:right w:val="single" w:sz="4" w:space="0" w:color="auto"/>
            </w:tcBorders>
          </w:tcPr>
          <w:p w14:paraId="55D6A49C" w14:textId="77777777" w:rsidR="00A412A7" w:rsidRPr="00DC1645" w:rsidRDefault="00A412A7" w:rsidP="00A412A7">
            <w:pPr>
              <w:spacing w:line="360" w:lineRule="auto"/>
              <w:jc w:val="center"/>
              <w:cnfStyle w:val="000000000000" w:firstRow="0" w:lastRow="0" w:firstColumn="0" w:lastColumn="0" w:oddVBand="0" w:evenVBand="0" w:oddHBand="0" w:evenHBand="0" w:firstRowFirstColumn="0" w:firstRowLastColumn="0" w:lastRowFirstColumn="0" w:lastRowLastColumn="0"/>
              <w:rPr>
                <w:sz w:val="14"/>
                <w:szCs w:val="14"/>
                <w:lang w:val="en-US"/>
              </w:rPr>
            </w:pPr>
          </w:p>
        </w:tc>
      </w:tr>
      <w:tr w:rsidR="00A412A7" w:rsidRPr="00DC1645" w14:paraId="66F6266F" w14:textId="77777777" w:rsidTr="00F15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Borders>
              <w:right w:val="single" w:sz="4" w:space="0" w:color="auto"/>
            </w:tcBorders>
          </w:tcPr>
          <w:p w14:paraId="10BF866B" w14:textId="77777777" w:rsidR="00A412A7" w:rsidRPr="00031B51" w:rsidRDefault="00A412A7" w:rsidP="00A412A7">
            <w:pPr>
              <w:spacing w:line="360" w:lineRule="auto"/>
              <w:rPr>
                <w:sz w:val="14"/>
                <w:szCs w:val="14"/>
                <w:lang w:val="en-US"/>
              </w:rPr>
            </w:pPr>
            <w:r w:rsidRPr="004E4534">
              <w:rPr>
                <w:sz w:val="17"/>
                <w:szCs w:val="17"/>
                <w:lang w:val="en-US"/>
              </w:rPr>
              <w:t xml:space="preserve">No somatic </w:t>
            </w:r>
            <w:r>
              <w:rPr>
                <w:sz w:val="17"/>
                <w:szCs w:val="17"/>
                <w:lang w:val="en-US"/>
              </w:rPr>
              <w:t>hospital contact</w:t>
            </w:r>
          </w:p>
        </w:tc>
        <w:tc>
          <w:tcPr>
            <w:tcW w:w="1276" w:type="dxa"/>
            <w:tcBorders>
              <w:left w:val="single" w:sz="4" w:space="0" w:color="auto"/>
            </w:tcBorders>
          </w:tcPr>
          <w:p w14:paraId="1E948254" w14:textId="77777777" w:rsidR="00A412A7" w:rsidRPr="00DC1645"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544 (4.6)</w:t>
            </w:r>
          </w:p>
        </w:tc>
        <w:tc>
          <w:tcPr>
            <w:tcW w:w="1417" w:type="dxa"/>
          </w:tcPr>
          <w:p w14:paraId="4258809F"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220 (40.4)</w:t>
            </w:r>
          </w:p>
        </w:tc>
        <w:tc>
          <w:tcPr>
            <w:tcW w:w="1701" w:type="dxa"/>
          </w:tcPr>
          <w:p w14:paraId="584B1EC4" w14:textId="77777777" w:rsidR="00A412A7" w:rsidRPr="00DC1645"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1.00 (ref.)</w:t>
            </w:r>
          </w:p>
        </w:tc>
        <w:tc>
          <w:tcPr>
            <w:tcW w:w="1985" w:type="dxa"/>
            <w:tcBorders>
              <w:right w:val="single" w:sz="4" w:space="0" w:color="auto"/>
            </w:tcBorders>
          </w:tcPr>
          <w:p w14:paraId="54E81839" w14:textId="77777777" w:rsidR="00A412A7" w:rsidRPr="00DC1645"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1.00 (ref.)</w:t>
            </w:r>
          </w:p>
        </w:tc>
      </w:tr>
      <w:tr w:rsidR="00A412A7" w:rsidRPr="00DC1645" w14:paraId="0C7CA64F" w14:textId="77777777" w:rsidTr="00F154A0">
        <w:tc>
          <w:tcPr>
            <w:cnfStyle w:val="001000000000" w:firstRow="0" w:lastRow="0" w:firstColumn="1" w:lastColumn="0" w:oddVBand="0" w:evenVBand="0" w:oddHBand="0" w:evenHBand="0" w:firstRowFirstColumn="0" w:firstRowLastColumn="0" w:lastRowFirstColumn="0" w:lastRowLastColumn="0"/>
            <w:tcW w:w="2581" w:type="dxa"/>
            <w:tcBorders>
              <w:right w:val="single" w:sz="4" w:space="0" w:color="auto"/>
            </w:tcBorders>
          </w:tcPr>
          <w:p w14:paraId="0C2D6777" w14:textId="77777777" w:rsidR="00A412A7" w:rsidRPr="00031B51" w:rsidRDefault="00A412A7" w:rsidP="00A412A7">
            <w:pPr>
              <w:spacing w:line="360" w:lineRule="auto"/>
              <w:rPr>
                <w:sz w:val="14"/>
                <w:szCs w:val="14"/>
                <w:lang w:val="en-US"/>
              </w:rPr>
            </w:pPr>
            <w:r w:rsidRPr="004E4534">
              <w:rPr>
                <w:sz w:val="17"/>
                <w:szCs w:val="17"/>
                <w:lang w:val="en-US"/>
              </w:rPr>
              <w:t xml:space="preserve">Any somatic </w:t>
            </w:r>
            <w:r>
              <w:rPr>
                <w:sz w:val="17"/>
                <w:szCs w:val="17"/>
                <w:lang w:val="en-US"/>
              </w:rPr>
              <w:t>hospital contact</w:t>
            </w:r>
          </w:p>
        </w:tc>
        <w:tc>
          <w:tcPr>
            <w:tcW w:w="1276" w:type="dxa"/>
            <w:tcBorders>
              <w:left w:val="single" w:sz="4" w:space="0" w:color="auto"/>
            </w:tcBorders>
          </w:tcPr>
          <w:p w14:paraId="44E6EC5D" w14:textId="77777777" w:rsidR="00A412A7" w:rsidRPr="00DC1645" w:rsidRDefault="00A412A7" w:rsidP="00A412A7">
            <w:pPr>
              <w:spacing w:line="360" w:lineRule="auto"/>
              <w:jc w:val="center"/>
              <w:cnfStyle w:val="000000000000" w:firstRow="0" w:lastRow="0" w:firstColumn="0" w:lastColumn="0" w:oddVBand="0" w:evenVBand="0" w:oddHBand="0" w:evenHBand="0" w:firstRowFirstColumn="0" w:firstRowLastColumn="0" w:lastRowFirstColumn="0" w:lastRowLastColumn="0"/>
              <w:rPr>
                <w:sz w:val="14"/>
                <w:szCs w:val="14"/>
                <w:lang w:val="en-US"/>
              </w:rPr>
            </w:pPr>
            <w:r>
              <w:rPr>
                <w:sz w:val="14"/>
                <w:szCs w:val="14"/>
                <w:lang w:val="en-US"/>
              </w:rPr>
              <w:t>11,312 (95.4)</w:t>
            </w:r>
          </w:p>
        </w:tc>
        <w:tc>
          <w:tcPr>
            <w:tcW w:w="1417" w:type="dxa"/>
          </w:tcPr>
          <w:p w14:paraId="6A068519" w14:textId="77777777" w:rsidR="00A412A7" w:rsidRPr="00DC1645" w:rsidRDefault="00A412A7" w:rsidP="00A412A7">
            <w:pPr>
              <w:spacing w:line="360" w:lineRule="auto"/>
              <w:jc w:val="center"/>
              <w:cnfStyle w:val="000000000000" w:firstRow="0" w:lastRow="0" w:firstColumn="0" w:lastColumn="0" w:oddVBand="0" w:evenVBand="0" w:oddHBand="0" w:evenHBand="0" w:firstRowFirstColumn="0" w:firstRowLastColumn="0" w:lastRowFirstColumn="0" w:lastRowLastColumn="0"/>
              <w:rPr>
                <w:sz w:val="14"/>
                <w:szCs w:val="14"/>
                <w:lang w:val="en-US"/>
              </w:rPr>
            </w:pPr>
            <w:r>
              <w:rPr>
                <w:sz w:val="14"/>
                <w:szCs w:val="14"/>
                <w:lang w:val="en-US"/>
              </w:rPr>
              <w:t>5,286 (46.7)</w:t>
            </w:r>
          </w:p>
        </w:tc>
        <w:tc>
          <w:tcPr>
            <w:tcW w:w="1701" w:type="dxa"/>
          </w:tcPr>
          <w:p w14:paraId="172CFDB4" w14:textId="77777777" w:rsidR="00A412A7" w:rsidRPr="007F2A1C" w:rsidRDefault="00A412A7" w:rsidP="00A412A7">
            <w:pPr>
              <w:spacing w:line="360" w:lineRule="auto"/>
              <w:jc w:val="center"/>
              <w:cnfStyle w:val="000000000000" w:firstRow="0" w:lastRow="0" w:firstColumn="0" w:lastColumn="0" w:oddVBand="0" w:evenVBand="0" w:oddHBand="0" w:evenHBand="0" w:firstRowFirstColumn="0" w:firstRowLastColumn="0" w:lastRowFirstColumn="0" w:lastRowLastColumn="0"/>
              <w:rPr>
                <w:b/>
                <w:sz w:val="14"/>
                <w:szCs w:val="14"/>
                <w:lang w:val="en-US"/>
              </w:rPr>
            </w:pPr>
            <w:r>
              <w:rPr>
                <w:b/>
                <w:sz w:val="14"/>
                <w:szCs w:val="14"/>
                <w:lang w:val="en-US"/>
              </w:rPr>
              <w:t>1.22 (1.06; 1.39)</w:t>
            </w:r>
          </w:p>
        </w:tc>
        <w:tc>
          <w:tcPr>
            <w:tcW w:w="1985" w:type="dxa"/>
            <w:tcBorders>
              <w:right w:val="single" w:sz="4" w:space="0" w:color="auto"/>
            </w:tcBorders>
          </w:tcPr>
          <w:p w14:paraId="340DB244" w14:textId="77777777" w:rsidR="00A412A7" w:rsidRPr="00DC1645" w:rsidRDefault="00A412A7" w:rsidP="00A412A7">
            <w:pPr>
              <w:spacing w:line="360" w:lineRule="auto"/>
              <w:jc w:val="center"/>
              <w:cnfStyle w:val="000000000000" w:firstRow="0" w:lastRow="0" w:firstColumn="0" w:lastColumn="0" w:oddVBand="0" w:evenVBand="0" w:oddHBand="0" w:evenHBand="0" w:firstRowFirstColumn="0" w:firstRowLastColumn="0" w:lastRowFirstColumn="0" w:lastRowLastColumn="0"/>
              <w:rPr>
                <w:sz w:val="14"/>
                <w:szCs w:val="14"/>
                <w:lang w:val="en-US"/>
              </w:rPr>
            </w:pPr>
            <w:r>
              <w:rPr>
                <w:b/>
                <w:sz w:val="14"/>
                <w:szCs w:val="14"/>
                <w:lang w:val="en-US"/>
              </w:rPr>
              <w:t>1.30 (1.07; 1.59)</w:t>
            </w:r>
          </w:p>
        </w:tc>
      </w:tr>
      <w:tr w:rsidR="00A412A7" w:rsidRPr="00A412A7" w14:paraId="1B3F491B" w14:textId="77777777" w:rsidTr="00F15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Borders>
              <w:right w:val="single" w:sz="4" w:space="0" w:color="auto"/>
            </w:tcBorders>
          </w:tcPr>
          <w:p w14:paraId="2504E2BE" w14:textId="77777777" w:rsidR="00A412A7" w:rsidRPr="00031B51" w:rsidRDefault="00A412A7" w:rsidP="00A412A7">
            <w:pPr>
              <w:spacing w:line="360" w:lineRule="auto"/>
              <w:rPr>
                <w:sz w:val="14"/>
                <w:szCs w:val="14"/>
                <w:lang w:val="en-US"/>
              </w:rPr>
            </w:pPr>
            <w:r w:rsidRPr="00031B51">
              <w:rPr>
                <w:sz w:val="14"/>
                <w:szCs w:val="14"/>
                <w:lang w:val="en-US"/>
              </w:rPr>
              <w:t xml:space="preserve">No. </w:t>
            </w:r>
            <w:r>
              <w:rPr>
                <w:sz w:val="14"/>
                <w:szCs w:val="14"/>
                <w:lang w:val="en-US"/>
              </w:rPr>
              <w:t>different categories</w:t>
            </w:r>
            <w:r>
              <w:rPr>
                <w:sz w:val="14"/>
                <w:szCs w:val="14"/>
                <w:vertAlign w:val="superscript"/>
                <w:lang w:val="en-US"/>
              </w:rPr>
              <w:t>1</w:t>
            </w:r>
            <w:r w:rsidRPr="00031B51">
              <w:rPr>
                <w:sz w:val="14"/>
                <w:szCs w:val="14"/>
                <w:lang w:val="en-US"/>
              </w:rPr>
              <w:t>:</w:t>
            </w:r>
          </w:p>
          <w:p w14:paraId="477B55C9" w14:textId="77777777" w:rsidR="00A412A7" w:rsidRPr="00031B51" w:rsidRDefault="00A412A7" w:rsidP="00A412A7">
            <w:pPr>
              <w:spacing w:line="360" w:lineRule="auto"/>
              <w:rPr>
                <w:sz w:val="14"/>
                <w:szCs w:val="14"/>
                <w:lang w:val="en-US"/>
              </w:rPr>
            </w:pPr>
            <w:r>
              <w:rPr>
                <w:sz w:val="14"/>
                <w:szCs w:val="14"/>
                <w:lang w:val="en-US"/>
              </w:rPr>
              <w:t xml:space="preserve">   1</w:t>
            </w:r>
          </w:p>
          <w:p w14:paraId="6196D3CA" w14:textId="77777777" w:rsidR="00A412A7" w:rsidRDefault="00A412A7" w:rsidP="00A412A7">
            <w:pPr>
              <w:spacing w:line="360" w:lineRule="auto"/>
              <w:rPr>
                <w:sz w:val="14"/>
                <w:szCs w:val="14"/>
                <w:lang w:val="en-US"/>
              </w:rPr>
            </w:pPr>
            <w:r>
              <w:rPr>
                <w:sz w:val="14"/>
                <w:szCs w:val="14"/>
                <w:lang w:val="en-US"/>
              </w:rPr>
              <w:t xml:space="preserve">   2</w:t>
            </w:r>
          </w:p>
          <w:p w14:paraId="7247C911" w14:textId="77777777" w:rsidR="00A412A7" w:rsidRPr="00031B51" w:rsidRDefault="00A412A7" w:rsidP="00A412A7">
            <w:pPr>
              <w:spacing w:line="360" w:lineRule="auto"/>
              <w:rPr>
                <w:sz w:val="14"/>
                <w:szCs w:val="14"/>
                <w:lang w:val="en-US"/>
              </w:rPr>
            </w:pPr>
            <w:r>
              <w:rPr>
                <w:sz w:val="14"/>
                <w:szCs w:val="14"/>
                <w:lang w:val="en-US"/>
              </w:rPr>
              <w:t xml:space="preserve">   3</w:t>
            </w:r>
          </w:p>
          <w:p w14:paraId="46F98577" w14:textId="77777777" w:rsidR="00A412A7" w:rsidRDefault="00A412A7" w:rsidP="00A412A7">
            <w:pPr>
              <w:spacing w:line="360" w:lineRule="auto"/>
              <w:rPr>
                <w:sz w:val="14"/>
                <w:szCs w:val="14"/>
                <w:lang w:val="en-US"/>
              </w:rPr>
            </w:pPr>
            <w:r>
              <w:rPr>
                <w:sz w:val="14"/>
                <w:szCs w:val="14"/>
                <w:lang w:val="en-US"/>
              </w:rPr>
              <w:t xml:space="preserve">   4</w:t>
            </w:r>
          </w:p>
          <w:p w14:paraId="6D81FC78" w14:textId="77777777" w:rsidR="00A412A7" w:rsidRPr="00031B51" w:rsidRDefault="00A412A7" w:rsidP="00A412A7">
            <w:pPr>
              <w:spacing w:line="360" w:lineRule="auto"/>
              <w:rPr>
                <w:sz w:val="14"/>
                <w:szCs w:val="14"/>
                <w:lang w:val="en-US"/>
              </w:rPr>
            </w:pPr>
            <w:r>
              <w:rPr>
                <w:sz w:val="14"/>
                <w:szCs w:val="14"/>
                <w:lang w:val="en-US"/>
              </w:rPr>
              <w:t xml:space="preserve">   5</w:t>
            </w:r>
          </w:p>
          <w:p w14:paraId="2EBF8A6C" w14:textId="77777777" w:rsidR="00A412A7" w:rsidRPr="00031B51" w:rsidRDefault="00A412A7" w:rsidP="00A412A7">
            <w:pPr>
              <w:spacing w:line="360" w:lineRule="auto"/>
              <w:rPr>
                <w:sz w:val="14"/>
                <w:szCs w:val="14"/>
                <w:lang w:val="en-US"/>
              </w:rPr>
            </w:pPr>
            <w:r>
              <w:rPr>
                <w:sz w:val="14"/>
                <w:szCs w:val="14"/>
                <w:lang w:val="en-US"/>
              </w:rPr>
              <w:t xml:space="preserve">   6+</w:t>
            </w:r>
          </w:p>
        </w:tc>
        <w:tc>
          <w:tcPr>
            <w:tcW w:w="1276" w:type="dxa"/>
            <w:tcBorders>
              <w:left w:val="single" w:sz="4" w:space="0" w:color="auto"/>
            </w:tcBorders>
          </w:tcPr>
          <w:p w14:paraId="052E0A69"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p>
          <w:p w14:paraId="525201F6"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2,136 (18.0)</w:t>
            </w:r>
          </w:p>
          <w:p w14:paraId="2F220D77"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1,403 (11.8)</w:t>
            </w:r>
          </w:p>
          <w:p w14:paraId="486B5291"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812 (6.9)</w:t>
            </w:r>
          </w:p>
          <w:p w14:paraId="584B5154"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508 (4.3)</w:t>
            </w:r>
          </w:p>
          <w:p w14:paraId="5C7BD663"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320 (2.7)</w:t>
            </w:r>
          </w:p>
          <w:p w14:paraId="15DC69C3"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867 (7.3)</w:t>
            </w:r>
          </w:p>
        </w:tc>
        <w:tc>
          <w:tcPr>
            <w:tcW w:w="1417" w:type="dxa"/>
          </w:tcPr>
          <w:p w14:paraId="43D2107E"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b/>
                <w:sz w:val="14"/>
                <w:szCs w:val="14"/>
                <w:lang w:val="en-US"/>
              </w:rPr>
            </w:pPr>
          </w:p>
          <w:p w14:paraId="6CCF8385"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1,020 (47.8)</w:t>
            </w:r>
          </w:p>
          <w:p w14:paraId="6FF565AC"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705 (50.3)</w:t>
            </w:r>
          </w:p>
          <w:p w14:paraId="344A681A"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401 (49.4)</w:t>
            </w:r>
          </w:p>
          <w:p w14:paraId="25888796"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250 (49.2)</w:t>
            </w:r>
          </w:p>
          <w:p w14:paraId="01C64CAE"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188 (58.8)</w:t>
            </w:r>
          </w:p>
          <w:p w14:paraId="2F7851C1"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557 (64.2)</w:t>
            </w:r>
          </w:p>
        </w:tc>
        <w:tc>
          <w:tcPr>
            <w:tcW w:w="1701" w:type="dxa"/>
          </w:tcPr>
          <w:p w14:paraId="35E528D7"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p>
          <w:p w14:paraId="335C94C7" w14:textId="77777777" w:rsidR="00A412A7" w:rsidRPr="009841C0"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b/>
                <w:sz w:val="14"/>
                <w:szCs w:val="14"/>
                <w:vertAlign w:val="superscript"/>
                <w:lang w:val="en-US"/>
              </w:rPr>
            </w:pPr>
            <w:r>
              <w:rPr>
                <w:b/>
                <w:sz w:val="14"/>
                <w:szCs w:val="14"/>
                <w:lang w:val="en-US"/>
              </w:rPr>
              <w:t xml:space="preserve">1.19 (1.10; 1.28) </w:t>
            </w:r>
            <w:r>
              <w:rPr>
                <w:b/>
                <w:sz w:val="14"/>
                <w:szCs w:val="14"/>
                <w:vertAlign w:val="superscript"/>
                <w:lang w:val="en-US"/>
              </w:rPr>
              <w:t>2</w:t>
            </w:r>
          </w:p>
          <w:p w14:paraId="01C45383"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b/>
                <w:sz w:val="14"/>
                <w:szCs w:val="14"/>
                <w:lang w:val="en-US"/>
              </w:rPr>
            </w:pPr>
            <w:r>
              <w:rPr>
                <w:b/>
                <w:sz w:val="14"/>
                <w:szCs w:val="14"/>
                <w:lang w:val="en-US"/>
              </w:rPr>
              <w:t>1.27 (1.16; 1.38)</w:t>
            </w:r>
            <w:r>
              <w:rPr>
                <w:b/>
                <w:sz w:val="14"/>
                <w:szCs w:val="14"/>
                <w:vertAlign w:val="superscript"/>
                <w:lang w:val="en-US"/>
              </w:rPr>
              <w:t xml:space="preserve"> 2</w:t>
            </w:r>
          </w:p>
          <w:p w14:paraId="63C48B6D"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b/>
                <w:sz w:val="14"/>
                <w:szCs w:val="14"/>
                <w:lang w:val="en-US"/>
              </w:rPr>
            </w:pPr>
            <w:r>
              <w:rPr>
                <w:b/>
                <w:sz w:val="14"/>
                <w:szCs w:val="14"/>
                <w:lang w:val="en-US"/>
              </w:rPr>
              <w:t>1.24 (1.11; 1.38)</w:t>
            </w:r>
            <w:r>
              <w:rPr>
                <w:b/>
                <w:sz w:val="14"/>
                <w:szCs w:val="14"/>
                <w:vertAlign w:val="superscript"/>
                <w:lang w:val="en-US"/>
              </w:rPr>
              <w:t xml:space="preserve"> 2</w:t>
            </w:r>
          </w:p>
          <w:p w14:paraId="0625AF58"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b/>
                <w:sz w:val="14"/>
                <w:szCs w:val="14"/>
                <w:vertAlign w:val="superscript"/>
                <w:lang w:val="en-US"/>
              </w:rPr>
            </w:pPr>
            <w:r>
              <w:rPr>
                <w:b/>
                <w:sz w:val="14"/>
                <w:szCs w:val="14"/>
                <w:lang w:val="en-US"/>
              </w:rPr>
              <w:t>1.21 (1.06; 1.38)</w:t>
            </w:r>
            <w:r>
              <w:rPr>
                <w:b/>
                <w:sz w:val="14"/>
                <w:szCs w:val="14"/>
                <w:vertAlign w:val="superscript"/>
                <w:lang w:val="en-US"/>
              </w:rPr>
              <w:t xml:space="preserve"> 2</w:t>
            </w:r>
          </w:p>
          <w:p w14:paraId="6EC465CF"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b/>
                <w:sz w:val="14"/>
                <w:szCs w:val="14"/>
                <w:lang w:val="en-US"/>
              </w:rPr>
            </w:pPr>
            <w:r>
              <w:rPr>
                <w:b/>
                <w:sz w:val="14"/>
                <w:szCs w:val="14"/>
                <w:lang w:val="en-US"/>
              </w:rPr>
              <w:t xml:space="preserve">1.53 (1.32; 1.78) </w:t>
            </w:r>
            <w:r>
              <w:rPr>
                <w:b/>
                <w:sz w:val="14"/>
                <w:szCs w:val="14"/>
                <w:vertAlign w:val="superscript"/>
                <w:lang w:val="en-US"/>
              </w:rPr>
              <w:t>2</w:t>
            </w:r>
          </w:p>
          <w:p w14:paraId="7F82A1CB" w14:textId="77777777" w:rsidR="00A412A7" w:rsidRPr="00EF234A"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b/>
                <w:sz w:val="14"/>
                <w:szCs w:val="14"/>
                <w:lang w:val="en-US"/>
              </w:rPr>
            </w:pPr>
            <w:r>
              <w:rPr>
                <w:b/>
                <w:sz w:val="14"/>
                <w:szCs w:val="14"/>
                <w:lang w:val="en-US"/>
              </w:rPr>
              <w:t xml:space="preserve">1.75 (1.59; 1.92) </w:t>
            </w:r>
            <w:r>
              <w:rPr>
                <w:b/>
                <w:sz w:val="14"/>
                <w:szCs w:val="14"/>
                <w:vertAlign w:val="superscript"/>
                <w:lang w:val="en-US"/>
              </w:rPr>
              <w:t>2</w:t>
            </w:r>
          </w:p>
        </w:tc>
        <w:tc>
          <w:tcPr>
            <w:tcW w:w="1985" w:type="dxa"/>
            <w:tcBorders>
              <w:right w:val="single" w:sz="4" w:space="0" w:color="auto"/>
            </w:tcBorders>
          </w:tcPr>
          <w:p w14:paraId="5185E2A7"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p>
          <w:p w14:paraId="18550EE4"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b/>
                <w:sz w:val="14"/>
                <w:szCs w:val="14"/>
                <w:lang w:val="en-US"/>
              </w:rPr>
            </w:pPr>
            <w:r>
              <w:rPr>
                <w:b/>
                <w:sz w:val="14"/>
                <w:szCs w:val="14"/>
                <w:lang w:val="en-US"/>
              </w:rPr>
              <w:t>1.21 (1.12; 1.31)</w:t>
            </w:r>
            <w:r>
              <w:rPr>
                <w:b/>
                <w:sz w:val="14"/>
                <w:szCs w:val="14"/>
                <w:vertAlign w:val="superscript"/>
                <w:lang w:val="en-US"/>
              </w:rPr>
              <w:t>2</w:t>
            </w:r>
          </w:p>
          <w:p w14:paraId="1228FBBA"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b/>
                <w:sz w:val="14"/>
                <w:szCs w:val="14"/>
                <w:lang w:val="en-US"/>
              </w:rPr>
            </w:pPr>
            <w:r>
              <w:rPr>
                <w:b/>
                <w:sz w:val="14"/>
                <w:szCs w:val="14"/>
                <w:lang w:val="en-US"/>
              </w:rPr>
              <w:t>1.26 (1.16; 1.38)</w:t>
            </w:r>
            <w:r>
              <w:rPr>
                <w:b/>
                <w:sz w:val="14"/>
                <w:szCs w:val="14"/>
                <w:vertAlign w:val="superscript"/>
                <w:lang w:val="en-US"/>
              </w:rPr>
              <w:t>2</w:t>
            </w:r>
          </w:p>
          <w:p w14:paraId="494DB934"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b/>
                <w:sz w:val="14"/>
                <w:szCs w:val="14"/>
                <w:lang w:val="en-US"/>
              </w:rPr>
            </w:pPr>
            <w:r>
              <w:rPr>
                <w:b/>
                <w:sz w:val="14"/>
                <w:szCs w:val="14"/>
                <w:lang w:val="en-US"/>
              </w:rPr>
              <w:t>1.21 (1.08; 1.35)</w:t>
            </w:r>
            <w:r>
              <w:rPr>
                <w:b/>
                <w:sz w:val="14"/>
                <w:szCs w:val="14"/>
                <w:vertAlign w:val="superscript"/>
                <w:lang w:val="en-US"/>
              </w:rPr>
              <w:t>2</w:t>
            </w:r>
          </w:p>
          <w:p w14:paraId="45C6E74B"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b/>
                <w:sz w:val="14"/>
                <w:szCs w:val="14"/>
                <w:lang w:val="en-US"/>
              </w:rPr>
            </w:pPr>
            <w:r>
              <w:rPr>
                <w:b/>
                <w:sz w:val="14"/>
                <w:szCs w:val="14"/>
                <w:lang w:val="en-US"/>
              </w:rPr>
              <w:t>1.21 (1.05; 1.38)</w:t>
            </w:r>
            <w:r>
              <w:rPr>
                <w:b/>
                <w:sz w:val="14"/>
                <w:szCs w:val="14"/>
                <w:vertAlign w:val="superscript"/>
                <w:lang w:val="en-US"/>
              </w:rPr>
              <w:t>2</w:t>
            </w:r>
          </w:p>
          <w:p w14:paraId="7AA3F532"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b/>
                <w:sz w:val="14"/>
                <w:szCs w:val="14"/>
                <w:lang w:val="en-US"/>
              </w:rPr>
            </w:pPr>
            <w:r>
              <w:rPr>
                <w:b/>
                <w:sz w:val="14"/>
                <w:szCs w:val="14"/>
                <w:lang w:val="en-US"/>
              </w:rPr>
              <w:t>1.49 (1.28; 1.75)</w:t>
            </w:r>
            <w:r>
              <w:rPr>
                <w:b/>
                <w:sz w:val="14"/>
                <w:szCs w:val="14"/>
                <w:vertAlign w:val="superscript"/>
                <w:lang w:val="en-US"/>
              </w:rPr>
              <w:t>2</w:t>
            </w:r>
          </w:p>
          <w:p w14:paraId="7F026DE8"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b/>
                <w:sz w:val="14"/>
                <w:szCs w:val="14"/>
                <w:lang w:val="en-US"/>
              </w:rPr>
            </w:pPr>
            <w:r>
              <w:rPr>
                <w:b/>
                <w:sz w:val="14"/>
                <w:szCs w:val="14"/>
                <w:lang w:val="en-US"/>
              </w:rPr>
              <w:t>1.66 (1.50; 1.84)</w:t>
            </w:r>
            <w:r>
              <w:rPr>
                <w:b/>
                <w:sz w:val="14"/>
                <w:szCs w:val="14"/>
                <w:vertAlign w:val="superscript"/>
                <w:lang w:val="en-US"/>
              </w:rPr>
              <w:t>2</w:t>
            </w:r>
          </w:p>
        </w:tc>
      </w:tr>
      <w:tr w:rsidR="00A412A7" w:rsidRPr="00EE5FE2" w14:paraId="29D821C3" w14:textId="77777777" w:rsidTr="00F154A0">
        <w:tc>
          <w:tcPr>
            <w:cnfStyle w:val="001000000000" w:firstRow="0" w:lastRow="0" w:firstColumn="1" w:lastColumn="0" w:oddVBand="0" w:evenVBand="0" w:oddHBand="0" w:evenHBand="0" w:firstRowFirstColumn="0" w:firstRowLastColumn="0" w:lastRowFirstColumn="0" w:lastRowLastColumn="0"/>
            <w:tcW w:w="8960" w:type="dxa"/>
            <w:gridSpan w:val="5"/>
            <w:tcBorders>
              <w:right w:val="single" w:sz="4" w:space="0" w:color="auto"/>
            </w:tcBorders>
          </w:tcPr>
          <w:p w14:paraId="65E452F8" w14:textId="77777777" w:rsidR="00A412A7" w:rsidRDefault="00A412A7" w:rsidP="00A412A7">
            <w:pPr>
              <w:spacing w:line="360" w:lineRule="auto"/>
              <w:jc w:val="center"/>
              <w:rPr>
                <w:sz w:val="24"/>
                <w:lang w:val="en-US"/>
              </w:rPr>
            </w:pPr>
            <w:r w:rsidRPr="002E1A58">
              <w:rPr>
                <w:sz w:val="24"/>
                <w:lang w:val="en-US"/>
              </w:rPr>
              <w:t xml:space="preserve">Any somatic medication prescription within the year </w:t>
            </w:r>
          </w:p>
          <w:p w14:paraId="034FDCD9" w14:textId="77777777" w:rsidR="00A412A7" w:rsidRDefault="00A412A7" w:rsidP="00A412A7">
            <w:pPr>
              <w:spacing w:line="360" w:lineRule="auto"/>
              <w:jc w:val="center"/>
              <w:rPr>
                <w:sz w:val="14"/>
                <w:szCs w:val="14"/>
                <w:lang w:val="en-US"/>
              </w:rPr>
            </w:pPr>
            <w:r w:rsidRPr="002E1A58">
              <w:rPr>
                <w:sz w:val="24"/>
                <w:lang w:val="en-US"/>
              </w:rPr>
              <w:t>prior to first-time schizophrenia diagnosis</w:t>
            </w:r>
          </w:p>
        </w:tc>
      </w:tr>
      <w:tr w:rsidR="00A412A7" w:rsidRPr="00DC1645" w14:paraId="4A9A84FD" w14:textId="77777777" w:rsidTr="00F15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Borders>
              <w:right w:val="single" w:sz="4" w:space="0" w:color="auto"/>
            </w:tcBorders>
          </w:tcPr>
          <w:p w14:paraId="639400C5" w14:textId="77777777" w:rsidR="00A412A7" w:rsidRPr="00031B51" w:rsidRDefault="00A412A7" w:rsidP="00A412A7">
            <w:pPr>
              <w:spacing w:line="360" w:lineRule="auto"/>
              <w:rPr>
                <w:sz w:val="14"/>
                <w:szCs w:val="14"/>
                <w:lang w:val="en-US"/>
              </w:rPr>
            </w:pPr>
          </w:p>
        </w:tc>
        <w:tc>
          <w:tcPr>
            <w:tcW w:w="1276" w:type="dxa"/>
            <w:tcBorders>
              <w:left w:val="single" w:sz="4" w:space="0" w:color="auto"/>
            </w:tcBorders>
          </w:tcPr>
          <w:p w14:paraId="3FEE689F" w14:textId="77777777" w:rsidR="00A412A7" w:rsidRPr="0004512D"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b/>
                <w:sz w:val="24"/>
                <w:lang w:val="en-US"/>
              </w:rPr>
            </w:pPr>
            <w:r w:rsidRPr="00CC29F5">
              <w:rPr>
                <w:b/>
                <w:sz w:val="16"/>
                <w:szCs w:val="16"/>
                <w:lang w:val="en-US"/>
              </w:rPr>
              <w:t>N (%)</w:t>
            </w:r>
          </w:p>
        </w:tc>
        <w:tc>
          <w:tcPr>
            <w:tcW w:w="1417" w:type="dxa"/>
          </w:tcPr>
          <w:p w14:paraId="38307A8C"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b/>
                <w:sz w:val="14"/>
                <w:szCs w:val="14"/>
                <w:lang w:val="en-US"/>
              </w:rPr>
            </w:pPr>
            <w:r>
              <w:rPr>
                <w:b/>
                <w:sz w:val="16"/>
                <w:szCs w:val="16"/>
                <w:lang w:val="en-US"/>
              </w:rPr>
              <w:t>Relapse N (%)</w:t>
            </w:r>
          </w:p>
        </w:tc>
        <w:tc>
          <w:tcPr>
            <w:tcW w:w="1701" w:type="dxa"/>
          </w:tcPr>
          <w:p w14:paraId="36DA1E15"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sidRPr="00CC29F5">
              <w:rPr>
                <w:b/>
                <w:sz w:val="16"/>
                <w:szCs w:val="16"/>
                <w:lang w:val="en-US"/>
              </w:rPr>
              <w:t>Crude HRR</w:t>
            </w:r>
            <w:r>
              <w:rPr>
                <w:b/>
                <w:sz w:val="16"/>
                <w:szCs w:val="16"/>
                <w:lang w:val="en-US"/>
              </w:rPr>
              <w:t>*</w:t>
            </w:r>
            <w:r w:rsidRPr="00CC29F5">
              <w:rPr>
                <w:b/>
                <w:sz w:val="16"/>
                <w:szCs w:val="16"/>
                <w:lang w:val="en-US"/>
              </w:rPr>
              <w:t xml:space="preserve"> (95%-CI)</w:t>
            </w:r>
          </w:p>
        </w:tc>
        <w:tc>
          <w:tcPr>
            <w:tcW w:w="1985" w:type="dxa"/>
            <w:tcBorders>
              <w:right w:val="single" w:sz="4" w:space="0" w:color="auto"/>
            </w:tcBorders>
          </w:tcPr>
          <w:p w14:paraId="68C0E192" w14:textId="77777777" w:rsidR="00A412A7" w:rsidRDefault="00A412A7" w:rsidP="00A412A7">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sidRPr="00CC29F5">
              <w:rPr>
                <w:b/>
                <w:sz w:val="16"/>
                <w:szCs w:val="16"/>
                <w:lang w:val="en-US"/>
              </w:rPr>
              <w:t>Adjusted HRR</w:t>
            </w:r>
            <w:r>
              <w:rPr>
                <w:b/>
                <w:sz w:val="16"/>
                <w:szCs w:val="16"/>
                <w:lang w:val="en-US"/>
              </w:rPr>
              <w:t>^</w:t>
            </w:r>
            <w:r w:rsidRPr="00CC29F5">
              <w:rPr>
                <w:b/>
                <w:sz w:val="16"/>
                <w:szCs w:val="16"/>
                <w:lang w:val="en-US"/>
              </w:rPr>
              <w:t xml:space="preserve"> (95%-CI)</w:t>
            </w:r>
          </w:p>
        </w:tc>
      </w:tr>
      <w:tr w:rsidR="00FA7BD2" w:rsidRPr="00DC1645" w14:paraId="2D63E840" w14:textId="77777777" w:rsidTr="00F154A0">
        <w:tc>
          <w:tcPr>
            <w:cnfStyle w:val="001000000000" w:firstRow="0" w:lastRow="0" w:firstColumn="1" w:lastColumn="0" w:oddVBand="0" w:evenVBand="0" w:oddHBand="0" w:evenHBand="0" w:firstRowFirstColumn="0" w:firstRowLastColumn="0" w:lastRowFirstColumn="0" w:lastRowLastColumn="0"/>
            <w:tcW w:w="2581" w:type="dxa"/>
            <w:tcBorders>
              <w:right w:val="single" w:sz="4" w:space="0" w:color="auto"/>
            </w:tcBorders>
          </w:tcPr>
          <w:p w14:paraId="24ECCDC8" w14:textId="77777777" w:rsidR="00FA7BD2" w:rsidRPr="00031B51" w:rsidRDefault="00FA7BD2" w:rsidP="00FA7BD2">
            <w:pPr>
              <w:spacing w:line="360" w:lineRule="auto"/>
              <w:rPr>
                <w:sz w:val="14"/>
                <w:szCs w:val="14"/>
                <w:lang w:val="en-US"/>
              </w:rPr>
            </w:pPr>
            <w:r w:rsidRPr="009D53D9">
              <w:rPr>
                <w:sz w:val="17"/>
                <w:szCs w:val="17"/>
                <w:lang w:val="en-US"/>
              </w:rPr>
              <w:t>Eligible individuals</w:t>
            </w:r>
          </w:p>
        </w:tc>
        <w:tc>
          <w:tcPr>
            <w:tcW w:w="1276" w:type="dxa"/>
            <w:tcBorders>
              <w:left w:val="single" w:sz="4" w:space="0" w:color="auto"/>
            </w:tcBorders>
          </w:tcPr>
          <w:p w14:paraId="2B9F2C67" w14:textId="77777777" w:rsidR="00FA7BD2" w:rsidRDefault="00FA7BD2" w:rsidP="00FA7BD2">
            <w:pPr>
              <w:spacing w:after="20"/>
              <w:jc w:val="center"/>
              <w:cnfStyle w:val="000000000000" w:firstRow="0" w:lastRow="0" w:firstColumn="0" w:lastColumn="0" w:oddVBand="0" w:evenVBand="0" w:oddHBand="0" w:evenHBand="0" w:firstRowFirstColumn="0" w:firstRowLastColumn="0" w:lastRowFirstColumn="0" w:lastRowLastColumn="0"/>
              <w:rPr>
                <w:sz w:val="14"/>
                <w:szCs w:val="14"/>
                <w:lang w:val="en-US"/>
              </w:rPr>
            </w:pPr>
            <w:r>
              <w:rPr>
                <w:sz w:val="14"/>
                <w:szCs w:val="14"/>
                <w:lang w:val="en-US"/>
              </w:rPr>
              <w:t>11,856 (100)</w:t>
            </w:r>
          </w:p>
        </w:tc>
        <w:tc>
          <w:tcPr>
            <w:tcW w:w="1417" w:type="dxa"/>
          </w:tcPr>
          <w:p w14:paraId="14772E7B" w14:textId="77777777" w:rsidR="00FA7BD2" w:rsidRDefault="00FA7BD2" w:rsidP="00FA7BD2">
            <w:pPr>
              <w:spacing w:after="20"/>
              <w:jc w:val="center"/>
              <w:cnfStyle w:val="000000000000" w:firstRow="0" w:lastRow="0" w:firstColumn="0" w:lastColumn="0" w:oddVBand="0" w:evenVBand="0" w:oddHBand="0" w:evenHBand="0" w:firstRowFirstColumn="0" w:firstRowLastColumn="0" w:lastRowFirstColumn="0" w:lastRowLastColumn="0"/>
              <w:rPr>
                <w:sz w:val="14"/>
                <w:szCs w:val="14"/>
                <w:lang w:val="en-US"/>
              </w:rPr>
            </w:pPr>
            <w:r>
              <w:rPr>
                <w:sz w:val="14"/>
                <w:szCs w:val="14"/>
                <w:lang w:val="en-US"/>
              </w:rPr>
              <w:t>5,506 (46.4)</w:t>
            </w:r>
          </w:p>
        </w:tc>
        <w:tc>
          <w:tcPr>
            <w:tcW w:w="1701" w:type="dxa"/>
          </w:tcPr>
          <w:p w14:paraId="3B3EEDF7" w14:textId="77777777" w:rsidR="00FA7BD2" w:rsidRPr="00CC29F5" w:rsidRDefault="00FA7BD2" w:rsidP="00FA7BD2">
            <w:pPr>
              <w:spacing w:line="360" w:lineRule="auto"/>
              <w:jc w:val="center"/>
              <w:cnfStyle w:val="000000000000" w:firstRow="0" w:lastRow="0" w:firstColumn="0" w:lastColumn="0" w:oddVBand="0" w:evenVBand="0" w:oddHBand="0" w:evenHBand="0" w:firstRowFirstColumn="0" w:firstRowLastColumn="0" w:lastRowFirstColumn="0" w:lastRowLastColumn="0"/>
              <w:rPr>
                <w:b/>
                <w:sz w:val="16"/>
                <w:szCs w:val="16"/>
                <w:lang w:val="en-US"/>
              </w:rPr>
            </w:pPr>
          </w:p>
        </w:tc>
        <w:tc>
          <w:tcPr>
            <w:tcW w:w="1985" w:type="dxa"/>
            <w:tcBorders>
              <w:right w:val="single" w:sz="4" w:space="0" w:color="auto"/>
            </w:tcBorders>
          </w:tcPr>
          <w:p w14:paraId="783BE8EE" w14:textId="77777777" w:rsidR="00FA7BD2" w:rsidRPr="00CC29F5" w:rsidRDefault="00FA7BD2" w:rsidP="00FA7BD2">
            <w:pPr>
              <w:spacing w:line="360" w:lineRule="auto"/>
              <w:jc w:val="center"/>
              <w:cnfStyle w:val="000000000000" w:firstRow="0" w:lastRow="0" w:firstColumn="0" w:lastColumn="0" w:oddVBand="0" w:evenVBand="0" w:oddHBand="0" w:evenHBand="0" w:firstRowFirstColumn="0" w:firstRowLastColumn="0" w:lastRowFirstColumn="0" w:lastRowLastColumn="0"/>
              <w:rPr>
                <w:b/>
                <w:sz w:val="16"/>
                <w:szCs w:val="16"/>
                <w:lang w:val="en-US"/>
              </w:rPr>
            </w:pPr>
          </w:p>
        </w:tc>
      </w:tr>
      <w:tr w:rsidR="00FA7BD2" w:rsidRPr="00DC1645" w14:paraId="0C6BE587" w14:textId="77777777" w:rsidTr="00F15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Borders>
              <w:right w:val="single" w:sz="4" w:space="0" w:color="auto"/>
            </w:tcBorders>
          </w:tcPr>
          <w:p w14:paraId="6CD1A767" w14:textId="77777777" w:rsidR="00FA7BD2" w:rsidRPr="009D53D9" w:rsidRDefault="00FA7BD2" w:rsidP="00FA7BD2">
            <w:pPr>
              <w:spacing w:line="360" w:lineRule="auto"/>
              <w:rPr>
                <w:sz w:val="17"/>
                <w:szCs w:val="17"/>
                <w:lang w:val="en-US"/>
              </w:rPr>
            </w:pPr>
            <w:r w:rsidRPr="004E4534">
              <w:rPr>
                <w:sz w:val="17"/>
                <w:szCs w:val="17"/>
                <w:lang w:val="en-US"/>
              </w:rPr>
              <w:t xml:space="preserve">No </w:t>
            </w:r>
            <w:r>
              <w:rPr>
                <w:sz w:val="17"/>
                <w:szCs w:val="17"/>
                <w:lang w:val="en-US"/>
              </w:rPr>
              <w:t>prescription</w:t>
            </w:r>
          </w:p>
        </w:tc>
        <w:tc>
          <w:tcPr>
            <w:tcW w:w="1276" w:type="dxa"/>
            <w:tcBorders>
              <w:left w:val="single" w:sz="4" w:space="0" w:color="auto"/>
            </w:tcBorders>
          </w:tcPr>
          <w:p w14:paraId="4210178C" w14:textId="77777777" w:rsidR="00FA7BD2" w:rsidRDefault="00FA7BD2" w:rsidP="00FA7BD2">
            <w:pPr>
              <w:spacing w:after="20"/>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4,613 (38.9)</w:t>
            </w:r>
          </w:p>
        </w:tc>
        <w:tc>
          <w:tcPr>
            <w:tcW w:w="1417" w:type="dxa"/>
          </w:tcPr>
          <w:p w14:paraId="7E643CE2" w14:textId="77777777" w:rsidR="00FA7BD2" w:rsidRDefault="00FA7BD2" w:rsidP="00FA7BD2">
            <w:pPr>
              <w:spacing w:after="20"/>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2,155 (46.7)</w:t>
            </w:r>
          </w:p>
        </w:tc>
        <w:tc>
          <w:tcPr>
            <w:tcW w:w="1701" w:type="dxa"/>
          </w:tcPr>
          <w:p w14:paraId="6680A0F0" w14:textId="77777777" w:rsidR="00FA7BD2" w:rsidRDefault="00FA7BD2" w:rsidP="00FA7BD2">
            <w:pPr>
              <w:spacing w:after="20"/>
              <w:jc w:val="center"/>
              <w:cnfStyle w:val="000000100000" w:firstRow="0" w:lastRow="0" w:firstColumn="0" w:lastColumn="0" w:oddVBand="0" w:evenVBand="0" w:oddHBand="1" w:evenHBand="0" w:firstRowFirstColumn="0" w:firstRowLastColumn="0" w:lastRowFirstColumn="0" w:lastRowLastColumn="0"/>
              <w:rPr>
                <w:b/>
                <w:sz w:val="14"/>
                <w:szCs w:val="14"/>
                <w:lang w:val="en-US"/>
              </w:rPr>
            </w:pPr>
            <w:r>
              <w:rPr>
                <w:sz w:val="14"/>
                <w:szCs w:val="14"/>
                <w:lang w:val="en-US"/>
              </w:rPr>
              <w:t>1.00 (ref.)</w:t>
            </w:r>
          </w:p>
        </w:tc>
        <w:tc>
          <w:tcPr>
            <w:tcW w:w="1985" w:type="dxa"/>
            <w:tcBorders>
              <w:right w:val="single" w:sz="4" w:space="0" w:color="auto"/>
            </w:tcBorders>
          </w:tcPr>
          <w:p w14:paraId="6FAAF452" w14:textId="77777777" w:rsidR="00FA7BD2" w:rsidRDefault="00FA7BD2" w:rsidP="00FA7BD2">
            <w:pPr>
              <w:spacing w:after="20"/>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1.00 (ref.)</w:t>
            </w:r>
          </w:p>
        </w:tc>
      </w:tr>
      <w:tr w:rsidR="00FA7BD2" w:rsidRPr="00DC1645" w14:paraId="5D555A68" w14:textId="77777777" w:rsidTr="00F154A0">
        <w:tc>
          <w:tcPr>
            <w:cnfStyle w:val="001000000000" w:firstRow="0" w:lastRow="0" w:firstColumn="1" w:lastColumn="0" w:oddVBand="0" w:evenVBand="0" w:oddHBand="0" w:evenHBand="0" w:firstRowFirstColumn="0" w:firstRowLastColumn="0" w:lastRowFirstColumn="0" w:lastRowLastColumn="0"/>
            <w:tcW w:w="2581" w:type="dxa"/>
            <w:tcBorders>
              <w:right w:val="single" w:sz="4" w:space="0" w:color="auto"/>
            </w:tcBorders>
          </w:tcPr>
          <w:p w14:paraId="225129B6" w14:textId="77777777" w:rsidR="00FA7BD2" w:rsidRPr="004E4534" w:rsidRDefault="00FA7BD2" w:rsidP="00FA7BD2">
            <w:pPr>
              <w:spacing w:line="360" w:lineRule="auto"/>
              <w:rPr>
                <w:sz w:val="17"/>
                <w:szCs w:val="17"/>
                <w:lang w:val="en-US"/>
              </w:rPr>
            </w:pPr>
            <w:r w:rsidRPr="004E4534">
              <w:rPr>
                <w:sz w:val="17"/>
                <w:szCs w:val="17"/>
                <w:lang w:val="en-US"/>
              </w:rPr>
              <w:t xml:space="preserve">Any </w:t>
            </w:r>
            <w:r>
              <w:rPr>
                <w:sz w:val="17"/>
                <w:szCs w:val="17"/>
                <w:lang w:val="en-US"/>
              </w:rPr>
              <w:t>prescription</w:t>
            </w:r>
            <w:r w:rsidRPr="004E4534">
              <w:rPr>
                <w:sz w:val="17"/>
                <w:szCs w:val="17"/>
                <w:lang w:val="en-US"/>
              </w:rPr>
              <w:t xml:space="preserve"> </w:t>
            </w:r>
          </w:p>
        </w:tc>
        <w:tc>
          <w:tcPr>
            <w:tcW w:w="1276" w:type="dxa"/>
            <w:tcBorders>
              <w:left w:val="single" w:sz="4" w:space="0" w:color="auto"/>
            </w:tcBorders>
          </w:tcPr>
          <w:p w14:paraId="1EB9F167" w14:textId="77777777" w:rsidR="00FA7BD2" w:rsidRDefault="00FA7BD2" w:rsidP="00FA7BD2">
            <w:pPr>
              <w:spacing w:after="20"/>
              <w:jc w:val="center"/>
              <w:cnfStyle w:val="000000000000" w:firstRow="0" w:lastRow="0" w:firstColumn="0" w:lastColumn="0" w:oddVBand="0" w:evenVBand="0" w:oddHBand="0" w:evenHBand="0" w:firstRowFirstColumn="0" w:firstRowLastColumn="0" w:lastRowFirstColumn="0" w:lastRowLastColumn="0"/>
              <w:rPr>
                <w:sz w:val="14"/>
                <w:szCs w:val="14"/>
                <w:lang w:val="en-US"/>
              </w:rPr>
            </w:pPr>
            <w:r>
              <w:rPr>
                <w:sz w:val="14"/>
                <w:szCs w:val="14"/>
                <w:lang w:val="en-US"/>
              </w:rPr>
              <w:t>7,243 (61.1)</w:t>
            </w:r>
          </w:p>
        </w:tc>
        <w:tc>
          <w:tcPr>
            <w:tcW w:w="1417" w:type="dxa"/>
          </w:tcPr>
          <w:p w14:paraId="5E6EBE6E" w14:textId="77777777" w:rsidR="00FA7BD2" w:rsidRDefault="00FA7BD2" w:rsidP="00FA7BD2">
            <w:pPr>
              <w:spacing w:after="20"/>
              <w:jc w:val="center"/>
              <w:cnfStyle w:val="000000000000" w:firstRow="0" w:lastRow="0" w:firstColumn="0" w:lastColumn="0" w:oddVBand="0" w:evenVBand="0" w:oddHBand="0" w:evenHBand="0" w:firstRowFirstColumn="0" w:firstRowLastColumn="0" w:lastRowFirstColumn="0" w:lastRowLastColumn="0"/>
              <w:rPr>
                <w:sz w:val="14"/>
                <w:szCs w:val="14"/>
                <w:lang w:val="en-US"/>
              </w:rPr>
            </w:pPr>
            <w:r>
              <w:rPr>
                <w:sz w:val="14"/>
                <w:szCs w:val="14"/>
                <w:lang w:val="en-US"/>
              </w:rPr>
              <w:t>3,351 (46.3)</w:t>
            </w:r>
          </w:p>
        </w:tc>
        <w:tc>
          <w:tcPr>
            <w:tcW w:w="1701" w:type="dxa"/>
          </w:tcPr>
          <w:p w14:paraId="598C5CC6" w14:textId="77777777" w:rsidR="00FA7BD2" w:rsidRDefault="00FA7BD2" w:rsidP="00FA7BD2">
            <w:pPr>
              <w:spacing w:after="20"/>
              <w:jc w:val="center"/>
              <w:cnfStyle w:val="000000000000" w:firstRow="0" w:lastRow="0" w:firstColumn="0" w:lastColumn="0" w:oddVBand="0" w:evenVBand="0" w:oddHBand="0" w:evenHBand="0" w:firstRowFirstColumn="0" w:firstRowLastColumn="0" w:lastRowFirstColumn="0" w:lastRowLastColumn="0"/>
              <w:rPr>
                <w:b/>
                <w:sz w:val="14"/>
                <w:szCs w:val="14"/>
                <w:lang w:val="en-US"/>
              </w:rPr>
            </w:pPr>
            <w:r>
              <w:rPr>
                <w:b/>
                <w:sz w:val="14"/>
                <w:szCs w:val="14"/>
                <w:lang w:val="en-US"/>
              </w:rPr>
              <w:t>0.92 (0.88; 0.98)</w:t>
            </w:r>
          </w:p>
        </w:tc>
        <w:tc>
          <w:tcPr>
            <w:tcW w:w="1985" w:type="dxa"/>
            <w:tcBorders>
              <w:right w:val="single" w:sz="4" w:space="0" w:color="auto"/>
            </w:tcBorders>
          </w:tcPr>
          <w:p w14:paraId="78CFF776" w14:textId="77777777" w:rsidR="00FA7BD2" w:rsidRPr="00F77F73" w:rsidRDefault="00FA7BD2" w:rsidP="00FA7BD2">
            <w:pPr>
              <w:spacing w:after="20"/>
              <w:jc w:val="center"/>
              <w:cnfStyle w:val="000000000000" w:firstRow="0" w:lastRow="0" w:firstColumn="0" w:lastColumn="0" w:oddVBand="0" w:evenVBand="0" w:oddHBand="0" w:evenHBand="0" w:firstRowFirstColumn="0" w:firstRowLastColumn="0" w:lastRowFirstColumn="0" w:lastRowLastColumn="0"/>
              <w:rPr>
                <w:sz w:val="14"/>
                <w:szCs w:val="14"/>
                <w:lang w:val="en-US"/>
              </w:rPr>
            </w:pPr>
            <w:r>
              <w:rPr>
                <w:sz w:val="14"/>
                <w:szCs w:val="14"/>
                <w:lang w:val="en-US"/>
              </w:rPr>
              <w:t>0.96 (0.90; 1.02)</w:t>
            </w:r>
          </w:p>
        </w:tc>
      </w:tr>
      <w:tr w:rsidR="00FA7BD2" w:rsidRPr="00A90C3B" w14:paraId="262FC62B" w14:textId="77777777" w:rsidTr="00F15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Borders>
              <w:right w:val="single" w:sz="4" w:space="0" w:color="auto"/>
            </w:tcBorders>
          </w:tcPr>
          <w:p w14:paraId="2E7A4164" w14:textId="77777777" w:rsidR="00FA7BD2" w:rsidRPr="00031B51" w:rsidRDefault="00FA7BD2" w:rsidP="00FA7BD2">
            <w:pPr>
              <w:spacing w:line="360" w:lineRule="auto"/>
              <w:rPr>
                <w:sz w:val="14"/>
                <w:szCs w:val="14"/>
                <w:lang w:val="en-US"/>
              </w:rPr>
            </w:pPr>
            <w:r w:rsidRPr="00031B51">
              <w:rPr>
                <w:sz w:val="14"/>
                <w:szCs w:val="14"/>
                <w:lang w:val="en-US"/>
              </w:rPr>
              <w:t xml:space="preserve">No. </w:t>
            </w:r>
            <w:r>
              <w:rPr>
                <w:sz w:val="14"/>
                <w:szCs w:val="14"/>
                <w:lang w:val="en-US"/>
              </w:rPr>
              <w:t>different prescriptions</w:t>
            </w:r>
            <w:r w:rsidRPr="00031B51">
              <w:rPr>
                <w:sz w:val="14"/>
                <w:szCs w:val="14"/>
                <w:lang w:val="en-US"/>
              </w:rPr>
              <w:t>:</w:t>
            </w:r>
          </w:p>
          <w:p w14:paraId="232B6B9A" w14:textId="77777777" w:rsidR="00FA7BD2" w:rsidRPr="00031B51" w:rsidRDefault="00FA7BD2" w:rsidP="00FA7BD2">
            <w:pPr>
              <w:spacing w:line="360" w:lineRule="auto"/>
              <w:rPr>
                <w:sz w:val="14"/>
                <w:szCs w:val="14"/>
                <w:lang w:val="en-US"/>
              </w:rPr>
            </w:pPr>
            <w:r>
              <w:rPr>
                <w:sz w:val="14"/>
                <w:szCs w:val="14"/>
                <w:lang w:val="en-US"/>
              </w:rPr>
              <w:t xml:space="preserve">   1</w:t>
            </w:r>
          </w:p>
          <w:p w14:paraId="53CBB75B" w14:textId="77777777" w:rsidR="00FA7BD2" w:rsidRDefault="00FA7BD2" w:rsidP="00FA7BD2">
            <w:pPr>
              <w:spacing w:line="360" w:lineRule="auto"/>
              <w:rPr>
                <w:sz w:val="14"/>
                <w:szCs w:val="14"/>
                <w:lang w:val="en-US"/>
              </w:rPr>
            </w:pPr>
            <w:r>
              <w:rPr>
                <w:sz w:val="14"/>
                <w:szCs w:val="14"/>
                <w:lang w:val="en-US"/>
              </w:rPr>
              <w:t xml:space="preserve">   2</w:t>
            </w:r>
          </w:p>
          <w:p w14:paraId="4945F1AE" w14:textId="77777777" w:rsidR="00FA7BD2" w:rsidRPr="00031B51" w:rsidRDefault="00FA7BD2" w:rsidP="00FA7BD2">
            <w:pPr>
              <w:spacing w:line="360" w:lineRule="auto"/>
              <w:rPr>
                <w:sz w:val="14"/>
                <w:szCs w:val="14"/>
                <w:lang w:val="en-US"/>
              </w:rPr>
            </w:pPr>
            <w:r>
              <w:rPr>
                <w:sz w:val="14"/>
                <w:szCs w:val="14"/>
                <w:lang w:val="en-US"/>
              </w:rPr>
              <w:t xml:space="preserve">   3</w:t>
            </w:r>
          </w:p>
          <w:p w14:paraId="1B556EF7" w14:textId="77777777" w:rsidR="00FA7BD2" w:rsidRDefault="00FA7BD2" w:rsidP="00FA7BD2">
            <w:pPr>
              <w:spacing w:line="360" w:lineRule="auto"/>
              <w:rPr>
                <w:sz w:val="14"/>
                <w:szCs w:val="14"/>
                <w:lang w:val="en-US"/>
              </w:rPr>
            </w:pPr>
            <w:r>
              <w:rPr>
                <w:sz w:val="14"/>
                <w:szCs w:val="14"/>
                <w:lang w:val="en-US"/>
              </w:rPr>
              <w:t xml:space="preserve">   4</w:t>
            </w:r>
          </w:p>
          <w:p w14:paraId="378EA989" w14:textId="77777777" w:rsidR="00FA7BD2" w:rsidRPr="00031B51" w:rsidRDefault="00FA7BD2" w:rsidP="00FA7BD2">
            <w:pPr>
              <w:spacing w:line="360" w:lineRule="auto"/>
              <w:rPr>
                <w:sz w:val="14"/>
                <w:szCs w:val="14"/>
                <w:lang w:val="en-US"/>
              </w:rPr>
            </w:pPr>
            <w:r>
              <w:rPr>
                <w:sz w:val="14"/>
                <w:szCs w:val="14"/>
                <w:lang w:val="en-US"/>
              </w:rPr>
              <w:t xml:space="preserve">   5</w:t>
            </w:r>
          </w:p>
          <w:p w14:paraId="770AC242" w14:textId="77777777" w:rsidR="00FA7BD2" w:rsidRPr="004E4534" w:rsidRDefault="00FA7BD2" w:rsidP="00FA7BD2">
            <w:pPr>
              <w:spacing w:line="360" w:lineRule="auto"/>
              <w:rPr>
                <w:sz w:val="17"/>
                <w:szCs w:val="17"/>
                <w:lang w:val="en-US"/>
              </w:rPr>
            </w:pPr>
            <w:r>
              <w:rPr>
                <w:sz w:val="14"/>
                <w:szCs w:val="14"/>
                <w:lang w:val="en-US"/>
              </w:rPr>
              <w:t xml:space="preserve">   6+</w:t>
            </w:r>
          </w:p>
        </w:tc>
        <w:tc>
          <w:tcPr>
            <w:tcW w:w="1276" w:type="dxa"/>
            <w:tcBorders>
              <w:left w:val="single" w:sz="4" w:space="0" w:color="auto"/>
            </w:tcBorders>
          </w:tcPr>
          <w:p w14:paraId="72CB67D8" w14:textId="77777777" w:rsidR="00FA7BD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p>
          <w:p w14:paraId="005BABB4" w14:textId="77777777" w:rsidR="00FA7BD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2,790 (23.5)</w:t>
            </w:r>
          </w:p>
          <w:p w14:paraId="57D6D0F6" w14:textId="77777777" w:rsidR="00FA7BD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1,955 (16.5)</w:t>
            </w:r>
          </w:p>
          <w:p w14:paraId="671B4C87" w14:textId="77777777" w:rsidR="00FA7BD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1,162 (9.8)</w:t>
            </w:r>
          </w:p>
          <w:p w14:paraId="1D53B322" w14:textId="77777777" w:rsidR="00FA7BD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663 (5.6)</w:t>
            </w:r>
          </w:p>
          <w:p w14:paraId="2F0BDBE5" w14:textId="77777777" w:rsidR="00FA7BD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331 (2.8)</w:t>
            </w:r>
          </w:p>
          <w:p w14:paraId="74FFB109" w14:textId="77777777" w:rsidR="00FA7BD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243 (2.1)</w:t>
            </w:r>
          </w:p>
        </w:tc>
        <w:tc>
          <w:tcPr>
            <w:tcW w:w="1417" w:type="dxa"/>
          </w:tcPr>
          <w:p w14:paraId="1037A61A" w14:textId="77777777" w:rsidR="00FA7BD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b/>
                <w:sz w:val="14"/>
                <w:szCs w:val="14"/>
                <w:lang w:val="en-US"/>
              </w:rPr>
            </w:pPr>
          </w:p>
          <w:p w14:paraId="41EBE26D" w14:textId="77777777" w:rsidR="00FA7BD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1,292 (46.3)</w:t>
            </w:r>
          </w:p>
          <w:p w14:paraId="115A452B" w14:textId="77777777" w:rsidR="00FA7BD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878 (44.9)</w:t>
            </w:r>
          </w:p>
          <w:p w14:paraId="4F1C46BB" w14:textId="77777777" w:rsidR="00FA7BD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547 (47.1)</w:t>
            </w:r>
          </w:p>
          <w:p w14:paraId="0AD2520C" w14:textId="77777777" w:rsidR="00FA7BD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302 (45.6)</w:t>
            </w:r>
          </w:p>
          <w:p w14:paraId="41A24F3B" w14:textId="77777777" w:rsidR="00FA7BD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163 (49.2)</w:t>
            </w:r>
          </w:p>
          <w:p w14:paraId="0AC65F1B" w14:textId="77777777" w:rsidR="00FA7BD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123 (50.6)</w:t>
            </w:r>
          </w:p>
        </w:tc>
        <w:tc>
          <w:tcPr>
            <w:tcW w:w="1701" w:type="dxa"/>
          </w:tcPr>
          <w:p w14:paraId="773B4C06" w14:textId="77777777" w:rsidR="00FA7BD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p>
          <w:p w14:paraId="38E06B61" w14:textId="77777777" w:rsidR="00FA7BD2" w:rsidRPr="00FA7BD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sidRPr="00FA7BD2">
              <w:rPr>
                <w:sz w:val="14"/>
                <w:szCs w:val="14"/>
                <w:lang w:val="en-US"/>
              </w:rPr>
              <w:t>0.97 (0.90; 1.04)</w:t>
            </w:r>
          </w:p>
          <w:p w14:paraId="148442FB" w14:textId="77777777" w:rsidR="00FA7BD2" w:rsidRPr="000B343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b/>
                <w:sz w:val="14"/>
                <w:szCs w:val="14"/>
                <w:lang w:val="en-US"/>
              </w:rPr>
            </w:pPr>
            <w:r>
              <w:rPr>
                <w:b/>
                <w:sz w:val="14"/>
                <w:szCs w:val="14"/>
                <w:lang w:val="en-US"/>
              </w:rPr>
              <w:t>0.91 (0.84</w:t>
            </w:r>
            <w:r w:rsidRPr="000B3432">
              <w:rPr>
                <w:b/>
                <w:sz w:val="14"/>
                <w:szCs w:val="14"/>
                <w:lang w:val="en-US"/>
              </w:rPr>
              <w:t>; 0.99)</w:t>
            </w:r>
          </w:p>
          <w:p w14:paraId="310A4963" w14:textId="77777777" w:rsidR="00FA7BD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0.94 (0.85; 1.04)</w:t>
            </w:r>
          </w:p>
          <w:p w14:paraId="72AE2943" w14:textId="77777777" w:rsidR="00FA7BD2" w:rsidRPr="00FA7BD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sidRPr="00FA7BD2">
              <w:rPr>
                <w:sz w:val="14"/>
                <w:szCs w:val="14"/>
                <w:lang w:val="en-US"/>
              </w:rPr>
              <w:t>0.89 (0.79; 1.01)</w:t>
            </w:r>
          </w:p>
          <w:p w14:paraId="1E71E86D" w14:textId="77777777" w:rsidR="00FA7BD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1.04 (0.88; 1.22)</w:t>
            </w:r>
          </w:p>
          <w:p w14:paraId="12EE6575" w14:textId="77777777" w:rsidR="00FA7BD2" w:rsidRPr="0038183F"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1.13 (0.94; 1.36)</w:t>
            </w:r>
          </w:p>
        </w:tc>
        <w:tc>
          <w:tcPr>
            <w:tcW w:w="1985" w:type="dxa"/>
            <w:tcBorders>
              <w:right w:val="single" w:sz="4" w:space="0" w:color="auto"/>
            </w:tcBorders>
          </w:tcPr>
          <w:p w14:paraId="5EB6F465" w14:textId="77777777" w:rsidR="00FA7BD2" w:rsidRDefault="00FA7BD2"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p>
          <w:p w14:paraId="2BCABE0E" w14:textId="77777777" w:rsidR="00FA7BD2" w:rsidRPr="009F34EA" w:rsidRDefault="00A90C3B"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sidRPr="009F34EA">
              <w:rPr>
                <w:sz w:val="14"/>
                <w:szCs w:val="14"/>
                <w:lang w:val="en-US"/>
              </w:rPr>
              <w:t>0.96 (0.89; 1.04</w:t>
            </w:r>
            <w:r w:rsidR="00FA7BD2" w:rsidRPr="009F34EA">
              <w:rPr>
                <w:sz w:val="14"/>
                <w:szCs w:val="14"/>
                <w:lang w:val="en-US"/>
              </w:rPr>
              <w:t>)</w:t>
            </w:r>
          </w:p>
          <w:p w14:paraId="1BE9E020" w14:textId="77777777" w:rsidR="00FA7BD2" w:rsidRDefault="00A90C3B" w:rsidP="00FA7BD2">
            <w:pPr>
              <w:spacing w:line="360" w:lineRule="auto"/>
              <w:jc w:val="center"/>
              <w:cnfStyle w:val="000000100000" w:firstRow="0" w:lastRow="0" w:firstColumn="0" w:lastColumn="0" w:oddVBand="0" w:evenVBand="0" w:oddHBand="1" w:evenHBand="0" w:firstRowFirstColumn="0" w:firstRowLastColumn="0" w:lastRowFirstColumn="0" w:lastRowLastColumn="0"/>
              <w:rPr>
                <w:b/>
                <w:sz w:val="14"/>
                <w:szCs w:val="14"/>
                <w:lang w:val="en-US"/>
              </w:rPr>
            </w:pPr>
            <w:r>
              <w:rPr>
                <w:b/>
                <w:sz w:val="14"/>
                <w:szCs w:val="14"/>
                <w:lang w:val="en-US"/>
              </w:rPr>
              <w:t>0.89</w:t>
            </w:r>
            <w:r w:rsidR="00FA7BD2">
              <w:rPr>
                <w:b/>
                <w:sz w:val="14"/>
                <w:szCs w:val="14"/>
                <w:lang w:val="en-US"/>
              </w:rPr>
              <w:t xml:space="preserve"> </w:t>
            </w:r>
            <w:r>
              <w:rPr>
                <w:b/>
                <w:sz w:val="14"/>
                <w:szCs w:val="14"/>
                <w:lang w:val="en-US"/>
              </w:rPr>
              <w:t>(0.82; 0.97</w:t>
            </w:r>
            <w:r w:rsidR="00FA7BD2">
              <w:rPr>
                <w:b/>
                <w:sz w:val="14"/>
                <w:szCs w:val="14"/>
                <w:lang w:val="en-US"/>
              </w:rPr>
              <w:t>)</w:t>
            </w:r>
          </w:p>
          <w:p w14:paraId="7647F893" w14:textId="77777777" w:rsidR="00FA7BD2" w:rsidRPr="00F70E9B" w:rsidRDefault="00A90C3B"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0.94 (0.85; 1.05</w:t>
            </w:r>
            <w:r w:rsidR="00FA7BD2" w:rsidRPr="00F70E9B">
              <w:rPr>
                <w:sz w:val="14"/>
                <w:szCs w:val="14"/>
                <w:lang w:val="en-US"/>
              </w:rPr>
              <w:t>)</w:t>
            </w:r>
          </w:p>
          <w:p w14:paraId="42180E26" w14:textId="77777777" w:rsidR="00FA7BD2" w:rsidRDefault="00A90C3B" w:rsidP="00FA7BD2">
            <w:pPr>
              <w:spacing w:line="360" w:lineRule="auto"/>
              <w:jc w:val="center"/>
              <w:cnfStyle w:val="000000100000" w:firstRow="0" w:lastRow="0" w:firstColumn="0" w:lastColumn="0" w:oddVBand="0" w:evenVBand="0" w:oddHBand="1" w:evenHBand="0" w:firstRowFirstColumn="0" w:firstRowLastColumn="0" w:lastRowFirstColumn="0" w:lastRowLastColumn="0"/>
              <w:rPr>
                <w:b/>
                <w:sz w:val="14"/>
                <w:szCs w:val="14"/>
                <w:lang w:val="en-US"/>
              </w:rPr>
            </w:pPr>
            <w:r>
              <w:rPr>
                <w:b/>
                <w:sz w:val="14"/>
                <w:szCs w:val="14"/>
                <w:lang w:val="en-US"/>
              </w:rPr>
              <w:t>0.89 (0.78; 0.99</w:t>
            </w:r>
            <w:r w:rsidR="00FA7BD2">
              <w:rPr>
                <w:b/>
                <w:sz w:val="14"/>
                <w:szCs w:val="14"/>
                <w:lang w:val="en-US"/>
              </w:rPr>
              <w:t>)</w:t>
            </w:r>
          </w:p>
          <w:p w14:paraId="2FE38D44" w14:textId="77777777" w:rsidR="00FA7BD2" w:rsidRDefault="00A90C3B"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1.03 (0.87; 1.22</w:t>
            </w:r>
            <w:r w:rsidR="00FA7BD2">
              <w:rPr>
                <w:sz w:val="14"/>
                <w:szCs w:val="14"/>
                <w:lang w:val="en-US"/>
              </w:rPr>
              <w:t>)</w:t>
            </w:r>
          </w:p>
          <w:p w14:paraId="47AF2BCA" w14:textId="77777777" w:rsidR="00FA7BD2" w:rsidRPr="00F70E9B" w:rsidRDefault="00A90C3B" w:rsidP="00FA7BD2">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1.10 (0.91; 1.34</w:t>
            </w:r>
            <w:r w:rsidR="00FA7BD2">
              <w:rPr>
                <w:sz w:val="14"/>
                <w:szCs w:val="14"/>
                <w:lang w:val="en-US"/>
              </w:rPr>
              <w:t>)</w:t>
            </w:r>
          </w:p>
        </w:tc>
      </w:tr>
    </w:tbl>
    <w:p w14:paraId="11D214AC" w14:textId="77777777" w:rsidR="004D4520" w:rsidRPr="00BA5F74" w:rsidRDefault="004D4520" w:rsidP="004D4520">
      <w:pPr>
        <w:spacing w:after="40" w:line="240" w:lineRule="auto"/>
        <w:rPr>
          <w:sz w:val="14"/>
          <w:szCs w:val="14"/>
          <w:lang w:val="en-US"/>
        </w:rPr>
      </w:pPr>
      <w:r>
        <w:rPr>
          <w:sz w:val="14"/>
          <w:szCs w:val="14"/>
          <w:lang w:val="en-US"/>
        </w:rPr>
        <w:t xml:space="preserve">Abbreviations: HRR=Hazard rate ratio; 95%-CI=95% Confidence Interval; </w:t>
      </w:r>
    </w:p>
    <w:p w14:paraId="436FD50A" w14:textId="77777777" w:rsidR="004D4520" w:rsidRDefault="004D4520" w:rsidP="004D4520">
      <w:pPr>
        <w:spacing w:after="40" w:line="240" w:lineRule="auto"/>
        <w:rPr>
          <w:sz w:val="14"/>
          <w:szCs w:val="14"/>
          <w:lang w:val="en-US"/>
        </w:rPr>
      </w:pPr>
      <w:r w:rsidRPr="009575C1">
        <w:rPr>
          <w:sz w:val="14"/>
          <w:szCs w:val="14"/>
          <w:lang w:val="en-US"/>
        </w:rPr>
        <w:t xml:space="preserve">* The crude analyses are adjusted for age at diagnosis, gender and </w:t>
      </w:r>
      <w:proofErr w:type="spellStart"/>
      <w:r w:rsidRPr="009575C1">
        <w:rPr>
          <w:sz w:val="14"/>
          <w:szCs w:val="14"/>
          <w:lang w:val="en-US"/>
        </w:rPr>
        <w:t>indexyear</w:t>
      </w:r>
      <w:proofErr w:type="spellEnd"/>
      <w:r w:rsidRPr="009575C1">
        <w:rPr>
          <w:sz w:val="14"/>
          <w:szCs w:val="14"/>
          <w:lang w:val="en-US"/>
        </w:rPr>
        <w:t xml:space="preserve">. </w:t>
      </w:r>
    </w:p>
    <w:p w14:paraId="344CB035" w14:textId="77777777" w:rsidR="004D4520" w:rsidRDefault="004D4520" w:rsidP="004D4520">
      <w:pPr>
        <w:spacing w:after="40" w:line="240" w:lineRule="auto"/>
        <w:rPr>
          <w:sz w:val="14"/>
          <w:szCs w:val="14"/>
          <w:lang w:val="en-US"/>
        </w:rPr>
      </w:pPr>
      <w:r>
        <w:rPr>
          <w:sz w:val="14"/>
          <w:szCs w:val="14"/>
          <w:lang w:val="en-US"/>
        </w:rPr>
        <w:t xml:space="preserve">^ The adjusted analyses are adjusted for </w:t>
      </w:r>
      <w:r w:rsidRPr="009575C1">
        <w:rPr>
          <w:sz w:val="14"/>
          <w:szCs w:val="14"/>
          <w:lang w:val="en-US"/>
        </w:rPr>
        <w:t>age at diagnosis, gender</w:t>
      </w:r>
      <w:r>
        <w:rPr>
          <w:sz w:val="14"/>
          <w:szCs w:val="14"/>
          <w:lang w:val="en-US"/>
        </w:rPr>
        <w:t>,</w:t>
      </w:r>
      <w:r w:rsidRPr="009575C1">
        <w:rPr>
          <w:sz w:val="14"/>
          <w:szCs w:val="14"/>
          <w:lang w:val="en-US"/>
        </w:rPr>
        <w:t xml:space="preserve"> </w:t>
      </w:r>
      <w:proofErr w:type="spellStart"/>
      <w:r w:rsidRPr="009575C1">
        <w:rPr>
          <w:sz w:val="14"/>
          <w:szCs w:val="14"/>
          <w:lang w:val="en-US"/>
        </w:rPr>
        <w:t>indexyear</w:t>
      </w:r>
      <w:proofErr w:type="spellEnd"/>
      <w:r>
        <w:rPr>
          <w:sz w:val="14"/>
          <w:szCs w:val="14"/>
          <w:lang w:val="en-US"/>
        </w:rPr>
        <w:t>, in- or outpatient status at incident schizophrenia diagnosis, length of baseline hospitalization, educational level, prior psychiatric diagnoses and use of antipsychotics, parental psychiatric diagnoses and parental educational level. Furthermore, the analyses on somatic hospital contacts were adjusted for somatic medication use during the previous year and vice versa.</w:t>
      </w:r>
    </w:p>
    <w:p w14:paraId="7D10B758" w14:textId="77777777" w:rsidR="004D4520" w:rsidRDefault="004D4520" w:rsidP="004D4520">
      <w:pPr>
        <w:spacing w:after="40" w:line="240" w:lineRule="auto"/>
        <w:rPr>
          <w:sz w:val="14"/>
          <w:szCs w:val="14"/>
          <w:lang w:val="en-US"/>
        </w:rPr>
      </w:pPr>
      <w:r>
        <w:rPr>
          <w:sz w:val="14"/>
          <w:szCs w:val="14"/>
          <w:vertAlign w:val="superscript"/>
          <w:lang w:val="en-US"/>
        </w:rPr>
        <w:t>1</w:t>
      </w:r>
      <w:r>
        <w:rPr>
          <w:sz w:val="14"/>
          <w:szCs w:val="14"/>
          <w:lang w:val="en-US"/>
        </w:rPr>
        <w:t xml:space="preserve"> Amount of somatic diagnoses from the different categories, independent of the amount of diagnoses within the single categories. </w:t>
      </w:r>
    </w:p>
    <w:p w14:paraId="05569FDC" w14:textId="77777777" w:rsidR="004D4520" w:rsidRDefault="004D4520" w:rsidP="004D4520">
      <w:pPr>
        <w:spacing w:after="40" w:line="240" w:lineRule="auto"/>
        <w:rPr>
          <w:sz w:val="14"/>
          <w:szCs w:val="14"/>
          <w:lang w:val="en-US"/>
        </w:rPr>
      </w:pPr>
      <w:r>
        <w:rPr>
          <w:sz w:val="14"/>
          <w:szCs w:val="14"/>
          <w:vertAlign w:val="superscript"/>
          <w:lang w:val="en-US"/>
        </w:rPr>
        <w:t xml:space="preserve">2 </w:t>
      </w:r>
      <w:r>
        <w:rPr>
          <w:sz w:val="14"/>
          <w:szCs w:val="14"/>
          <w:lang w:val="en-US"/>
        </w:rPr>
        <w:t xml:space="preserve">The risk of relapse increased in a dose-response relationship (p&lt;0.001), as tested with the Wald´s test. </w:t>
      </w:r>
    </w:p>
    <w:p w14:paraId="673F7C2F" w14:textId="77777777" w:rsidR="004D4520" w:rsidRDefault="004D4520" w:rsidP="004D4520">
      <w:pPr>
        <w:spacing w:after="40" w:line="240" w:lineRule="auto"/>
        <w:rPr>
          <w:sz w:val="14"/>
          <w:szCs w:val="14"/>
          <w:lang w:val="en-US"/>
        </w:rPr>
      </w:pPr>
    </w:p>
    <w:p w14:paraId="098BF8EF" w14:textId="77777777" w:rsidR="004D4520" w:rsidRDefault="004D4520" w:rsidP="004D4520">
      <w:pPr>
        <w:spacing w:after="40" w:line="240" w:lineRule="auto"/>
        <w:rPr>
          <w:sz w:val="14"/>
          <w:szCs w:val="14"/>
          <w:lang w:val="en-US"/>
        </w:rPr>
      </w:pPr>
    </w:p>
    <w:p w14:paraId="59D9A4D7" w14:textId="77777777" w:rsidR="000D201D" w:rsidRPr="000D201D" w:rsidRDefault="000D201D">
      <w:pPr>
        <w:rPr>
          <w:lang w:val="en-US"/>
        </w:rPr>
      </w:pPr>
    </w:p>
    <w:sectPr w:rsidR="000D201D" w:rsidRPr="000D201D" w:rsidSect="003B0D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EE"/>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AC"/>
    <w:rsid w:val="000039E7"/>
    <w:rsid w:val="0000630A"/>
    <w:rsid w:val="00006352"/>
    <w:rsid w:val="000063EE"/>
    <w:rsid w:val="000109DB"/>
    <w:rsid w:val="00010D68"/>
    <w:rsid w:val="00012ECC"/>
    <w:rsid w:val="00013786"/>
    <w:rsid w:val="000138BE"/>
    <w:rsid w:val="00013B25"/>
    <w:rsid w:val="00017922"/>
    <w:rsid w:val="000213B8"/>
    <w:rsid w:val="0002209F"/>
    <w:rsid w:val="000224A6"/>
    <w:rsid w:val="00022E63"/>
    <w:rsid w:val="00023F06"/>
    <w:rsid w:val="00026544"/>
    <w:rsid w:val="000302C9"/>
    <w:rsid w:val="00031535"/>
    <w:rsid w:val="00031704"/>
    <w:rsid w:val="000328D0"/>
    <w:rsid w:val="000331E2"/>
    <w:rsid w:val="00034FE1"/>
    <w:rsid w:val="00035A22"/>
    <w:rsid w:val="00035F3D"/>
    <w:rsid w:val="00036A1F"/>
    <w:rsid w:val="00037468"/>
    <w:rsid w:val="0004429E"/>
    <w:rsid w:val="00044EDC"/>
    <w:rsid w:val="00045616"/>
    <w:rsid w:val="000459C8"/>
    <w:rsid w:val="00046DEA"/>
    <w:rsid w:val="000476B4"/>
    <w:rsid w:val="00047BA4"/>
    <w:rsid w:val="00050629"/>
    <w:rsid w:val="0005245B"/>
    <w:rsid w:val="00053F9A"/>
    <w:rsid w:val="00055016"/>
    <w:rsid w:val="000553CE"/>
    <w:rsid w:val="00055F24"/>
    <w:rsid w:val="00057783"/>
    <w:rsid w:val="00057808"/>
    <w:rsid w:val="00060654"/>
    <w:rsid w:val="00060E0D"/>
    <w:rsid w:val="000621E8"/>
    <w:rsid w:val="0006346C"/>
    <w:rsid w:val="0006449C"/>
    <w:rsid w:val="000650B4"/>
    <w:rsid w:val="00066377"/>
    <w:rsid w:val="00066699"/>
    <w:rsid w:val="000703ED"/>
    <w:rsid w:val="000707C3"/>
    <w:rsid w:val="00071CD6"/>
    <w:rsid w:val="000746AA"/>
    <w:rsid w:val="000748F4"/>
    <w:rsid w:val="00074EBF"/>
    <w:rsid w:val="000801AE"/>
    <w:rsid w:val="00080658"/>
    <w:rsid w:val="000822C7"/>
    <w:rsid w:val="00082836"/>
    <w:rsid w:val="000850AE"/>
    <w:rsid w:val="00085972"/>
    <w:rsid w:val="00086E45"/>
    <w:rsid w:val="000870AA"/>
    <w:rsid w:val="000870D5"/>
    <w:rsid w:val="00095C76"/>
    <w:rsid w:val="000960AE"/>
    <w:rsid w:val="000971EA"/>
    <w:rsid w:val="000976B2"/>
    <w:rsid w:val="000A1660"/>
    <w:rsid w:val="000A18ED"/>
    <w:rsid w:val="000A4A44"/>
    <w:rsid w:val="000B1E51"/>
    <w:rsid w:val="000B26B3"/>
    <w:rsid w:val="000B4098"/>
    <w:rsid w:val="000B620B"/>
    <w:rsid w:val="000B7795"/>
    <w:rsid w:val="000C01C1"/>
    <w:rsid w:val="000C0C12"/>
    <w:rsid w:val="000C0D1D"/>
    <w:rsid w:val="000C14C5"/>
    <w:rsid w:val="000C161D"/>
    <w:rsid w:val="000C2E7E"/>
    <w:rsid w:val="000C39B3"/>
    <w:rsid w:val="000C39BA"/>
    <w:rsid w:val="000C3A63"/>
    <w:rsid w:val="000C6F02"/>
    <w:rsid w:val="000D201D"/>
    <w:rsid w:val="000D3BEF"/>
    <w:rsid w:val="000D6116"/>
    <w:rsid w:val="000D6170"/>
    <w:rsid w:val="000D7F05"/>
    <w:rsid w:val="000E0CCA"/>
    <w:rsid w:val="000E1167"/>
    <w:rsid w:val="000E3925"/>
    <w:rsid w:val="000E3DAF"/>
    <w:rsid w:val="000E41E4"/>
    <w:rsid w:val="000E4E7B"/>
    <w:rsid w:val="000E4F8D"/>
    <w:rsid w:val="000E5032"/>
    <w:rsid w:val="000E5122"/>
    <w:rsid w:val="000E53E4"/>
    <w:rsid w:val="000E69AA"/>
    <w:rsid w:val="000F22AD"/>
    <w:rsid w:val="000F2A2B"/>
    <w:rsid w:val="000F31DB"/>
    <w:rsid w:val="000F4C0B"/>
    <w:rsid w:val="000F4D84"/>
    <w:rsid w:val="000F54E3"/>
    <w:rsid w:val="000F6460"/>
    <w:rsid w:val="000F659F"/>
    <w:rsid w:val="000F7A28"/>
    <w:rsid w:val="0010046F"/>
    <w:rsid w:val="001035FF"/>
    <w:rsid w:val="00103EA9"/>
    <w:rsid w:val="00105960"/>
    <w:rsid w:val="00105F50"/>
    <w:rsid w:val="00106798"/>
    <w:rsid w:val="00107F74"/>
    <w:rsid w:val="001140C5"/>
    <w:rsid w:val="00114217"/>
    <w:rsid w:val="00115484"/>
    <w:rsid w:val="00115AB9"/>
    <w:rsid w:val="00115F6C"/>
    <w:rsid w:val="00116142"/>
    <w:rsid w:val="00116173"/>
    <w:rsid w:val="00116558"/>
    <w:rsid w:val="00116A93"/>
    <w:rsid w:val="00116DDC"/>
    <w:rsid w:val="0011726E"/>
    <w:rsid w:val="00120208"/>
    <w:rsid w:val="0012148C"/>
    <w:rsid w:val="00121A6B"/>
    <w:rsid w:val="00121C47"/>
    <w:rsid w:val="00123DDB"/>
    <w:rsid w:val="0012574F"/>
    <w:rsid w:val="00125B62"/>
    <w:rsid w:val="001261F4"/>
    <w:rsid w:val="0012652B"/>
    <w:rsid w:val="00126DE3"/>
    <w:rsid w:val="00127438"/>
    <w:rsid w:val="00127511"/>
    <w:rsid w:val="0013082D"/>
    <w:rsid w:val="00132034"/>
    <w:rsid w:val="00132820"/>
    <w:rsid w:val="0013300D"/>
    <w:rsid w:val="001348F5"/>
    <w:rsid w:val="00134CD4"/>
    <w:rsid w:val="00135AC3"/>
    <w:rsid w:val="00137CF3"/>
    <w:rsid w:val="00140CA7"/>
    <w:rsid w:val="0014110B"/>
    <w:rsid w:val="001412F6"/>
    <w:rsid w:val="00147F6F"/>
    <w:rsid w:val="00150E37"/>
    <w:rsid w:val="00151946"/>
    <w:rsid w:val="00152490"/>
    <w:rsid w:val="00153030"/>
    <w:rsid w:val="00153CDD"/>
    <w:rsid w:val="00155962"/>
    <w:rsid w:val="00156AD3"/>
    <w:rsid w:val="001606C4"/>
    <w:rsid w:val="0016142E"/>
    <w:rsid w:val="00161507"/>
    <w:rsid w:val="00161F90"/>
    <w:rsid w:val="00164119"/>
    <w:rsid w:val="001648D5"/>
    <w:rsid w:val="00164DB3"/>
    <w:rsid w:val="00164FEA"/>
    <w:rsid w:val="00166E47"/>
    <w:rsid w:val="0017061D"/>
    <w:rsid w:val="001708DD"/>
    <w:rsid w:val="00170BEB"/>
    <w:rsid w:val="00173363"/>
    <w:rsid w:val="0017407B"/>
    <w:rsid w:val="00174F8B"/>
    <w:rsid w:val="00176980"/>
    <w:rsid w:val="001807C4"/>
    <w:rsid w:val="00180DF5"/>
    <w:rsid w:val="00181182"/>
    <w:rsid w:val="0018184A"/>
    <w:rsid w:val="00181AB2"/>
    <w:rsid w:val="00181E35"/>
    <w:rsid w:val="00182C08"/>
    <w:rsid w:val="001848F5"/>
    <w:rsid w:val="0018646E"/>
    <w:rsid w:val="0018681A"/>
    <w:rsid w:val="001872D4"/>
    <w:rsid w:val="00187328"/>
    <w:rsid w:val="001876AB"/>
    <w:rsid w:val="00187845"/>
    <w:rsid w:val="00190B38"/>
    <w:rsid w:val="00191DA4"/>
    <w:rsid w:val="00191EAF"/>
    <w:rsid w:val="00192738"/>
    <w:rsid w:val="00197F11"/>
    <w:rsid w:val="001A005B"/>
    <w:rsid w:val="001A0718"/>
    <w:rsid w:val="001A096B"/>
    <w:rsid w:val="001A26F1"/>
    <w:rsid w:val="001A3D0F"/>
    <w:rsid w:val="001A51BD"/>
    <w:rsid w:val="001A7163"/>
    <w:rsid w:val="001B07D8"/>
    <w:rsid w:val="001B09C3"/>
    <w:rsid w:val="001B33C5"/>
    <w:rsid w:val="001B62E7"/>
    <w:rsid w:val="001C01EB"/>
    <w:rsid w:val="001C02AD"/>
    <w:rsid w:val="001C152F"/>
    <w:rsid w:val="001C1905"/>
    <w:rsid w:val="001C2CBD"/>
    <w:rsid w:val="001C6CA7"/>
    <w:rsid w:val="001D0CB7"/>
    <w:rsid w:val="001D0E7F"/>
    <w:rsid w:val="001D4645"/>
    <w:rsid w:val="001D5503"/>
    <w:rsid w:val="001D5E35"/>
    <w:rsid w:val="001D68FC"/>
    <w:rsid w:val="001D6EAF"/>
    <w:rsid w:val="001E6090"/>
    <w:rsid w:val="001E6398"/>
    <w:rsid w:val="001E6614"/>
    <w:rsid w:val="001F04CE"/>
    <w:rsid w:val="001F48BE"/>
    <w:rsid w:val="001F5450"/>
    <w:rsid w:val="001F5C18"/>
    <w:rsid w:val="001F7050"/>
    <w:rsid w:val="001F734E"/>
    <w:rsid w:val="00204062"/>
    <w:rsid w:val="002060BD"/>
    <w:rsid w:val="00206468"/>
    <w:rsid w:val="00207FBA"/>
    <w:rsid w:val="0021117C"/>
    <w:rsid w:val="00211CAC"/>
    <w:rsid w:val="00214700"/>
    <w:rsid w:val="002153E7"/>
    <w:rsid w:val="002155D5"/>
    <w:rsid w:val="002161A1"/>
    <w:rsid w:val="00216461"/>
    <w:rsid w:val="002176B3"/>
    <w:rsid w:val="00225517"/>
    <w:rsid w:val="00233A37"/>
    <w:rsid w:val="00233A75"/>
    <w:rsid w:val="00233F7D"/>
    <w:rsid w:val="00234E86"/>
    <w:rsid w:val="00236442"/>
    <w:rsid w:val="0023751F"/>
    <w:rsid w:val="00237E7A"/>
    <w:rsid w:val="00241FF7"/>
    <w:rsid w:val="00242178"/>
    <w:rsid w:val="002443D0"/>
    <w:rsid w:val="00244E9C"/>
    <w:rsid w:val="00246B16"/>
    <w:rsid w:val="00252637"/>
    <w:rsid w:val="00253839"/>
    <w:rsid w:val="00253EFD"/>
    <w:rsid w:val="00254E6C"/>
    <w:rsid w:val="00254FDC"/>
    <w:rsid w:val="00255036"/>
    <w:rsid w:val="00256567"/>
    <w:rsid w:val="002575F5"/>
    <w:rsid w:val="00260937"/>
    <w:rsid w:val="00260BC0"/>
    <w:rsid w:val="00261097"/>
    <w:rsid w:val="002627A7"/>
    <w:rsid w:val="002635E9"/>
    <w:rsid w:val="00265C6B"/>
    <w:rsid w:val="0026749E"/>
    <w:rsid w:val="0027009F"/>
    <w:rsid w:val="00271B99"/>
    <w:rsid w:val="0027315C"/>
    <w:rsid w:val="002742B7"/>
    <w:rsid w:val="00274744"/>
    <w:rsid w:val="002756FE"/>
    <w:rsid w:val="0027594D"/>
    <w:rsid w:val="0028008C"/>
    <w:rsid w:val="00281CA9"/>
    <w:rsid w:val="00281FF7"/>
    <w:rsid w:val="00284499"/>
    <w:rsid w:val="00285077"/>
    <w:rsid w:val="00286572"/>
    <w:rsid w:val="002866A7"/>
    <w:rsid w:val="00286A83"/>
    <w:rsid w:val="0029353F"/>
    <w:rsid w:val="0029375B"/>
    <w:rsid w:val="00293DF7"/>
    <w:rsid w:val="00295876"/>
    <w:rsid w:val="002964C6"/>
    <w:rsid w:val="00296E5D"/>
    <w:rsid w:val="00297378"/>
    <w:rsid w:val="00297600"/>
    <w:rsid w:val="002A0C28"/>
    <w:rsid w:val="002A3136"/>
    <w:rsid w:val="002A7462"/>
    <w:rsid w:val="002A751D"/>
    <w:rsid w:val="002A7922"/>
    <w:rsid w:val="002B0027"/>
    <w:rsid w:val="002B3E60"/>
    <w:rsid w:val="002B512A"/>
    <w:rsid w:val="002B5200"/>
    <w:rsid w:val="002B66C2"/>
    <w:rsid w:val="002B69AE"/>
    <w:rsid w:val="002C0AAB"/>
    <w:rsid w:val="002C0AAF"/>
    <w:rsid w:val="002C23EC"/>
    <w:rsid w:val="002C3F8D"/>
    <w:rsid w:val="002C406F"/>
    <w:rsid w:val="002C4942"/>
    <w:rsid w:val="002C5BB0"/>
    <w:rsid w:val="002C5BCF"/>
    <w:rsid w:val="002D1F39"/>
    <w:rsid w:val="002D25F1"/>
    <w:rsid w:val="002D41B8"/>
    <w:rsid w:val="002D5430"/>
    <w:rsid w:val="002E0E8E"/>
    <w:rsid w:val="002E28B3"/>
    <w:rsid w:val="002E34E0"/>
    <w:rsid w:val="002E3AC9"/>
    <w:rsid w:val="002E4DF7"/>
    <w:rsid w:val="002E65AD"/>
    <w:rsid w:val="002E680E"/>
    <w:rsid w:val="002E6951"/>
    <w:rsid w:val="002F0B4A"/>
    <w:rsid w:val="002F200D"/>
    <w:rsid w:val="002F25C4"/>
    <w:rsid w:val="002F359A"/>
    <w:rsid w:val="002F5B90"/>
    <w:rsid w:val="002F5D2E"/>
    <w:rsid w:val="002F6D54"/>
    <w:rsid w:val="002F762D"/>
    <w:rsid w:val="003007F1"/>
    <w:rsid w:val="00301272"/>
    <w:rsid w:val="003036E9"/>
    <w:rsid w:val="00304300"/>
    <w:rsid w:val="00304C28"/>
    <w:rsid w:val="003065EF"/>
    <w:rsid w:val="00306FBE"/>
    <w:rsid w:val="0030713D"/>
    <w:rsid w:val="00307990"/>
    <w:rsid w:val="00312289"/>
    <w:rsid w:val="00313FC8"/>
    <w:rsid w:val="00320579"/>
    <w:rsid w:val="00321FA2"/>
    <w:rsid w:val="003229E9"/>
    <w:rsid w:val="00324B24"/>
    <w:rsid w:val="00325161"/>
    <w:rsid w:val="00325F95"/>
    <w:rsid w:val="003264CE"/>
    <w:rsid w:val="00326769"/>
    <w:rsid w:val="00326A69"/>
    <w:rsid w:val="003310D5"/>
    <w:rsid w:val="003334ED"/>
    <w:rsid w:val="003346F4"/>
    <w:rsid w:val="003351F1"/>
    <w:rsid w:val="00335C28"/>
    <w:rsid w:val="00335F04"/>
    <w:rsid w:val="003360AF"/>
    <w:rsid w:val="00336E60"/>
    <w:rsid w:val="00336ED1"/>
    <w:rsid w:val="00337E6B"/>
    <w:rsid w:val="00340386"/>
    <w:rsid w:val="00342078"/>
    <w:rsid w:val="00342A34"/>
    <w:rsid w:val="003448FC"/>
    <w:rsid w:val="00345BFC"/>
    <w:rsid w:val="00345C9C"/>
    <w:rsid w:val="00346B24"/>
    <w:rsid w:val="00353254"/>
    <w:rsid w:val="00353457"/>
    <w:rsid w:val="0035515D"/>
    <w:rsid w:val="003559D2"/>
    <w:rsid w:val="003606F5"/>
    <w:rsid w:val="00360EFB"/>
    <w:rsid w:val="00361275"/>
    <w:rsid w:val="003622EE"/>
    <w:rsid w:val="00362E32"/>
    <w:rsid w:val="0036337A"/>
    <w:rsid w:val="00363BE8"/>
    <w:rsid w:val="0036490E"/>
    <w:rsid w:val="00364B32"/>
    <w:rsid w:val="0036627E"/>
    <w:rsid w:val="00370842"/>
    <w:rsid w:val="0037258C"/>
    <w:rsid w:val="00372F6E"/>
    <w:rsid w:val="00374303"/>
    <w:rsid w:val="00377841"/>
    <w:rsid w:val="003811A9"/>
    <w:rsid w:val="003831B5"/>
    <w:rsid w:val="0038435B"/>
    <w:rsid w:val="003844E3"/>
    <w:rsid w:val="003848E1"/>
    <w:rsid w:val="00385D5E"/>
    <w:rsid w:val="00386461"/>
    <w:rsid w:val="003877C4"/>
    <w:rsid w:val="00390328"/>
    <w:rsid w:val="0039355E"/>
    <w:rsid w:val="0039361E"/>
    <w:rsid w:val="0039411B"/>
    <w:rsid w:val="00395634"/>
    <w:rsid w:val="00396BFA"/>
    <w:rsid w:val="00397815"/>
    <w:rsid w:val="00397C55"/>
    <w:rsid w:val="003A0105"/>
    <w:rsid w:val="003A09E8"/>
    <w:rsid w:val="003A20B5"/>
    <w:rsid w:val="003A224F"/>
    <w:rsid w:val="003A5424"/>
    <w:rsid w:val="003A5EB1"/>
    <w:rsid w:val="003B252F"/>
    <w:rsid w:val="003B32E9"/>
    <w:rsid w:val="003B4180"/>
    <w:rsid w:val="003B4236"/>
    <w:rsid w:val="003B427E"/>
    <w:rsid w:val="003B5E02"/>
    <w:rsid w:val="003B65A4"/>
    <w:rsid w:val="003B76CC"/>
    <w:rsid w:val="003B77DD"/>
    <w:rsid w:val="003B7AA1"/>
    <w:rsid w:val="003C028A"/>
    <w:rsid w:val="003C0E9F"/>
    <w:rsid w:val="003C17C7"/>
    <w:rsid w:val="003C23A9"/>
    <w:rsid w:val="003C3AC5"/>
    <w:rsid w:val="003C3C88"/>
    <w:rsid w:val="003C4DB0"/>
    <w:rsid w:val="003C6A35"/>
    <w:rsid w:val="003C74B0"/>
    <w:rsid w:val="003D1C8B"/>
    <w:rsid w:val="003D2303"/>
    <w:rsid w:val="003D57F0"/>
    <w:rsid w:val="003D5DBA"/>
    <w:rsid w:val="003E2437"/>
    <w:rsid w:val="003E7DD3"/>
    <w:rsid w:val="003F041A"/>
    <w:rsid w:val="003F09A7"/>
    <w:rsid w:val="003F0F0D"/>
    <w:rsid w:val="003F19FC"/>
    <w:rsid w:val="003F5071"/>
    <w:rsid w:val="003F5B2A"/>
    <w:rsid w:val="003F7C42"/>
    <w:rsid w:val="003F7E2C"/>
    <w:rsid w:val="0040125B"/>
    <w:rsid w:val="004018CF"/>
    <w:rsid w:val="0040240D"/>
    <w:rsid w:val="00404316"/>
    <w:rsid w:val="00405195"/>
    <w:rsid w:val="0040521C"/>
    <w:rsid w:val="004059AC"/>
    <w:rsid w:val="00405F10"/>
    <w:rsid w:val="00407D94"/>
    <w:rsid w:val="00410FDE"/>
    <w:rsid w:val="00411C92"/>
    <w:rsid w:val="004140AF"/>
    <w:rsid w:val="00414655"/>
    <w:rsid w:val="00416772"/>
    <w:rsid w:val="00416C18"/>
    <w:rsid w:val="0042065E"/>
    <w:rsid w:val="00420A2F"/>
    <w:rsid w:val="00421904"/>
    <w:rsid w:val="00422B26"/>
    <w:rsid w:val="00422F0F"/>
    <w:rsid w:val="00424203"/>
    <w:rsid w:val="00425E9C"/>
    <w:rsid w:val="00426D9F"/>
    <w:rsid w:val="00430664"/>
    <w:rsid w:val="00431CEB"/>
    <w:rsid w:val="0043292C"/>
    <w:rsid w:val="00433AAB"/>
    <w:rsid w:val="00433FAB"/>
    <w:rsid w:val="00434DFB"/>
    <w:rsid w:val="00440FFA"/>
    <w:rsid w:val="004414FF"/>
    <w:rsid w:val="00442134"/>
    <w:rsid w:val="004427CE"/>
    <w:rsid w:val="00443006"/>
    <w:rsid w:val="004431E2"/>
    <w:rsid w:val="00443DCD"/>
    <w:rsid w:val="00444914"/>
    <w:rsid w:val="004458E8"/>
    <w:rsid w:val="004503F5"/>
    <w:rsid w:val="00450558"/>
    <w:rsid w:val="00451554"/>
    <w:rsid w:val="0045176A"/>
    <w:rsid w:val="004524F6"/>
    <w:rsid w:val="00453030"/>
    <w:rsid w:val="00454FD7"/>
    <w:rsid w:val="00455339"/>
    <w:rsid w:val="00455474"/>
    <w:rsid w:val="00455901"/>
    <w:rsid w:val="004609FA"/>
    <w:rsid w:val="00460D70"/>
    <w:rsid w:val="004611DC"/>
    <w:rsid w:val="00462DC5"/>
    <w:rsid w:val="004634DA"/>
    <w:rsid w:val="00463A8B"/>
    <w:rsid w:val="00465305"/>
    <w:rsid w:val="00467A34"/>
    <w:rsid w:val="00470C15"/>
    <w:rsid w:val="00471CC8"/>
    <w:rsid w:val="00471FB3"/>
    <w:rsid w:val="0047405F"/>
    <w:rsid w:val="004747A5"/>
    <w:rsid w:val="00475C8F"/>
    <w:rsid w:val="004779BE"/>
    <w:rsid w:val="00480031"/>
    <w:rsid w:val="004821BD"/>
    <w:rsid w:val="0048268D"/>
    <w:rsid w:val="00482833"/>
    <w:rsid w:val="004855FE"/>
    <w:rsid w:val="00485618"/>
    <w:rsid w:val="00486EE7"/>
    <w:rsid w:val="00493A31"/>
    <w:rsid w:val="00493C5A"/>
    <w:rsid w:val="00494F96"/>
    <w:rsid w:val="004963E4"/>
    <w:rsid w:val="00496414"/>
    <w:rsid w:val="0049670F"/>
    <w:rsid w:val="004971F6"/>
    <w:rsid w:val="004A129F"/>
    <w:rsid w:val="004A1795"/>
    <w:rsid w:val="004A1994"/>
    <w:rsid w:val="004A2F2C"/>
    <w:rsid w:val="004A3C75"/>
    <w:rsid w:val="004A5E4A"/>
    <w:rsid w:val="004A608E"/>
    <w:rsid w:val="004A7EF3"/>
    <w:rsid w:val="004B0FDB"/>
    <w:rsid w:val="004B164A"/>
    <w:rsid w:val="004B19A9"/>
    <w:rsid w:val="004B1AD1"/>
    <w:rsid w:val="004B1BD3"/>
    <w:rsid w:val="004B2342"/>
    <w:rsid w:val="004C0198"/>
    <w:rsid w:val="004C0A21"/>
    <w:rsid w:val="004C20DA"/>
    <w:rsid w:val="004C3625"/>
    <w:rsid w:val="004C43BC"/>
    <w:rsid w:val="004C453F"/>
    <w:rsid w:val="004C5850"/>
    <w:rsid w:val="004C7750"/>
    <w:rsid w:val="004C7BE4"/>
    <w:rsid w:val="004D001B"/>
    <w:rsid w:val="004D0226"/>
    <w:rsid w:val="004D1879"/>
    <w:rsid w:val="004D1C50"/>
    <w:rsid w:val="004D22DA"/>
    <w:rsid w:val="004D352A"/>
    <w:rsid w:val="004D4520"/>
    <w:rsid w:val="004D4866"/>
    <w:rsid w:val="004D60DD"/>
    <w:rsid w:val="004D6274"/>
    <w:rsid w:val="004D7DED"/>
    <w:rsid w:val="004E0281"/>
    <w:rsid w:val="004E1198"/>
    <w:rsid w:val="004E1F84"/>
    <w:rsid w:val="004E2247"/>
    <w:rsid w:val="004E50AD"/>
    <w:rsid w:val="004E61D7"/>
    <w:rsid w:val="004E7BF1"/>
    <w:rsid w:val="004E7F0E"/>
    <w:rsid w:val="004E7F9D"/>
    <w:rsid w:val="004F2B1D"/>
    <w:rsid w:val="004F409E"/>
    <w:rsid w:val="004F6617"/>
    <w:rsid w:val="004F67E9"/>
    <w:rsid w:val="004F711F"/>
    <w:rsid w:val="004F7470"/>
    <w:rsid w:val="0050085D"/>
    <w:rsid w:val="0050091C"/>
    <w:rsid w:val="00501BC2"/>
    <w:rsid w:val="0050396B"/>
    <w:rsid w:val="00503C49"/>
    <w:rsid w:val="005040B8"/>
    <w:rsid w:val="005042D6"/>
    <w:rsid w:val="005043EF"/>
    <w:rsid w:val="00505103"/>
    <w:rsid w:val="00505F24"/>
    <w:rsid w:val="00506E14"/>
    <w:rsid w:val="00510A71"/>
    <w:rsid w:val="00514A3D"/>
    <w:rsid w:val="00517BC1"/>
    <w:rsid w:val="00521F37"/>
    <w:rsid w:val="0052208B"/>
    <w:rsid w:val="00523380"/>
    <w:rsid w:val="005245C5"/>
    <w:rsid w:val="00527D52"/>
    <w:rsid w:val="005318CA"/>
    <w:rsid w:val="00535782"/>
    <w:rsid w:val="005357D6"/>
    <w:rsid w:val="00535CE4"/>
    <w:rsid w:val="00535D73"/>
    <w:rsid w:val="00536736"/>
    <w:rsid w:val="00537F2F"/>
    <w:rsid w:val="00540BC9"/>
    <w:rsid w:val="0054145B"/>
    <w:rsid w:val="00541A89"/>
    <w:rsid w:val="00543BB9"/>
    <w:rsid w:val="00544F47"/>
    <w:rsid w:val="00546BE8"/>
    <w:rsid w:val="0054756C"/>
    <w:rsid w:val="005513B6"/>
    <w:rsid w:val="00556046"/>
    <w:rsid w:val="00557B3D"/>
    <w:rsid w:val="005608DC"/>
    <w:rsid w:val="00560FF9"/>
    <w:rsid w:val="00561942"/>
    <w:rsid w:val="0056470A"/>
    <w:rsid w:val="0056634E"/>
    <w:rsid w:val="005664C3"/>
    <w:rsid w:val="00566A6D"/>
    <w:rsid w:val="0057127E"/>
    <w:rsid w:val="00571ECE"/>
    <w:rsid w:val="005739E5"/>
    <w:rsid w:val="0057529D"/>
    <w:rsid w:val="00575690"/>
    <w:rsid w:val="00576006"/>
    <w:rsid w:val="005764D5"/>
    <w:rsid w:val="00582432"/>
    <w:rsid w:val="00585250"/>
    <w:rsid w:val="00585F43"/>
    <w:rsid w:val="00587852"/>
    <w:rsid w:val="00590557"/>
    <w:rsid w:val="005914CB"/>
    <w:rsid w:val="00592E96"/>
    <w:rsid w:val="00593D80"/>
    <w:rsid w:val="00594548"/>
    <w:rsid w:val="0059653A"/>
    <w:rsid w:val="005A01F7"/>
    <w:rsid w:val="005A20D4"/>
    <w:rsid w:val="005A2CC0"/>
    <w:rsid w:val="005A32F3"/>
    <w:rsid w:val="005A38D1"/>
    <w:rsid w:val="005A471A"/>
    <w:rsid w:val="005A51E2"/>
    <w:rsid w:val="005B0B1F"/>
    <w:rsid w:val="005B112B"/>
    <w:rsid w:val="005B19C9"/>
    <w:rsid w:val="005B2808"/>
    <w:rsid w:val="005B4022"/>
    <w:rsid w:val="005B6A75"/>
    <w:rsid w:val="005B6ED2"/>
    <w:rsid w:val="005B758A"/>
    <w:rsid w:val="005C04F4"/>
    <w:rsid w:val="005C05BD"/>
    <w:rsid w:val="005C092F"/>
    <w:rsid w:val="005C0F34"/>
    <w:rsid w:val="005C1130"/>
    <w:rsid w:val="005C489B"/>
    <w:rsid w:val="005C4E35"/>
    <w:rsid w:val="005C5ECE"/>
    <w:rsid w:val="005D0C60"/>
    <w:rsid w:val="005D17DF"/>
    <w:rsid w:val="005D28B3"/>
    <w:rsid w:val="005D318D"/>
    <w:rsid w:val="005D4934"/>
    <w:rsid w:val="005D53B6"/>
    <w:rsid w:val="005D5F2E"/>
    <w:rsid w:val="005D6CC3"/>
    <w:rsid w:val="005E5D71"/>
    <w:rsid w:val="005E61BF"/>
    <w:rsid w:val="005E7B31"/>
    <w:rsid w:val="005F0C58"/>
    <w:rsid w:val="005F0CC3"/>
    <w:rsid w:val="005F39EA"/>
    <w:rsid w:val="005F3EFB"/>
    <w:rsid w:val="005F50D9"/>
    <w:rsid w:val="005F5B0B"/>
    <w:rsid w:val="005F5B20"/>
    <w:rsid w:val="005F73BC"/>
    <w:rsid w:val="00601144"/>
    <w:rsid w:val="0060260F"/>
    <w:rsid w:val="006030CD"/>
    <w:rsid w:val="0060566E"/>
    <w:rsid w:val="00607BBA"/>
    <w:rsid w:val="0061006E"/>
    <w:rsid w:val="0061072D"/>
    <w:rsid w:val="00613E9E"/>
    <w:rsid w:val="0061474F"/>
    <w:rsid w:val="006147F7"/>
    <w:rsid w:val="00614F34"/>
    <w:rsid w:val="00615281"/>
    <w:rsid w:val="006160E9"/>
    <w:rsid w:val="00620232"/>
    <w:rsid w:val="0062185C"/>
    <w:rsid w:val="0062427C"/>
    <w:rsid w:val="00624E65"/>
    <w:rsid w:val="006261E5"/>
    <w:rsid w:val="00626618"/>
    <w:rsid w:val="00626969"/>
    <w:rsid w:val="00630A7F"/>
    <w:rsid w:val="00631256"/>
    <w:rsid w:val="006318BD"/>
    <w:rsid w:val="00633DC0"/>
    <w:rsid w:val="00635E04"/>
    <w:rsid w:val="006366A6"/>
    <w:rsid w:val="00637343"/>
    <w:rsid w:val="00642A23"/>
    <w:rsid w:val="00646F6C"/>
    <w:rsid w:val="00647B19"/>
    <w:rsid w:val="0065087F"/>
    <w:rsid w:val="0065233B"/>
    <w:rsid w:val="006523F4"/>
    <w:rsid w:val="0065275B"/>
    <w:rsid w:val="0065343C"/>
    <w:rsid w:val="006562F0"/>
    <w:rsid w:val="00660EB9"/>
    <w:rsid w:val="00663070"/>
    <w:rsid w:val="006640AD"/>
    <w:rsid w:val="0066430D"/>
    <w:rsid w:val="006643C5"/>
    <w:rsid w:val="00664931"/>
    <w:rsid w:val="006649BE"/>
    <w:rsid w:val="006667BE"/>
    <w:rsid w:val="00666F49"/>
    <w:rsid w:val="00670714"/>
    <w:rsid w:val="00671737"/>
    <w:rsid w:val="00671D8E"/>
    <w:rsid w:val="00671DA7"/>
    <w:rsid w:val="00672344"/>
    <w:rsid w:val="00672CFF"/>
    <w:rsid w:val="0067305D"/>
    <w:rsid w:val="00673186"/>
    <w:rsid w:val="0067343C"/>
    <w:rsid w:val="00676900"/>
    <w:rsid w:val="0068032C"/>
    <w:rsid w:val="00680569"/>
    <w:rsid w:val="00685C11"/>
    <w:rsid w:val="00685D92"/>
    <w:rsid w:val="00686A62"/>
    <w:rsid w:val="006872EF"/>
    <w:rsid w:val="00687343"/>
    <w:rsid w:val="00687B64"/>
    <w:rsid w:val="00693647"/>
    <w:rsid w:val="006949A7"/>
    <w:rsid w:val="0069785D"/>
    <w:rsid w:val="006A0553"/>
    <w:rsid w:val="006A1335"/>
    <w:rsid w:val="006A21B1"/>
    <w:rsid w:val="006A2320"/>
    <w:rsid w:val="006A390B"/>
    <w:rsid w:val="006A5037"/>
    <w:rsid w:val="006A5D06"/>
    <w:rsid w:val="006A7950"/>
    <w:rsid w:val="006B0E6F"/>
    <w:rsid w:val="006B1F07"/>
    <w:rsid w:val="006B2200"/>
    <w:rsid w:val="006B2DF5"/>
    <w:rsid w:val="006B3ED1"/>
    <w:rsid w:val="006B5B67"/>
    <w:rsid w:val="006B5F3B"/>
    <w:rsid w:val="006C0E5E"/>
    <w:rsid w:val="006C0EE6"/>
    <w:rsid w:val="006C10E0"/>
    <w:rsid w:val="006C1DC7"/>
    <w:rsid w:val="006C1DD9"/>
    <w:rsid w:val="006C26D6"/>
    <w:rsid w:val="006C2725"/>
    <w:rsid w:val="006C5894"/>
    <w:rsid w:val="006C6647"/>
    <w:rsid w:val="006C7100"/>
    <w:rsid w:val="006D0753"/>
    <w:rsid w:val="006D085A"/>
    <w:rsid w:val="006D1749"/>
    <w:rsid w:val="006D533E"/>
    <w:rsid w:val="006E127A"/>
    <w:rsid w:val="006E3C8A"/>
    <w:rsid w:val="006E4838"/>
    <w:rsid w:val="006E56A9"/>
    <w:rsid w:val="006E5D0B"/>
    <w:rsid w:val="006E5F90"/>
    <w:rsid w:val="006E6010"/>
    <w:rsid w:val="006E7B6B"/>
    <w:rsid w:val="006F0CD8"/>
    <w:rsid w:val="006F1D08"/>
    <w:rsid w:val="006F2595"/>
    <w:rsid w:val="006F3B4C"/>
    <w:rsid w:val="006F4DDA"/>
    <w:rsid w:val="006F5CBC"/>
    <w:rsid w:val="006F6FE5"/>
    <w:rsid w:val="006F76F4"/>
    <w:rsid w:val="006F7E9D"/>
    <w:rsid w:val="007022BE"/>
    <w:rsid w:val="007036C0"/>
    <w:rsid w:val="007048A5"/>
    <w:rsid w:val="007049F2"/>
    <w:rsid w:val="007105AF"/>
    <w:rsid w:val="00710C71"/>
    <w:rsid w:val="00711951"/>
    <w:rsid w:val="007119C4"/>
    <w:rsid w:val="00713138"/>
    <w:rsid w:val="00714709"/>
    <w:rsid w:val="00715F83"/>
    <w:rsid w:val="007173A3"/>
    <w:rsid w:val="007201D6"/>
    <w:rsid w:val="007216A5"/>
    <w:rsid w:val="0072360B"/>
    <w:rsid w:val="007251E0"/>
    <w:rsid w:val="0072595A"/>
    <w:rsid w:val="00730999"/>
    <w:rsid w:val="00730C48"/>
    <w:rsid w:val="00732AB9"/>
    <w:rsid w:val="00733129"/>
    <w:rsid w:val="00735BE2"/>
    <w:rsid w:val="007364A8"/>
    <w:rsid w:val="007368D2"/>
    <w:rsid w:val="007373B2"/>
    <w:rsid w:val="00740AA0"/>
    <w:rsid w:val="007410CF"/>
    <w:rsid w:val="00742898"/>
    <w:rsid w:val="00744340"/>
    <w:rsid w:val="00744E66"/>
    <w:rsid w:val="00745E19"/>
    <w:rsid w:val="0074652F"/>
    <w:rsid w:val="00747BE1"/>
    <w:rsid w:val="00747DC0"/>
    <w:rsid w:val="00747EC0"/>
    <w:rsid w:val="00750232"/>
    <w:rsid w:val="00750B3C"/>
    <w:rsid w:val="00751DCE"/>
    <w:rsid w:val="007536FA"/>
    <w:rsid w:val="00753A40"/>
    <w:rsid w:val="007542E3"/>
    <w:rsid w:val="00754520"/>
    <w:rsid w:val="007546FB"/>
    <w:rsid w:val="007557EA"/>
    <w:rsid w:val="00755DD8"/>
    <w:rsid w:val="0076131C"/>
    <w:rsid w:val="007622EC"/>
    <w:rsid w:val="00764322"/>
    <w:rsid w:val="00765829"/>
    <w:rsid w:val="0076664A"/>
    <w:rsid w:val="00770463"/>
    <w:rsid w:val="00770A7F"/>
    <w:rsid w:val="00770E63"/>
    <w:rsid w:val="007717C5"/>
    <w:rsid w:val="007724B1"/>
    <w:rsid w:val="007766B5"/>
    <w:rsid w:val="00780C24"/>
    <w:rsid w:val="00782254"/>
    <w:rsid w:val="00782275"/>
    <w:rsid w:val="00782349"/>
    <w:rsid w:val="00782EC0"/>
    <w:rsid w:val="00787FBC"/>
    <w:rsid w:val="00790595"/>
    <w:rsid w:val="007919FF"/>
    <w:rsid w:val="007925EE"/>
    <w:rsid w:val="007938B4"/>
    <w:rsid w:val="007938F1"/>
    <w:rsid w:val="00796456"/>
    <w:rsid w:val="00797593"/>
    <w:rsid w:val="007A1209"/>
    <w:rsid w:val="007A155D"/>
    <w:rsid w:val="007A70C4"/>
    <w:rsid w:val="007B05FE"/>
    <w:rsid w:val="007B1757"/>
    <w:rsid w:val="007B1EA1"/>
    <w:rsid w:val="007B2E44"/>
    <w:rsid w:val="007B6E62"/>
    <w:rsid w:val="007C01A5"/>
    <w:rsid w:val="007C07F6"/>
    <w:rsid w:val="007C1F86"/>
    <w:rsid w:val="007C56F8"/>
    <w:rsid w:val="007C7BFA"/>
    <w:rsid w:val="007D4E62"/>
    <w:rsid w:val="007D54E4"/>
    <w:rsid w:val="007D55BF"/>
    <w:rsid w:val="007D55FA"/>
    <w:rsid w:val="007D57FA"/>
    <w:rsid w:val="007D6DB9"/>
    <w:rsid w:val="007D7587"/>
    <w:rsid w:val="007E379A"/>
    <w:rsid w:val="007E3904"/>
    <w:rsid w:val="007E4FAA"/>
    <w:rsid w:val="007F0613"/>
    <w:rsid w:val="007F2566"/>
    <w:rsid w:val="007F292A"/>
    <w:rsid w:val="007F6364"/>
    <w:rsid w:val="007F7278"/>
    <w:rsid w:val="007F773D"/>
    <w:rsid w:val="008008B2"/>
    <w:rsid w:val="00802A99"/>
    <w:rsid w:val="00802B2A"/>
    <w:rsid w:val="00802EC8"/>
    <w:rsid w:val="008046FC"/>
    <w:rsid w:val="00805927"/>
    <w:rsid w:val="00806095"/>
    <w:rsid w:val="00807381"/>
    <w:rsid w:val="00807863"/>
    <w:rsid w:val="00807FB0"/>
    <w:rsid w:val="00810FB1"/>
    <w:rsid w:val="00811235"/>
    <w:rsid w:val="00811859"/>
    <w:rsid w:val="00811968"/>
    <w:rsid w:val="008123D4"/>
    <w:rsid w:val="0081308B"/>
    <w:rsid w:val="00814097"/>
    <w:rsid w:val="008142D4"/>
    <w:rsid w:val="00814C9B"/>
    <w:rsid w:val="00815C6A"/>
    <w:rsid w:val="00815EFA"/>
    <w:rsid w:val="00820827"/>
    <w:rsid w:val="00820DAC"/>
    <w:rsid w:val="0082156D"/>
    <w:rsid w:val="0082519E"/>
    <w:rsid w:val="00825AC8"/>
    <w:rsid w:val="00830108"/>
    <w:rsid w:val="00833AF1"/>
    <w:rsid w:val="008344C0"/>
    <w:rsid w:val="00834969"/>
    <w:rsid w:val="008355FA"/>
    <w:rsid w:val="00835BA5"/>
    <w:rsid w:val="00836312"/>
    <w:rsid w:val="00840311"/>
    <w:rsid w:val="0084107E"/>
    <w:rsid w:val="00844EEF"/>
    <w:rsid w:val="00846677"/>
    <w:rsid w:val="00847007"/>
    <w:rsid w:val="008477E0"/>
    <w:rsid w:val="008477F8"/>
    <w:rsid w:val="00847F50"/>
    <w:rsid w:val="00850719"/>
    <w:rsid w:val="00852E7E"/>
    <w:rsid w:val="008530E5"/>
    <w:rsid w:val="008542B9"/>
    <w:rsid w:val="0085696C"/>
    <w:rsid w:val="00857DFC"/>
    <w:rsid w:val="00863922"/>
    <w:rsid w:val="00865049"/>
    <w:rsid w:val="00866482"/>
    <w:rsid w:val="0086692B"/>
    <w:rsid w:val="00867D08"/>
    <w:rsid w:val="00874339"/>
    <w:rsid w:val="00874F38"/>
    <w:rsid w:val="008752A6"/>
    <w:rsid w:val="00876511"/>
    <w:rsid w:val="00876B4C"/>
    <w:rsid w:val="00876F39"/>
    <w:rsid w:val="008771C6"/>
    <w:rsid w:val="008810AF"/>
    <w:rsid w:val="008810C1"/>
    <w:rsid w:val="00882F0F"/>
    <w:rsid w:val="00883547"/>
    <w:rsid w:val="00883D68"/>
    <w:rsid w:val="008875B7"/>
    <w:rsid w:val="00890820"/>
    <w:rsid w:val="0089116D"/>
    <w:rsid w:val="00897030"/>
    <w:rsid w:val="00897CFD"/>
    <w:rsid w:val="008A2426"/>
    <w:rsid w:val="008A5375"/>
    <w:rsid w:val="008A63B5"/>
    <w:rsid w:val="008A6518"/>
    <w:rsid w:val="008A7039"/>
    <w:rsid w:val="008B06EF"/>
    <w:rsid w:val="008B1A05"/>
    <w:rsid w:val="008B2A8A"/>
    <w:rsid w:val="008B401A"/>
    <w:rsid w:val="008B46DA"/>
    <w:rsid w:val="008B65C6"/>
    <w:rsid w:val="008B7379"/>
    <w:rsid w:val="008C043A"/>
    <w:rsid w:val="008C0E07"/>
    <w:rsid w:val="008C14B9"/>
    <w:rsid w:val="008C331C"/>
    <w:rsid w:val="008C542B"/>
    <w:rsid w:val="008C68FF"/>
    <w:rsid w:val="008D0792"/>
    <w:rsid w:val="008D24B2"/>
    <w:rsid w:val="008D3EC1"/>
    <w:rsid w:val="008D4317"/>
    <w:rsid w:val="008D5F2E"/>
    <w:rsid w:val="008D71E9"/>
    <w:rsid w:val="008E0E7A"/>
    <w:rsid w:val="008E2555"/>
    <w:rsid w:val="008E2581"/>
    <w:rsid w:val="008E2ED6"/>
    <w:rsid w:val="008E4B04"/>
    <w:rsid w:val="008E5D6B"/>
    <w:rsid w:val="008F02B7"/>
    <w:rsid w:val="008F2351"/>
    <w:rsid w:val="008F2E58"/>
    <w:rsid w:val="008F38FA"/>
    <w:rsid w:val="008F4224"/>
    <w:rsid w:val="008F4642"/>
    <w:rsid w:val="008F67F9"/>
    <w:rsid w:val="008F6925"/>
    <w:rsid w:val="00900BBF"/>
    <w:rsid w:val="00900ECD"/>
    <w:rsid w:val="009016CC"/>
    <w:rsid w:val="00903423"/>
    <w:rsid w:val="00903A2C"/>
    <w:rsid w:val="009053FC"/>
    <w:rsid w:val="00905EB3"/>
    <w:rsid w:val="00906D7C"/>
    <w:rsid w:val="0090759A"/>
    <w:rsid w:val="00907D4C"/>
    <w:rsid w:val="00911CC4"/>
    <w:rsid w:val="00914317"/>
    <w:rsid w:val="00915020"/>
    <w:rsid w:val="00915AB1"/>
    <w:rsid w:val="00922BAF"/>
    <w:rsid w:val="00922E65"/>
    <w:rsid w:val="00923EE9"/>
    <w:rsid w:val="009244F7"/>
    <w:rsid w:val="0093002F"/>
    <w:rsid w:val="009309C0"/>
    <w:rsid w:val="009368B3"/>
    <w:rsid w:val="00936E52"/>
    <w:rsid w:val="00940420"/>
    <w:rsid w:val="00941CFC"/>
    <w:rsid w:val="00943006"/>
    <w:rsid w:val="0094380B"/>
    <w:rsid w:val="00945295"/>
    <w:rsid w:val="00946E4D"/>
    <w:rsid w:val="00951EA1"/>
    <w:rsid w:val="009529FC"/>
    <w:rsid w:val="0095382C"/>
    <w:rsid w:val="00953D3F"/>
    <w:rsid w:val="0095472E"/>
    <w:rsid w:val="00954CFE"/>
    <w:rsid w:val="009608C2"/>
    <w:rsid w:val="00961280"/>
    <w:rsid w:val="00961E89"/>
    <w:rsid w:val="00962AA6"/>
    <w:rsid w:val="00963933"/>
    <w:rsid w:val="00963DAD"/>
    <w:rsid w:val="009709AC"/>
    <w:rsid w:val="009711EA"/>
    <w:rsid w:val="00971BEC"/>
    <w:rsid w:val="00971C41"/>
    <w:rsid w:val="0097202A"/>
    <w:rsid w:val="0097290A"/>
    <w:rsid w:val="00972C08"/>
    <w:rsid w:val="009732F0"/>
    <w:rsid w:val="009739C8"/>
    <w:rsid w:val="009745D4"/>
    <w:rsid w:val="00974832"/>
    <w:rsid w:val="00975859"/>
    <w:rsid w:val="009815EF"/>
    <w:rsid w:val="00981B35"/>
    <w:rsid w:val="0098202C"/>
    <w:rsid w:val="0098454F"/>
    <w:rsid w:val="00984CF8"/>
    <w:rsid w:val="009856A6"/>
    <w:rsid w:val="009866CE"/>
    <w:rsid w:val="009900F6"/>
    <w:rsid w:val="009902D1"/>
    <w:rsid w:val="00991383"/>
    <w:rsid w:val="009922CD"/>
    <w:rsid w:val="00993E49"/>
    <w:rsid w:val="00994DAC"/>
    <w:rsid w:val="00995497"/>
    <w:rsid w:val="00995C13"/>
    <w:rsid w:val="009975F4"/>
    <w:rsid w:val="009A1A0C"/>
    <w:rsid w:val="009A3A20"/>
    <w:rsid w:val="009A3F1B"/>
    <w:rsid w:val="009A5484"/>
    <w:rsid w:val="009A5641"/>
    <w:rsid w:val="009A5C56"/>
    <w:rsid w:val="009B0878"/>
    <w:rsid w:val="009B1F97"/>
    <w:rsid w:val="009B3FD7"/>
    <w:rsid w:val="009B7ADE"/>
    <w:rsid w:val="009C29B6"/>
    <w:rsid w:val="009C3846"/>
    <w:rsid w:val="009C4B8A"/>
    <w:rsid w:val="009C50D6"/>
    <w:rsid w:val="009C655A"/>
    <w:rsid w:val="009C72A7"/>
    <w:rsid w:val="009C7AEA"/>
    <w:rsid w:val="009D10A4"/>
    <w:rsid w:val="009D129D"/>
    <w:rsid w:val="009D1470"/>
    <w:rsid w:val="009D1E44"/>
    <w:rsid w:val="009D2133"/>
    <w:rsid w:val="009D284F"/>
    <w:rsid w:val="009D2869"/>
    <w:rsid w:val="009D3787"/>
    <w:rsid w:val="009D60DF"/>
    <w:rsid w:val="009E1AF5"/>
    <w:rsid w:val="009E2513"/>
    <w:rsid w:val="009E279A"/>
    <w:rsid w:val="009E2BD5"/>
    <w:rsid w:val="009E5EA4"/>
    <w:rsid w:val="009E5F76"/>
    <w:rsid w:val="009E7867"/>
    <w:rsid w:val="009F0340"/>
    <w:rsid w:val="009F1336"/>
    <w:rsid w:val="009F2DBD"/>
    <w:rsid w:val="009F34EA"/>
    <w:rsid w:val="009F50E9"/>
    <w:rsid w:val="009F5520"/>
    <w:rsid w:val="009F638A"/>
    <w:rsid w:val="009F699F"/>
    <w:rsid w:val="009F6FEE"/>
    <w:rsid w:val="009F7DD7"/>
    <w:rsid w:val="00A02B52"/>
    <w:rsid w:val="00A02E99"/>
    <w:rsid w:val="00A02F4D"/>
    <w:rsid w:val="00A05A13"/>
    <w:rsid w:val="00A0635A"/>
    <w:rsid w:val="00A07478"/>
    <w:rsid w:val="00A1105F"/>
    <w:rsid w:val="00A13AD1"/>
    <w:rsid w:val="00A16FA1"/>
    <w:rsid w:val="00A175FE"/>
    <w:rsid w:val="00A215AC"/>
    <w:rsid w:val="00A21F8E"/>
    <w:rsid w:val="00A2353B"/>
    <w:rsid w:val="00A239BD"/>
    <w:rsid w:val="00A23FE1"/>
    <w:rsid w:val="00A2539C"/>
    <w:rsid w:val="00A2677B"/>
    <w:rsid w:val="00A26E45"/>
    <w:rsid w:val="00A30078"/>
    <w:rsid w:val="00A3022B"/>
    <w:rsid w:val="00A30D12"/>
    <w:rsid w:val="00A3334E"/>
    <w:rsid w:val="00A33512"/>
    <w:rsid w:val="00A3406B"/>
    <w:rsid w:val="00A34317"/>
    <w:rsid w:val="00A3683E"/>
    <w:rsid w:val="00A368F2"/>
    <w:rsid w:val="00A40745"/>
    <w:rsid w:val="00A412A7"/>
    <w:rsid w:val="00A421F0"/>
    <w:rsid w:val="00A43CE4"/>
    <w:rsid w:val="00A4461E"/>
    <w:rsid w:val="00A470B3"/>
    <w:rsid w:val="00A50C33"/>
    <w:rsid w:val="00A50D8A"/>
    <w:rsid w:val="00A52949"/>
    <w:rsid w:val="00A53896"/>
    <w:rsid w:val="00A54B5A"/>
    <w:rsid w:val="00A60BED"/>
    <w:rsid w:val="00A61120"/>
    <w:rsid w:val="00A6130A"/>
    <w:rsid w:val="00A632C0"/>
    <w:rsid w:val="00A642A8"/>
    <w:rsid w:val="00A65384"/>
    <w:rsid w:val="00A653C5"/>
    <w:rsid w:val="00A65FCE"/>
    <w:rsid w:val="00A67F4D"/>
    <w:rsid w:val="00A72826"/>
    <w:rsid w:val="00A73196"/>
    <w:rsid w:val="00A7440C"/>
    <w:rsid w:val="00A75086"/>
    <w:rsid w:val="00A7593E"/>
    <w:rsid w:val="00A772A1"/>
    <w:rsid w:val="00A7772E"/>
    <w:rsid w:val="00A77950"/>
    <w:rsid w:val="00A77A84"/>
    <w:rsid w:val="00A77C11"/>
    <w:rsid w:val="00A8028F"/>
    <w:rsid w:val="00A80B1E"/>
    <w:rsid w:val="00A82975"/>
    <w:rsid w:val="00A83AC3"/>
    <w:rsid w:val="00A83C54"/>
    <w:rsid w:val="00A85C47"/>
    <w:rsid w:val="00A87006"/>
    <w:rsid w:val="00A87C1F"/>
    <w:rsid w:val="00A90089"/>
    <w:rsid w:val="00A900BB"/>
    <w:rsid w:val="00A9060F"/>
    <w:rsid w:val="00A90C3B"/>
    <w:rsid w:val="00A93F07"/>
    <w:rsid w:val="00A97F99"/>
    <w:rsid w:val="00AA1619"/>
    <w:rsid w:val="00AA465A"/>
    <w:rsid w:val="00AA483A"/>
    <w:rsid w:val="00AA5191"/>
    <w:rsid w:val="00AA51A0"/>
    <w:rsid w:val="00AA6C9D"/>
    <w:rsid w:val="00AB3511"/>
    <w:rsid w:val="00AB4677"/>
    <w:rsid w:val="00AB55A1"/>
    <w:rsid w:val="00AB56C8"/>
    <w:rsid w:val="00AB59B7"/>
    <w:rsid w:val="00AB7EBB"/>
    <w:rsid w:val="00AC0F6D"/>
    <w:rsid w:val="00AC3695"/>
    <w:rsid w:val="00AC45F2"/>
    <w:rsid w:val="00AC48D0"/>
    <w:rsid w:val="00AC6807"/>
    <w:rsid w:val="00AD00DE"/>
    <w:rsid w:val="00AD09D6"/>
    <w:rsid w:val="00AD1C25"/>
    <w:rsid w:val="00AD3575"/>
    <w:rsid w:val="00AE0039"/>
    <w:rsid w:val="00AE0E57"/>
    <w:rsid w:val="00AE178F"/>
    <w:rsid w:val="00AE2DB9"/>
    <w:rsid w:val="00AE3673"/>
    <w:rsid w:val="00AE4EEB"/>
    <w:rsid w:val="00AE641B"/>
    <w:rsid w:val="00AF38FC"/>
    <w:rsid w:val="00AF39B5"/>
    <w:rsid w:val="00AF4D30"/>
    <w:rsid w:val="00AF4F0C"/>
    <w:rsid w:val="00AF4FE0"/>
    <w:rsid w:val="00AF59C2"/>
    <w:rsid w:val="00AF6176"/>
    <w:rsid w:val="00AF6C03"/>
    <w:rsid w:val="00AF6C09"/>
    <w:rsid w:val="00AF7355"/>
    <w:rsid w:val="00B01F98"/>
    <w:rsid w:val="00B02997"/>
    <w:rsid w:val="00B03B27"/>
    <w:rsid w:val="00B075CA"/>
    <w:rsid w:val="00B11116"/>
    <w:rsid w:val="00B129E9"/>
    <w:rsid w:val="00B13ED6"/>
    <w:rsid w:val="00B14483"/>
    <w:rsid w:val="00B158BD"/>
    <w:rsid w:val="00B1625F"/>
    <w:rsid w:val="00B17471"/>
    <w:rsid w:val="00B17563"/>
    <w:rsid w:val="00B17693"/>
    <w:rsid w:val="00B20233"/>
    <w:rsid w:val="00B20817"/>
    <w:rsid w:val="00B2503A"/>
    <w:rsid w:val="00B253F9"/>
    <w:rsid w:val="00B25F40"/>
    <w:rsid w:val="00B316C7"/>
    <w:rsid w:val="00B32218"/>
    <w:rsid w:val="00B34ED5"/>
    <w:rsid w:val="00B35524"/>
    <w:rsid w:val="00B35BD5"/>
    <w:rsid w:val="00B3622B"/>
    <w:rsid w:val="00B42491"/>
    <w:rsid w:val="00B4658C"/>
    <w:rsid w:val="00B466EC"/>
    <w:rsid w:val="00B46D9E"/>
    <w:rsid w:val="00B47204"/>
    <w:rsid w:val="00B5053B"/>
    <w:rsid w:val="00B50F23"/>
    <w:rsid w:val="00B520EC"/>
    <w:rsid w:val="00B5573D"/>
    <w:rsid w:val="00B56E7F"/>
    <w:rsid w:val="00B571AD"/>
    <w:rsid w:val="00B57513"/>
    <w:rsid w:val="00B57AFC"/>
    <w:rsid w:val="00B618DF"/>
    <w:rsid w:val="00B61FE2"/>
    <w:rsid w:val="00B62CF3"/>
    <w:rsid w:val="00B64367"/>
    <w:rsid w:val="00B64C2F"/>
    <w:rsid w:val="00B651EE"/>
    <w:rsid w:val="00B671A3"/>
    <w:rsid w:val="00B70364"/>
    <w:rsid w:val="00B71F4A"/>
    <w:rsid w:val="00B73364"/>
    <w:rsid w:val="00B7398F"/>
    <w:rsid w:val="00B73D75"/>
    <w:rsid w:val="00B7459E"/>
    <w:rsid w:val="00B74729"/>
    <w:rsid w:val="00B748CE"/>
    <w:rsid w:val="00B7529F"/>
    <w:rsid w:val="00B75A52"/>
    <w:rsid w:val="00B762F6"/>
    <w:rsid w:val="00B7770B"/>
    <w:rsid w:val="00B80457"/>
    <w:rsid w:val="00B818CA"/>
    <w:rsid w:val="00B830DB"/>
    <w:rsid w:val="00B835EB"/>
    <w:rsid w:val="00B9250F"/>
    <w:rsid w:val="00B92A78"/>
    <w:rsid w:val="00B94315"/>
    <w:rsid w:val="00B95F23"/>
    <w:rsid w:val="00BA00B7"/>
    <w:rsid w:val="00BA015B"/>
    <w:rsid w:val="00BA08C6"/>
    <w:rsid w:val="00BA142F"/>
    <w:rsid w:val="00BA19CD"/>
    <w:rsid w:val="00BA2DC1"/>
    <w:rsid w:val="00BA6A76"/>
    <w:rsid w:val="00BA6BC0"/>
    <w:rsid w:val="00BB1FF9"/>
    <w:rsid w:val="00BB2332"/>
    <w:rsid w:val="00BB257C"/>
    <w:rsid w:val="00BB2A62"/>
    <w:rsid w:val="00BB2AF8"/>
    <w:rsid w:val="00BB2B99"/>
    <w:rsid w:val="00BB2C1D"/>
    <w:rsid w:val="00BB3B5D"/>
    <w:rsid w:val="00BB4158"/>
    <w:rsid w:val="00BB4316"/>
    <w:rsid w:val="00BB510A"/>
    <w:rsid w:val="00BB5660"/>
    <w:rsid w:val="00BB5663"/>
    <w:rsid w:val="00BB580E"/>
    <w:rsid w:val="00BB5D1C"/>
    <w:rsid w:val="00BB5F5A"/>
    <w:rsid w:val="00BB65C8"/>
    <w:rsid w:val="00BB6729"/>
    <w:rsid w:val="00BB6B22"/>
    <w:rsid w:val="00BB6C66"/>
    <w:rsid w:val="00BB79FE"/>
    <w:rsid w:val="00BC2E78"/>
    <w:rsid w:val="00BC625E"/>
    <w:rsid w:val="00BC6A6D"/>
    <w:rsid w:val="00BC6E18"/>
    <w:rsid w:val="00BC6F5E"/>
    <w:rsid w:val="00BC718A"/>
    <w:rsid w:val="00BD2391"/>
    <w:rsid w:val="00BD310C"/>
    <w:rsid w:val="00BD3D8C"/>
    <w:rsid w:val="00BD5249"/>
    <w:rsid w:val="00BD638D"/>
    <w:rsid w:val="00BD7625"/>
    <w:rsid w:val="00BE206F"/>
    <w:rsid w:val="00BE38F7"/>
    <w:rsid w:val="00BE3D2E"/>
    <w:rsid w:val="00BE5685"/>
    <w:rsid w:val="00BE5DBB"/>
    <w:rsid w:val="00BE6FF2"/>
    <w:rsid w:val="00BF0258"/>
    <w:rsid w:val="00BF037A"/>
    <w:rsid w:val="00BF1B87"/>
    <w:rsid w:val="00BF2C21"/>
    <w:rsid w:val="00BF32EB"/>
    <w:rsid w:val="00BF5D08"/>
    <w:rsid w:val="00BF6930"/>
    <w:rsid w:val="00BF6C07"/>
    <w:rsid w:val="00BF705A"/>
    <w:rsid w:val="00BF76C4"/>
    <w:rsid w:val="00C00322"/>
    <w:rsid w:val="00C00E2C"/>
    <w:rsid w:val="00C014DD"/>
    <w:rsid w:val="00C01D60"/>
    <w:rsid w:val="00C05375"/>
    <w:rsid w:val="00C067C7"/>
    <w:rsid w:val="00C069D3"/>
    <w:rsid w:val="00C10250"/>
    <w:rsid w:val="00C1264B"/>
    <w:rsid w:val="00C12839"/>
    <w:rsid w:val="00C12E4F"/>
    <w:rsid w:val="00C13E6F"/>
    <w:rsid w:val="00C1435B"/>
    <w:rsid w:val="00C15B5A"/>
    <w:rsid w:val="00C16274"/>
    <w:rsid w:val="00C1684F"/>
    <w:rsid w:val="00C1730A"/>
    <w:rsid w:val="00C240B1"/>
    <w:rsid w:val="00C25CDD"/>
    <w:rsid w:val="00C2634C"/>
    <w:rsid w:val="00C266E2"/>
    <w:rsid w:val="00C279A6"/>
    <w:rsid w:val="00C31452"/>
    <w:rsid w:val="00C34ADD"/>
    <w:rsid w:val="00C35202"/>
    <w:rsid w:val="00C353A9"/>
    <w:rsid w:val="00C35652"/>
    <w:rsid w:val="00C35D47"/>
    <w:rsid w:val="00C36210"/>
    <w:rsid w:val="00C36ACE"/>
    <w:rsid w:val="00C373D8"/>
    <w:rsid w:val="00C41819"/>
    <w:rsid w:val="00C42898"/>
    <w:rsid w:val="00C432F3"/>
    <w:rsid w:val="00C43542"/>
    <w:rsid w:val="00C43C83"/>
    <w:rsid w:val="00C45620"/>
    <w:rsid w:val="00C472F9"/>
    <w:rsid w:val="00C473B5"/>
    <w:rsid w:val="00C5132A"/>
    <w:rsid w:val="00C514F4"/>
    <w:rsid w:val="00C51639"/>
    <w:rsid w:val="00C52296"/>
    <w:rsid w:val="00C63715"/>
    <w:rsid w:val="00C64F03"/>
    <w:rsid w:val="00C66072"/>
    <w:rsid w:val="00C67E27"/>
    <w:rsid w:val="00C71826"/>
    <w:rsid w:val="00C73993"/>
    <w:rsid w:val="00C74734"/>
    <w:rsid w:val="00C75B55"/>
    <w:rsid w:val="00C75ECB"/>
    <w:rsid w:val="00C762E2"/>
    <w:rsid w:val="00C767B6"/>
    <w:rsid w:val="00C80525"/>
    <w:rsid w:val="00C80E44"/>
    <w:rsid w:val="00C83302"/>
    <w:rsid w:val="00C8794D"/>
    <w:rsid w:val="00C87F1D"/>
    <w:rsid w:val="00C909A8"/>
    <w:rsid w:val="00C91402"/>
    <w:rsid w:val="00C92F5A"/>
    <w:rsid w:val="00C932BB"/>
    <w:rsid w:val="00C94ED0"/>
    <w:rsid w:val="00C95087"/>
    <w:rsid w:val="00C95249"/>
    <w:rsid w:val="00C9567E"/>
    <w:rsid w:val="00C968CE"/>
    <w:rsid w:val="00C97B82"/>
    <w:rsid w:val="00CA22C5"/>
    <w:rsid w:val="00CA2CB9"/>
    <w:rsid w:val="00CA2D30"/>
    <w:rsid w:val="00CA645D"/>
    <w:rsid w:val="00CB0071"/>
    <w:rsid w:val="00CB0C63"/>
    <w:rsid w:val="00CB3467"/>
    <w:rsid w:val="00CB3DDB"/>
    <w:rsid w:val="00CB4E99"/>
    <w:rsid w:val="00CB609E"/>
    <w:rsid w:val="00CB6140"/>
    <w:rsid w:val="00CC0A82"/>
    <w:rsid w:val="00CC0F9C"/>
    <w:rsid w:val="00CC1094"/>
    <w:rsid w:val="00CC2680"/>
    <w:rsid w:val="00CC36A6"/>
    <w:rsid w:val="00CC409A"/>
    <w:rsid w:val="00CC4875"/>
    <w:rsid w:val="00CC5437"/>
    <w:rsid w:val="00CC7A4B"/>
    <w:rsid w:val="00CD14A7"/>
    <w:rsid w:val="00CD3920"/>
    <w:rsid w:val="00CD3E61"/>
    <w:rsid w:val="00CD46C7"/>
    <w:rsid w:val="00CD6578"/>
    <w:rsid w:val="00CE13C2"/>
    <w:rsid w:val="00CE1A86"/>
    <w:rsid w:val="00CE466B"/>
    <w:rsid w:val="00CE524E"/>
    <w:rsid w:val="00CE74A0"/>
    <w:rsid w:val="00CF0576"/>
    <w:rsid w:val="00CF0958"/>
    <w:rsid w:val="00CF1E52"/>
    <w:rsid w:val="00CF55D7"/>
    <w:rsid w:val="00CF59F0"/>
    <w:rsid w:val="00CF5C99"/>
    <w:rsid w:val="00CF5FA6"/>
    <w:rsid w:val="00CF5FE7"/>
    <w:rsid w:val="00D00585"/>
    <w:rsid w:val="00D01071"/>
    <w:rsid w:val="00D0204D"/>
    <w:rsid w:val="00D042D2"/>
    <w:rsid w:val="00D04774"/>
    <w:rsid w:val="00D05360"/>
    <w:rsid w:val="00D0687C"/>
    <w:rsid w:val="00D06A03"/>
    <w:rsid w:val="00D07782"/>
    <w:rsid w:val="00D135DB"/>
    <w:rsid w:val="00D13ACA"/>
    <w:rsid w:val="00D14648"/>
    <w:rsid w:val="00D14F60"/>
    <w:rsid w:val="00D1519E"/>
    <w:rsid w:val="00D15AC4"/>
    <w:rsid w:val="00D21061"/>
    <w:rsid w:val="00D22CBC"/>
    <w:rsid w:val="00D26D7F"/>
    <w:rsid w:val="00D300F3"/>
    <w:rsid w:val="00D31FF9"/>
    <w:rsid w:val="00D3272A"/>
    <w:rsid w:val="00D330A1"/>
    <w:rsid w:val="00D347C6"/>
    <w:rsid w:val="00D36505"/>
    <w:rsid w:val="00D365F9"/>
    <w:rsid w:val="00D37F13"/>
    <w:rsid w:val="00D37F94"/>
    <w:rsid w:val="00D40F28"/>
    <w:rsid w:val="00D43A42"/>
    <w:rsid w:val="00D441A8"/>
    <w:rsid w:val="00D44726"/>
    <w:rsid w:val="00D46440"/>
    <w:rsid w:val="00D47277"/>
    <w:rsid w:val="00D47F04"/>
    <w:rsid w:val="00D50304"/>
    <w:rsid w:val="00D51F50"/>
    <w:rsid w:val="00D53777"/>
    <w:rsid w:val="00D538D8"/>
    <w:rsid w:val="00D54150"/>
    <w:rsid w:val="00D55A5C"/>
    <w:rsid w:val="00D56406"/>
    <w:rsid w:val="00D607B6"/>
    <w:rsid w:val="00D62097"/>
    <w:rsid w:val="00D62602"/>
    <w:rsid w:val="00D6261F"/>
    <w:rsid w:val="00D63A38"/>
    <w:rsid w:val="00D6420B"/>
    <w:rsid w:val="00D65F53"/>
    <w:rsid w:val="00D67B5E"/>
    <w:rsid w:val="00D67DDE"/>
    <w:rsid w:val="00D70205"/>
    <w:rsid w:val="00D71986"/>
    <w:rsid w:val="00D740F0"/>
    <w:rsid w:val="00D75E0F"/>
    <w:rsid w:val="00D77BD8"/>
    <w:rsid w:val="00D80465"/>
    <w:rsid w:val="00D8145F"/>
    <w:rsid w:val="00D8222A"/>
    <w:rsid w:val="00D82CA9"/>
    <w:rsid w:val="00D83E73"/>
    <w:rsid w:val="00D85A6B"/>
    <w:rsid w:val="00D86967"/>
    <w:rsid w:val="00D86EFB"/>
    <w:rsid w:val="00D9066D"/>
    <w:rsid w:val="00D909D0"/>
    <w:rsid w:val="00D911A0"/>
    <w:rsid w:val="00D91F59"/>
    <w:rsid w:val="00D92957"/>
    <w:rsid w:val="00D95700"/>
    <w:rsid w:val="00DA16FC"/>
    <w:rsid w:val="00DA2463"/>
    <w:rsid w:val="00DA36C0"/>
    <w:rsid w:val="00DA5A79"/>
    <w:rsid w:val="00DA5A95"/>
    <w:rsid w:val="00DA621C"/>
    <w:rsid w:val="00DB226D"/>
    <w:rsid w:val="00DB279A"/>
    <w:rsid w:val="00DC2C5C"/>
    <w:rsid w:val="00DC31B4"/>
    <w:rsid w:val="00DC388C"/>
    <w:rsid w:val="00DC3F48"/>
    <w:rsid w:val="00DC6BEB"/>
    <w:rsid w:val="00DC6DAB"/>
    <w:rsid w:val="00DD024E"/>
    <w:rsid w:val="00DD2DF4"/>
    <w:rsid w:val="00DD4FC6"/>
    <w:rsid w:val="00DD6336"/>
    <w:rsid w:val="00DD6D78"/>
    <w:rsid w:val="00DD7236"/>
    <w:rsid w:val="00DE2D0C"/>
    <w:rsid w:val="00DE56C5"/>
    <w:rsid w:val="00DE67C4"/>
    <w:rsid w:val="00DE739F"/>
    <w:rsid w:val="00DF1A56"/>
    <w:rsid w:val="00DF1F0E"/>
    <w:rsid w:val="00DF37B3"/>
    <w:rsid w:val="00DF5363"/>
    <w:rsid w:val="00DF6732"/>
    <w:rsid w:val="00DF68DE"/>
    <w:rsid w:val="00DF773F"/>
    <w:rsid w:val="00E035AF"/>
    <w:rsid w:val="00E03C2B"/>
    <w:rsid w:val="00E05B0E"/>
    <w:rsid w:val="00E07EC1"/>
    <w:rsid w:val="00E10DE9"/>
    <w:rsid w:val="00E11BDB"/>
    <w:rsid w:val="00E11CA5"/>
    <w:rsid w:val="00E1242E"/>
    <w:rsid w:val="00E12458"/>
    <w:rsid w:val="00E13715"/>
    <w:rsid w:val="00E15769"/>
    <w:rsid w:val="00E205D1"/>
    <w:rsid w:val="00E2165C"/>
    <w:rsid w:val="00E228FD"/>
    <w:rsid w:val="00E25D19"/>
    <w:rsid w:val="00E2600F"/>
    <w:rsid w:val="00E27547"/>
    <w:rsid w:val="00E30544"/>
    <w:rsid w:val="00E30937"/>
    <w:rsid w:val="00E31962"/>
    <w:rsid w:val="00E31CDE"/>
    <w:rsid w:val="00E342E6"/>
    <w:rsid w:val="00E34A95"/>
    <w:rsid w:val="00E35385"/>
    <w:rsid w:val="00E363D5"/>
    <w:rsid w:val="00E363E9"/>
    <w:rsid w:val="00E37037"/>
    <w:rsid w:val="00E37ED5"/>
    <w:rsid w:val="00E41791"/>
    <w:rsid w:val="00E44EE1"/>
    <w:rsid w:val="00E4535E"/>
    <w:rsid w:val="00E50226"/>
    <w:rsid w:val="00E50378"/>
    <w:rsid w:val="00E50D53"/>
    <w:rsid w:val="00E5228D"/>
    <w:rsid w:val="00E54805"/>
    <w:rsid w:val="00E54DF7"/>
    <w:rsid w:val="00E55AE8"/>
    <w:rsid w:val="00E55CF6"/>
    <w:rsid w:val="00E56108"/>
    <w:rsid w:val="00E61FB2"/>
    <w:rsid w:val="00E6288E"/>
    <w:rsid w:val="00E62B9A"/>
    <w:rsid w:val="00E62FC4"/>
    <w:rsid w:val="00E64A15"/>
    <w:rsid w:val="00E65355"/>
    <w:rsid w:val="00E67179"/>
    <w:rsid w:val="00E70063"/>
    <w:rsid w:val="00E71FD4"/>
    <w:rsid w:val="00E73058"/>
    <w:rsid w:val="00E748E0"/>
    <w:rsid w:val="00E74ABE"/>
    <w:rsid w:val="00E75404"/>
    <w:rsid w:val="00E7595B"/>
    <w:rsid w:val="00E769FA"/>
    <w:rsid w:val="00E80907"/>
    <w:rsid w:val="00E80942"/>
    <w:rsid w:val="00E81B1C"/>
    <w:rsid w:val="00E81BB9"/>
    <w:rsid w:val="00E83EBD"/>
    <w:rsid w:val="00E84EC9"/>
    <w:rsid w:val="00E84F30"/>
    <w:rsid w:val="00E8728D"/>
    <w:rsid w:val="00E87A43"/>
    <w:rsid w:val="00E87F38"/>
    <w:rsid w:val="00E915AA"/>
    <w:rsid w:val="00E91C4D"/>
    <w:rsid w:val="00E924B1"/>
    <w:rsid w:val="00E9404C"/>
    <w:rsid w:val="00E9426D"/>
    <w:rsid w:val="00E94DCB"/>
    <w:rsid w:val="00E97A32"/>
    <w:rsid w:val="00EA058A"/>
    <w:rsid w:val="00EA1B0D"/>
    <w:rsid w:val="00EA32BA"/>
    <w:rsid w:val="00EA34A6"/>
    <w:rsid w:val="00EA35AC"/>
    <w:rsid w:val="00EA40AE"/>
    <w:rsid w:val="00EB2BA1"/>
    <w:rsid w:val="00EB2EB6"/>
    <w:rsid w:val="00EB327D"/>
    <w:rsid w:val="00EB39AE"/>
    <w:rsid w:val="00EB5501"/>
    <w:rsid w:val="00EB5B74"/>
    <w:rsid w:val="00EB6E13"/>
    <w:rsid w:val="00EB75A8"/>
    <w:rsid w:val="00EC12B8"/>
    <w:rsid w:val="00EC13D5"/>
    <w:rsid w:val="00EC221B"/>
    <w:rsid w:val="00EC39A3"/>
    <w:rsid w:val="00EC3D49"/>
    <w:rsid w:val="00EC4961"/>
    <w:rsid w:val="00EC641F"/>
    <w:rsid w:val="00EC7BAA"/>
    <w:rsid w:val="00EC7D5C"/>
    <w:rsid w:val="00ED067A"/>
    <w:rsid w:val="00ED16D1"/>
    <w:rsid w:val="00ED2AC1"/>
    <w:rsid w:val="00ED4845"/>
    <w:rsid w:val="00ED59CF"/>
    <w:rsid w:val="00ED5F46"/>
    <w:rsid w:val="00ED6183"/>
    <w:rsid w:val="00ED7B9A"/>
    <w:rsid w:val="00EE07BF"/>
    <w:rsid w:val="00EE1C22"/>
    <w:rsid w:val="00EE1D2C"/>
    <w:rsid w:val="00EE399E"/>
    <w:rsid w:val="00EE59D0"/>
    <w:rsid w:val="00EE5FE2"/>
    <w:rsid w:val="00EE7801"/>
    <w:rsid w:val="00EE7DD3"/>
    <w:rsid w:val="00EF1BEB"/>
    <w:rsid w:val="00EF3DBF"/>
    <w:rsid w:val="00EF57E6"/>
    <w:rsid w:val="00EF6B62"/>
    <w:rsid w:val="00F02732"/>
    <w:rsid w:val="00F059AC"/>
    <w:rsid w:val="00F0691B"/>
    <w:rsid w:val="00F06FFD"/>
    <w:rsid w:val="00F07C0C"/>
    <w:rsid w:val="00F07D0E"/>
    <w:rsid w:val="00F1766C"/>
    <w:rsid w:val="00F17868"/>
    <w:rsid w:val="00F20017"/>
    <w:rsid w:val="00F218A3"/>
    <w:rsid w:val="00F21E5E"/>
    <w:rsid w:val="00F22025"/>
    <w:rsid w:val="00F22C4D"/>
    <w:rsid w:val="00F23809"/>
    <w:rsid w:val="00F268B7"/>
    <w:rsid w:val="00F27A2F"/>
    <w:rsid w:val="00F32C52"/>
    <w:rsid w:val="00F33CD1"/>
    <w:rsid w:val="00F340A7"/>
    <w:rsid w:val="00F342A9"/>
    <w:rsid w:val="00F35075"/>
    <w:rsid w:val="00F35FD5"/>
    <w:rsid w:val="00F36014"/>
    <w:rsid w:val="00F36D07"/>
    <w:rsid w:val="00F36D66"/>
    <w:rsid w:val="00F3741B"/>
    <w:rsid w:val="00F37A0D"/>
    <w:rsid w:val="00F401D9"/>
    <w:rsid w:val="00F41074"/>
    <w:rsid w:val="00F4291C"/>
    <w:rsid w:val="00F42A02"/>
    <w:rsid w:val="00F42F72"/>
    <w:rsid w:val="00F44238"/>
    <w:rsid w:val="00F460C0"/>
    <w:rsid w:val="00F46C95"/>
    <w:rsid w:val="00F504D6"/>
    <w:rsid w:val="00F50C82"/>
    <w:rsid w:val="00F51506"/>
    <w:rsid w:val="00F517E9"/>
    <w:rsid w:val="00F527E7"/>
    <w:rsid w:val="00F55533"/>
    <w:rsid w:val="00F55548"/>
    <w:rsid w:val="00F56BCF"/>
    <w:rsid w:val="00F56F3F"/>
    <w:rsid w:val="00F6049B"/>
    <w:rsid w:val="00F60991"/>
    <w:rsid w:val="00F60E1C"/>
    <w:rsid w:val="00F60E74"/>
    <w:rsid w:val="00F61415"/>
    <w:rsid w:val="00F624C8"/>
    <w:rsid w:val="00F6643A"/>
    <w:rsid w:val="00F671F2"/>
    <w:rsid w:val="00F67EF5"/>
    <w:rsid w:val="00F70A25"/>
    <w:rsid w:val="00F723BF"/>
    <w:rsid w:val="00F72A4D"/>
    <w:rsid w:val="00F736EF"/>
    <w:rsid w:val="00F739FF"/>
    <w:rsid w:val="00F74B13"/>
    <w:rsid w:val="00F75F15"/>
    <w:rsid w:val="00F773B2"/>
    <w:rsid w:val="00F777DC"/>
    <w:rsid w:val="00F825D6"/>
    <w:rsid w:val="00F825DE"/>
    <w:rsid w:val="00F8549E"/>
    <w:rsid w:val="00F858B7"/>
    <w:rsid w:val="00F87D16"/>
    <w:rsid w:val="00F87EB6"/>
    <w:rsid w:val="00F90E5F"/>
    <w:rsid w:val="00F91853"/>
    <w:rsid w:val="00F92D58"/>
    <w:rsid w:val="00F955F1"/>
    <w:rsid w:val="00F964E8"/>
    <w:rsid w:val="00F96586"/>
    <w:rsid w:val="00F96B68"/>
    <w:rsid w:val="00F97155"/>
    <w:rsid w:val="00FA15A6"/>
    <w:rsid w:val="00FA38E6"/>
    <w:rsid w:val="00FA4B99"/>
    <w:rsid w:val="00FA6412"/>
    <w:rsid w:val="00FA6FCC"/>
    <w:rsid w:val="00FA7BD2"/>
    <w:rsid w:val="00FB0D41"/>
    <w:rsid w:val="00FB0DE0"/>
    <w:rsid w:val="00FB2130"/>
    <w:rsid w:val="00FB2791"/>
    <w:rsid w:val="00FB2DC0"/>
    <w:rsid w:val="00FB337E"/>
    <w:rsid w:val="00FB737C"/>
    <w:rsid w:val="00FC2A19"/>
    <w:rsid w:val="00FC3A8A"/>
    <w:rsid w:val="00FC567B"/>
    <w:rsid w:val="00FC56BE"/>
    <w:rsid w:val="00FD0EDF"/>
    <w:rsid w:val="00FD28E0"/>
    <w:rsid w:val="00FD564F"/>
    <w:rsid w:val="00FD5BD7"/>
    <w:rsid w:val="00FE1552"/>
    <w:rsid w:val="00FE3B21"/>
    <w:rsid w:val="00FE558F"/>
    <w:rsid w:val="00FE6328"/>
    <w:rsid w:val="00FE72D4"/>
    <w:rsid w:val="00FF39E5"/>
    <w:rsid w:val="00FF5A90"/>
    <w:rsid w:val="00FF5B2E"/>
    <w:rsid w:val="00FF732B"/>
    <w:rsid w:val="00FF79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28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35AC"/>
    <w:rPr>
      <w:sz w:val="16"/>
      <w:szCs w:val="16"/>
    </w:rPr>
  </w:style>
  <w:style w:type="paragraph" w:styleId="CommentText">
    <w:name w:val="annotation text"/>
    <w:basedOn w:val="Normal"/>
    <w:link w:val="CommentTextChar"/>
    <w:uiPriority w:val="99"/>
    <w:semiHidden/>
    <w:unhideWhenUsed/>
    <w:rsid w:val="00EA35AC"/>
    <w:pPr>
      <w:spacing w:line="240" w:lineRule="auto"/>
    </w:pPr>
    <w:rPr>
      <w:sz w:val="20"/>
      <w:szCs w:val="20"/>
    </w:rPr>
  </w:style>
  <w:style w:type="character" w:customStyle="1" w:styleId="CommentTextChar">
    <w:name w:val="Comment Text Char"/>
    <w:basedOn w:val="DefaultParagraphFont"/>
    <w:link w:val="CommentText"/>
    <w:uiPriority w:val="99"/>
    <w:semiHidden/>
    <w:rsid w:val="00EA35AC"/>
    <w:rPr>
      <w:sz w:val="20"/>
      <w:szCs w:val="20"/>
    </w:rPr>
  </w:style>
  <w:style w:type="table" w:customStyle="1" w:styleId="Almindeligtabel11">
    <w:name w:val="Almindelig tabel 11"/>
    <w:basedOn w:val="TableNormal"/>
    <w:uiPriority w:val="41"/>
    <w:rsid w:val="00EA35A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A3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5AC"/>
    <w:rPr>
      <w:rFonts w:ascii="Segoe UI" w:hAnsi="Segoe UI" w:cs="Segoe UI"/>
      <w:sz w:val="18"/>
      <w:szCs w:val="18"/>
    </w:rPr>
  </w:style>
  <w:style w:type="table" w:styleId="LightShading">
    <w:name w:val="Light Shading"/>
    <w:basedOn w:val="TableNormal"/>
    <w:uiPriority w:val="60"/>
    <w:rsid w:val="000D201D"/>
    <w:pPr>
      <w:spacing w:after="0" w:line="240" w:lineRule="auto"/>
    </w:pPr>
    <w:rPr>
      <w:rFonts w:eastAsiaTheme="minorEastAsia"/>
      <w:color w:val="000000" w:themeColor="text1" w:themeShade="BF"/>
      <w:lang w:eastAsia="da-DK"/>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11">
    <w:name w:val="Plain Table 11"/>
    <w:basedOn w:val="TableNormal"/>
    <w:uiPriority w:val="41"/>
    <w:rsid w:val="004D45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922</Words>
  <Characters>5256</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Köhler</dc:creator>
  <cp:lastModifiedBy>Microsoft Office User</cp:lastModifiedBy>
  <cp:revision>12</cp:revision>
  <dcterms:created xsi:type="dcterms:W3CDTF">2019-01-04T11:00:00Z</dcterms:created>
  <dcterms:modified xsi:type="dcterms:W3CDTF">2019-04-01T09:19:00Z</dcterms:modified>
</cp:coreProperties>
</file>