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346DD" w14:textId="77777777" w:rsidR="00D93B44" w:rsidRPr="00F20B60" w:rsidRDefault="00D93B44" w:rsidP="00011CC6">
      <w:pPr>
        <w:spacing w:before="240"/>
        <w:rPr>
          <w:rFonts w:cstheme="minorHAnsi"/>
          <w:b/>
          <w:sz w:val="28"/>
          <w:szCs w:val="28"/>
          <w:lang w:val="en-US"/>
        </w:rPr>
      </w:pPr>
      <w:r w:rsidRPr="00F20B60">
        <w:rPr>
          <w:rFonts w:cstheme="minorHAnsi"/>
          <w:b/>
          <w:sz w:val="28"/>
          <w:szCs w:val="28"/>
          <w:lang w:val="en-US"/>
        </w:rPr>
        <w:t>Supplementary Table 1 – Examples of decisions made by the CTU group on whether an adverse event description warranted classification as an SAE</w:t>
      </w:r>
      <w:r>
        <w:rPr>
          <w:rFonts w:cstheme="minorHAnsi"/>
          <w:b/>
          <w:sz w:val="28"/>
          <w:szCs w:val="28"/>
          <w:lang w:val="en-US"/>
        </w:rPr>
        <w:t xml:space="preserve"> or not</w:t>
      </w:r>
      <w:r w:rsidR="00756C8B">
        <w:rPr>
          <w:rFonts w:cstheme="minorHAnsi"/>
          <w:b/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366"/>
        <w:gridCol w:w="1312"/>
        <w:gridCol w:w="2642"/>
      </w:tblGrid>
      <w:tr w:rsidR="00D93B44" w:rsidRPr="004E2BE9" w14:paraId="639712A6" w14:textId="77777777" w:rsidTr="00677766">
        <w:tc>
          <w:tcPr>
            <w:tcW w:w="1696" w:type="dxa"/>
          </w:tcPr>
          <w:p w14:paraId="73D27CAD" w14:textId="77777777" w:rsidR="00D93B44" w:rsidRPr="00F20B60" w:rsidRDefault="00D93B44" w:rsidP="00011CC6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0B60">
              <w:rPr>
                <w:rFonts w:cstheme="minorHAnsi"/>
                <w:b/>
                <w:sz w:val="28"/>
                <w:szCs w:val="28"/>
              </w:rPr>
              <w:t>Study</w:t>
            </w:r>
            <w:proofErr w:type="spellEnd"/>
          </w:p>
        </w:tc>
        <w:tc>
          <w:tcPr>
            <w:tcW w:w="3366" w:type="dxa"/>
          </w:tcPr>
          <w:p w14:paraId="6D05E45E" w14:textId="77777777" w:rsidR="00D93B44" w:rsidRPr="00F20B60" w:rsidRDefault="00D93B44" w:rsidP="00011CC6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 w:rsidRPr="00F20B60">
              <w:rPr>
                <w:rFonts w:cstheme="minorHAnsi"/>
                <w:b/>
                <w:sz w:val="28"/>
                <w:szCs w:val="28"/>
              </w:rPr>
              <w:t xml:space="preserve">Event </w:t>
            </w:r>
            <w:proofErr w:type="spellStart"/>
            <w:r w:rsidRPr="00F20B60">
              <w:rPr>
                <w:rFonts w:cstheme="minorHAnsi"/>
                <w:b/>
                <w:sz w:val="28"/>
                <w:szCs w:val="28"/>
              </w:rPr>
              <w:t>description</w:t>
            </w:r>
            <w:proofErr w:type="spellEnd"/>
          </w:p>
        </w:tc>
        <w:tc>
          <w:tcPr>
            <w:tcW w:w="1312" w:type="dxa"/>
          </w:tcPr>
          <w:p w14:paraId="1616DD2B" w14:textId="77777777" w:rsidR="00D93B44" w:rsidRPr="00F20B60" w:rsidRDefault="00D93B44" w:rsidP="00011CC6">
            <w:pPr>
              <w:spacing w:before="240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Classified as SAE by the CTU?</w:t>
            </w:r>
          </w:p>
        </w:tc>
        <w:tc>
          <w:tcPr>
            <w:tcW w:w="2642" w:type="dxa"/>
          </w:tcPr>
          <w:p w14:paraId="062F6735" w14:textId="77777777" w:rsidR="00D93B44" w:rsidRPr="00F20B60" w:rsidRDefault="00D93B44" w:rsidP="00011CC6">
            <w:pPr>
              <w:spacing w:before="24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20B60">
              <w:rPr>
                <w:rFonts w:cstheme="minorHAnsi"/>
                <w:b/>
                <w:sz w:val="28"/>
                <w:szCs w:val="28"/>
                <w:lang w:val="en-US"/>
              </w:rPr>
              <w:t>Would including these events strengthen the association between SAEs and SSRIs?</w:t>
            </w:r>
          </w:p>
        </w:tc>
      </w:tr>
      <w:tr w:rsidR="00D93B44" w:rsidRPr="00F20B60" w14:paraId="33710A7A" w14:textId="77777777" w:rsidTr="00677766">
        <w:tc>
          <w:tcPr>
            <w:tcW w:w="1696" w:type="dxa"/>
            <w:vAlign w:val="bottom"/>
          </w:tcPr>
          <w:p w14:paraId="35B36590" w14:textId="77777777" w:rsidR="00D93B44" w:rsidRPr="00F20B60" w:rsidRDefault="00D93B44" w:rsidP="00011CC6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0B60">
              <w:rPr>
                <w:rFonts w:cstheme="minorHAnsi"/>
                <w:sz w:val="28"/>
                <w:szCs w:val="28"/>
              </w:rPr>
              <w:t>Claghorn</w:t>
            </w:r>
            <w:proofErr w:type="spellEnd"/>
            <w:r w:rsidRPr="00F20B60">
              <w:rPr>
                <w:rFonts w:cstheme="minorHAnsi"/>
                <w:sz w:val="28"/>
                <w:szCs w:val="28"/>
              </w:rPr>
              <w:t xml:space="preserve"> et. al., 1996 </w:t>
            </w:r>
            <w:r w:rsidRPr="00F20B60">
              <w:rPr>
                <w:rFonts w:cstheme="minorHAnsi"/>
                <w:noProof/>
                <w:sz w:val="28"/>
                <w:szCs w:val="28"/>
              </w:rPr>
              <w:t>(1)</w:t>
            </w:r>
          </w:p>
        </w:tc>
        <w:tc>
          <w:tcPr>
            <w:tcW w:w="3366" w:type="dxa"/>
            <w:vAlign w:val="bottom"/>
          </w:tcPr>
          <w:p w14:paraId="3E4C176F" w14:textId="77777777" w:rsidR="00D93B44" w:rsidRPr="00F20B60" w:rsidRDefault="00D93B44" w:rsidP="00011CC6">
            <w:pPr>
              <w:spacing w:before="24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20B60">
              <w:rPr>
                <w:rFonts w:cstheme="minorHAnsi"/>
                <w:sz w:val="28"/>
                <w:szCs w:val="28"/>
                <w:lang w:val="en-US"/>
              </w:rPr>
              <w:t>“Minor non-specific ST-T changes”</w:t>
            </w:r>
          </w:p>
        </w:tc>
        <w:tc>
          <w:tcPr>
            <w:tcW w:w="1312" w:type="dxa"/>
            <w:vAlign w:val="bottom"/>
          </w:tcPr>
          <w:p w14:paraId="082BDA2A" w14:textId="77777777" w:rsidR="00D93B44" w:rsidRPr="00F20B60" w:rsidRDefault="00D93B44" w:rsidP="00011CC6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0B60">
              <w:rPr>
                <w:rFonts w:cstheme="minorHAnsi"/>
                <w:sz w:val="28"/>
                <w:szCs w:val="28"/>
              </w:rPr>
              <w:t>Yes</w:t>
            </w:r>
            <w:proofErr w:type="spellEnd"/>
          </w:p>
        </w:tc>
        <w:tc>
          <w:tcPr>
            <w:tcW w:w="2642" w:type="dxa"/>
            <w:vAlign w:val="bottom"/>
          </w:tcPr>
          <w:p w14:paraId="155D32C2" w14:textId="77777777" w:rsidR="00D93B44" w:rsidRPr="00F20B60" w:rsidRDefault="00D93B44" w:rsidP="00011CC6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20B60">
              <w:rPr>
                <w:rFonts w:cstheme="minorHAnsi"/>
                <w:sz w:val="28"/>
                <w:szCs w:val="28"/>
              </w:rPr>
              <w:t>Yes</w:t>
            </w:r>
            <w:proofErr w:type="spellEnd"/>
          </w:p>
        </w:tc>
      </w:tr>
      <w:tr w:rsidR="00D93B44" w:rsidRPr="00F20B60" w14:paraId="1661CEC7" w14:textId="77777777" w:rsidTr="00677766">
        <w:tc>
          <w:tcPr>
            <w:tcW w:w="1696" w:type="dxa"/>
            <w:vAlign w:val="bottom"/>
          </w:tcPr>
          <w:p w14:paraId="12ABC789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20B60">
              <w:rPr>
                <w:rFonts w:cstheme="minorHAnsi"/>
                <w:sz w:val="28"/>
                <w:szCs w:val="28"/>
              </w:rPr>
              <w:t xml:space="preserve">Fabre et. al., 1985 </w:t>
            </w:r>
            <w:r w:rsidRPr="00F20B60">
              <w:rPr>
                <w:rFonts w:cstheme="minorHAnsi"/>
                <w:noProof/>
                <w:sz w:val="28"/>
                <w:szCs w:val="28"/>
              </w:rPr>
              <w:t>(2)</w:t>
            </w:r>
          </w:p>
        </w:tc>
        <w:tc>
          <w:tcPr>
            <w:tcW w:w="3366" w:type="dxa"/>
            <w:vAlign w:val="bottom"/>
          </w:tcPr>
          <w:p w14:paraId="631284BF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  <w:lang w:val="en-US"/>
              </w:rPr>
            </w:pPr>
            <w:r w:rsidRPr="00F20B60">
              <w:rPr>
                <w:rFonts w:cstheme="minorHAnsi"/>
                <w:sz w:val="28"/>
                <w:szCs w:val="28"/>
                <w:lang w:val="en-US"/>
              </w:rPr>
              <w:t>“Non-specific ST-T change”</w:t>
            </w:r>
          </w:p>
        </w:tc>
        <w:tc>
          <w:tcPr>
            <w:tcW w:w="1312" w:type="dxa"/>
            <w:vAlign w:val="bottom"/>
          </w:tcPr>
          <w:p w14:paraId="587B7325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20B60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2642" w:type="dxa"/>
            <w:vAlign w:val="bottom"/>
          </w:tcPr>
          <w:p w14:paraId="12FD3187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20B60">
              <w:rPr>
                <w:rFonts w:cstheme="minorHAnsi"/>
                <w:sz w:val="28"/>
                <w:szCs w:val="28"/>
              </w:rPr>
              <w:t>No</w:t>
            </w:r>
          </w:p>
        </w:tc>
      </w:tr>
      <w:tr w:rsidR="00D93B44" w:rsidRPr="00F20B60" w14:paraId="439B6617" w14:textId="77777777" w:rsidTr="00677766">
        <w:tc>
          <w:tcPr>
            <w:tcW w:w="1696" w:type="dxa"/>
            <w:vAlign w:val="bottom"/>
          </w:tcPr>
          <w:p w14:paraId="41466DC0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</w:rPr>
            </w:pPr>
            <w:proofErr w:type="spellStart"/>
            <w:r w:rsidRPr="00F20B60">
              <w:rPr>
                <w:rFonts w:cstheme="minorHAnsi"/>
                <w:sz w:val="28"/>
                <w:szCs w:val="28"/>
              </w:rPr>
              <w:t>Lydiard</w:t>
            </w:r>
            <w:proofErr w:type="spellEnd"/>
            <w:r w:rsidRPr="00F20B60">
              <w:rPr>
                <w:rFonts w:cstheme="minorHAnsi"/>
                <w:sz w:val="28"/>
                <w:szCs w:val="28"/>
              </w:rPr>
              <w:t xml:space="preserve"> et. al., 1997 </w:t>
            </w:r>
            <w:r w:rsidRPr="00F20B60">
              <w:rPr>
                <w:rFonts w:cstheme="minorHAnsi"/>
                <w:noProof/>
                <w:sz w:val="28"/>
                <w:szCs w:val="28"/>
              </w:rPr>
              <w:t>(3)</w:t>
            </w:r>
          </w:p>
        </w:tc>
        <w:tc>
          <w:tcPr>
            <w:tcW w:w="3366" w:type="dxa"/>
            <w:vAlign w:val="bottom"/>
          </w:tcPr>
          <w:p w14:paraId="45ED4733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  <w:lang w:val="en-US"/>
              </w:rPr>
            </w:pPr>
            <w:r w:rsidRPr="00F20B60">
              <w:rPr>
                <w:rFonts w:cstheme="minorHAnsi"/>
                <w:sz w:val="28"/>
                <w:szCs w:val="28"/>
                <w:lang w:val="en-US"/>
              </w:rPr>
              <w:t>“Discontinued due to ECG- abnormalities”</w:t>
            </w:r>
          </w:p>
        </w:tc>
        <w:tc>
          <w:tcPr>
            <w:tcW w:w="1312" w:type="dxa"/>
            <w:vAlign w:val="bottom"/>
          </w:tcPr>
          <w:p w14:paraId="3AD1514F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20B60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2642" w:type="dxa"/>
            <w:vAlign w:val="bottom"/>
          </w:tcPr>
          <w:p w14:paraId="0B291F1E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20B60">
              <w:rPr>
                <w:rFonts w:cstheme="minorHAnsi"/>
                <w:sz w:val="28"/>
                <w:szCs w:val="28"/>
              </w:rPr>
              <w:t>No</w:t>
            </w:r>
          </w:p>
        </w:tc>
      </w:tr>
      <w:tr w:rsidR="00D93B44" w:rsidRPr="00F20B60" w14:paraId="143CCDF8" w14:textId="77777777" w:rsidTr="00677766">
        <w:tc>
          <w:tcPr>
            <w:tcW w:w="1696" w:type="dxa"/>
            <w:vAlign w:val="bottom"/>
          </w:tcPr>
          <w:p w14:paraId="3BA84FEE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</w:rPr>
            </w:pPr>
            <w:proofErr w:type="spellStart"/>
            <w:r w:rsidRPr="00F20B60">
              <w:rPr>
                <w:rFonts w:cstheme="minorHAnsi"/>
                <w:sz w:val="28"/>
                <w:szCs w:val="28"/>
              </w:rPr>
              <w:t>Wernicke</w:t>
            </w:r>
            <w:proofErr w:type="spellEnd"/>
            <w:r w:rsidRPr="00F20B60">
              <w:rPr>
                <w:rFonts w:cstheme="minorHAnsi"/>
                <w:sz w:val="28"/>
                <w:szCs w:val="28"/>
              </w:rPr>
              <w:t xml:space="preserve"> et. al., 1988 </w:t>
            </w:r>
            <w:r w:rsidRPr="00F20B60">
              <w:rPr>
                <w:rFonts w:cstheme="minorHAnsi"/>
                <w:noProof/>
                <w:sz w:val="28"/>
                <w:szCs w:val="28"/>
              </w:rPr>
              <w:t>(4)</w:t>
            </w:r>
          </w:p>
        </w:tc>
        <w:tc>
          <w:tcPr>
            <w:tcW w:w="3366" w:type="dxa"/>
            <w:vAlign w:val="bottom"/>
          </w:tcPr>
          <w:p w14:paraId="430F338E" w14:textId="77777777" w:rsidR="00D93B44" w:rsidRPr="00F20B60" w:rsidRDefault="00D93B44" w:rsidP="00011CC6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 w:rsidRPr="00F20B60">
              <w:rPr>
                <w:rFonts w:cstheme="minorHAnsi"/>
                <w:sz w:val="28"/>
                <w:szCs w:val="28"/>
                <w:lang w:val="en-US"/>
              </w:rPr>
              <w:t>“Worsening of depression considered clinically significant”</w:t>
            </w:r>
          </w:p>
        </w:tc>
        <w:tc>
          <w:tcPr>
            <w:tcW w:w="1312" w:type="dxa"/>
            <w:vAlign w:val="bottom"/>
          </w:tcPr>
          <w:p w14:paraId="39399D1D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</w:rPr>
            </w:pPr>
            <w:proofErr w:type="spellStart"/>
            <w:r w:rsidRPr="00F20B60">
              <w:rPr>
                <w:rFonts w:cstheme="minorHAnsi"/>
                <w:sz w:val="28"/>
                <w:szCs w:val="28"/>
              </w:rPr>
              <w:t>Yes</w:t>
            </w:r>
            <w:proofErr w:type="spellEnd"/>
          </w:p>
        </w:tc>
        <w:tc>
          <w:tcPr>
            <w:tcW w:w="2642" w:type="dxa"/>
            <w:vAlign w:val="bottom"/>
          </w:tcPr>
          <w:p w14:paraId="724D22CC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</w:rPr>
            </w:pPr>
            <w:proofErr w:type="spellStart"/>
            <w:r w:rsidRPr="00F20B60">
              <w:rPr>
                <w:rFonts w:cstheme="minorHAnsi"/>
                <w:sz w:val="28"/>
                <w:szCs w:val="28"/>
              </w:rPr>
              <w:t>Yes</w:t>
            </w:r>
            <w:proofErr w:type="spellEnd"/>
          </w:p>
        </w:tc>
      </w:tr>
      <w:tr w:rsidR="00D93B44" w:rsidRPr="00F20B60" w14:paraId="25B424A1" w14:textId="77777777" w:rsidTr="00677766">
        <w:tc>
          <w:tcPr>
            <w:tcW w:w="1696" w:type="dxa"/>
            <w:vAlign w:val="bottom"/>
          </w:tcPr>
          <w:p w14:paraId="7BB65F42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20B60">
              <w:rPr>
                <w:rFonts w:cstheme="minorHAnsi"/>
                <w:sz w:val="28"/>
                <w:szCs w:val="28"/>
              </w:rPr>
              <w:t xml:space="preserve">Norton et. al., 1984 </w:t>
            </w:r>
            <w:r w:rsidRPr="00F20B60">
              <w:rPr>
                <w:rFonts w:cstheme="minorHAnsi"/>
                <w:noProof/>
                <w:sz w:val="28"/>
                <w:szCs w:val="28"/>
              </w:rPr>
              <w:t>(5)</w:t>
            </w:r>
          </w:p>
        </w:tc>
        <w:tc>
          <w:tcPr>
            <w:tcW w:w="3366" w:type="dxa"/>
            <w:vAlign w:val="bottom"/>
          </w:tcPr>
          <w:p w14:paraId="1E7161B6" w14:textId="77777777" w:rsidR="00D93B44" w:rsidRPr="00F20B60" w:rsidRDefault="00D93B44" w:rsidP="00011CC6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 w:rsidRPr="00F20B60">
              <w:rPr>
                <w:rFonts w:cstheme="minorHAnsi"/>
                <w:sz w:val="28"/>
                <w:szCs w:val="28"/>
                <w:lang w:val="en-US"/>
              </w:rPr>
              <w:t>“Increasing depression throughout study, withdrawal by investigator”</w:t>
            </w:r>
          </w:p>
        </w:tc>
        <w:tc>
          <w:tcPr>
            <w:tcW w:w="1312" w:type="dxa"/>
            <w:vAlign w:val="bottom"/>
          </w:tcPr>
          <w:p w14:paraId="7EBE4AF8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20B60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2642" w:type="dxa"/>
            <w:vAlign w:val="bottom"/>
          </w:tcPr>
          <w:p w14:paraId="654F13B6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20B60">
              <w:rPr>
                <w:rFonts w:cstheme="minorHAnsi"/>
                <w:sz w:val="28"/>
                <w:szCs w:val="28"/>
              </w:rPr>
              <w:t>No</w:t>
            </w:r>
          </w:p>
        </w:tc>
      </w:tr>
      <w:tr w:rsidR="00D93B44" w:rsidRPr="00F20B60" w14:paraId="67D7D0C5" w14:textId="77777777" w:rsidTr="00677766">
        <w:tc>
          <w:tcPr>
            <w:tcW w:w="1696" w:type="dxa"/>
            <w:vAlign w:val="bottom"/>
          </w:tcPr>
          <w:p w14:paraId="0AEE0377" w14:textId="77777777" w:rsidR="00D93B44" w:rsidRPr="00F20B60" w:rsidRDefault="00D93B44" w:rsidP="00011CC6">
            <w:pPr>
              <w:spacing w:before="24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20B60">
              <w:rPr>
                <w:rFonts w:cstheme="minorHAnsi"/>
                <w:sz w:val="28"/>
                <w:szCs w:val="28"/>
                <w:lang w:val="en-US"/>
              </w:rPr>
              <w:t xml:space="preserve">Adamson et. al., 2015 </w:t>
            </w:r>
            <w:r>
              <w:rPr>
                <w:rFonts w:cstheme="minorHAnsi"/>
                <w:noProof/>
                <w:sz w:val="28"/>
                <w:szCs w:val="28"/>
              </w:rPr>
              <w:t>(6)</w:t>
            </w:r>
          </w:p>
        </w:tc>
        <w:tc>
          <w:tcPr>
            <w:tcW w:w="3366" w:type="dxa"/>
            <w:vAlign w:val="bottom"/>
          </w:tcPr>
          <w:p w14:paraId="6807B0F0" w14:textId="7A603CF2" w:rsidR="00D93B44" w:rsidRPr="00F20B60" w:rsidRDefault="00D93B44" w:rsidP="009421E0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20B60">
              <w:rPr>
                <w:rFonts w:cstheme="minorHAnsi"/>
                <w:sz w:val="28"/>
                <w:szCs w:val="28"/>
                <w:lang w:val="en-US"/>
              </w:rPr>
              <w:t>“</w:t>
            </w:r>
            <w:proofErr w:type="spellStart"/>
            <w:r w:rsidRPr="00F20B60">
              <w:rPr>
                <w:rFonts w:cstheme="minorHAnsi"/>
                <w:sz w:val="28"/>
                <w:szCs w:val="28"/>
                <w:lang w:val="en-US"/>
              </w:rPr>
              <w:t>Unblinding</w:t>
            </w:r>
            <w:proofErr w:type="spellEnd"/>
            <w:r w:rsidRPr="00F20B60">
              <w:rPr>
                <w:rFonts w:cstheme="minorHAnsi"/>
                <w:sz w:val="28"/>
                <w:szCs w:val="28"/>
                <w:lang w:val="en-US"/>
              </w:rPr>
              <w:t xml:space="preserve"> […] for severe adverse reactions”</w:t>
            </w:r>
          </w:p>
        </w:tc>
        <w:tc>
          <w:tcPr>
            <w:tcW w:w="1312" w:type="dxa"/>
            <w:vAlign w:val="bottom"/>
          </w:tcPr>
          <w:p w14:paraId="0A1BD6AF" w14:textId="77777777" w:rsidR="00D93B44" w:rsidRPr="00F20B60" w:rsidRDefault="00D93B44" w:rsidP="00011CC6">
            <w:pPr>
              <w:spacing w:before="24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20B60">
              <w:rPr>
                <w:rFonts w:cstheme="minorHAnsi"/>
                <w:sz w:val="28"/>
                <w:szCs w:val="28"/>
                <w:lang w:val="en-US"/>
              </w:rPr>
              <w:t>Yes</w:t>
            </w:r>
          </w:p>
        </w:tc>
        <w:tc>
          <w:tcPr>
            <w:tcW w:w="2642" w:type="dxa"/>
            <w:vAlign w:val="bottom"/>
          </w:tcPr>
          <w:p w14:paraId="6907B5D6" w14:textId="77777777" w:rsidR="00D93B44" w:rsidRPr="00F20B60" w:rsidRDefault="00D93B44" w:rsidP="00011CC6">
            <w:pPr>
              <w:spacing w:before="24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20B60">
              <w:rPr>
                <w:rFonts w:cstheme="minorHAnsi"/>
                <w:sz w:val="28"/>
                <w:szCs w:val="28"/>
                <w:lang w:val="en-US"/>
              </w:rPr>
              <w:t>Yes</w:t>
            </w:r>
          </w:p>
        </w:tc>
      </w:tr>
      <w:tr w:rsidR="00D93B44" w:rsidRPr="00F20B60" w14:paraId="1DFA62C2" w14:textId="77777777" w:rsidTr="00677766">
        <w:tc>
          <w:tcPr>
            <w:tcW w:w="1696" w:type="dxa"/>
            <w:vAlign w:val="bottom"/>
          </w:tcPr>
          <w:p w14:paraId="5D710356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</w:rPr>
            </w:pPr>
            <w:proofErr w:type="spellStart"/>
            <w:r w:rsidRPr="00F20B60">
              <w:rPr>
                <w:rFonts w:cstheme="minorHAnsi"/>
                <w:sz w:val="28"/>
                <w:szCs w:val="28"/>
                <w:lang w:val="en-US"/>
              </w:rPr>
              <w:t>Tollefson</w:t>
            </w:r>
            <w:proofErr w:type="spellEnd"/>
            <w:r w:rsidRPr="00F20B60">
              <w:rPr>
                <w:rFonts w:cstheme="minorHAnsi"/>
                <w:sz w:val="28"/>
                <w:szCs w:val="28"/>
                <w:lang w:val="en-US"/>
              </w:rPr>
              <w:t xml:space="preserve"> et. al., 1995 </w:t>
            </w:r>
            <w:r>
              <w:rPr>
                <w:rFonts w:cstheme="minorHAnsi"/>
                <w:noProof/>
                <w:sz w:val="28"/>
                <w:szCs w:val="28"/>
              </w:rPr>
              <w:t>(7)</w:t>
            </w:r>
          </w:p>
        </w:tc>
        <w:tc>
          <w:tcPr>
            <w:tcW w:w="3366" w:type="dxa"/>
            <w:vAlign w:val="bottom"/>
          </w:tcPr>
          <w:p w14:paraId="5399D80D" w14:textId="77777777" w:rsidR="00D93B44" w:rsidRPr="00F20B60" w:rsidRDefault="00D93B44" w:rsidP="00011CC6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en-US"/>
              </w:rPr>
            </w:pPr>
            <w:r w:rsidRPr="00F20B60">
              <w:rPr>
                <w:rFonts w:cstheme="minorHAnsi"/>
                <w:sz w:val="28"/>
                <w:szCs w:val="28"/>
                <w:lang w:val="en-US"/>
              </w:rPr>
              <w:t>“Emergence of substantial suicidal ideation”</w:t>
            </w:r>
          </w:p>
        </w:tc>
        <w:tc>
          <w:tcPr>
            <w:tcW w:w="1312" w:type="dxa"/>
            <w:vAlign w:val="bottom"/>
          </w:tcPr>
          <w:p w14:paraId="50025472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20B60">
              <w:rPr>
                <w:rFonts w:cstheme="minorHAnsi"/>
                <w:sz w:val="28"/>
                <w:szCs w:val="28"/>
              </w:rPr>
              <w:t>No</w:t>
            </w:r>
          </w:p>
        </w:tc>
        <w:tc>
          <w:tcPr>
            <w:tcW w:w="2642" w:type="dxa"/>
            <w:vAlign w:val="bottom"/>
          </w:tcPr>
          <w:p w14:paraId="046E7E92" w14:textId="77777777" w:rsidR="00D93B44" w:rsidRPr="00F20B60" w:rsidRDefault="00D93B44" w:rsidP="00011CC6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F20B60">
              <w:rPr>
                <w:rFonts w:cstheme="minorHAnsi"/>
                <w:sz w:val="28"/>
                <w:szCs w:val="28"/>
              </w:rPr>
              <w:t>No</w:t>
            </w:r>
          </w:p>
        </w:tc>
      </w:tr>
    </w:tbl>
    <w:p w14:paraId="29AB7D67" w14:textId="77777777" w:rsidR="00D93B44" w:rsidRPr="00F20B60" w:rsidRDefault="00D93B44" w:rsidP="00011CC6">
      <w:pPr>
        <w:rPr>
          <w:b/>
          <w:sz w:val="28"/>
          <w:szCs w:val="28"/>
        </w:rPr>
      </w:pPr>
    </w:p>
    <w:p w14:paraId="6513F41C" w14:textId="77777777" w:rsidR="009421E0" w:rsidRDefault="009421E0" w:rsidP="00011CC6">
      <w:pPr>
        <w:spacing w:line="480" w:lineRule="auto"/>
        <w:rPr>
          <w:b/>
          <w:sz w:val="28"/>
          <w:szCs w:val="28"/>
        </w:rPr>
      </w:pPr>
    </w:p>
    <w:p w14:paraId="32F6927D" w14:textId="204D1F32" w:rsidR="00D93B44" w:rsidRPr="00F20B60" w:rsidRDefault="00D93B44" w:rsidP="00011CC6">
      <w:pPr>
        <w:spacing w:line="480" w:lineRule="auto"/>
        <w:rPr>
          <w:b/>
          <w:sz w:val="28"/>
          <w:szCs w:val="28"/>
        </w:rPr>
      </w:pPr>
      <w:proofErr w:type="spellStart"/>
      <w:r w:rsidRPr="00F20B60">
        <w:rPr>
          <w:b/>
          <w:sz w:val="28"/>
          <w:szCs w:val="28"/>
        </w:rPr>
        <w:lastRenderedPageBreak/>
        <w:t>Additional</w:t>
      </w:r>
      <w:proofErr w:type="spellEnd"/>
      <w:r w:rsidRPr="00F20B60">
        <w:rPr>
          <w:b/>
          <w:sz w:val="28"/>
          <w:szCs w:val="28"/>
        </w:rPr>
        <w:t xml:space="preserve"> errata</w:t>
      </w:r>
    </w:p>
    <w:p w14:paraId="385E967C" w14:textId="2D670ABE" w:rsidR="00D93B44" w:rsidRPr="00F20B60" w:rsidRDefault="00434146" w:rsidP="00011CC6">
      <w:pPr>
        <w:pStyle w:val="EndNoteBibliography"/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W</w:t>
      </w:r>
      <w:r w:rsidR="00D93B44" w:rsidRPr="00F20B60">
        <w:rPr>
          <w:sz w:val="28"/>
          <w:szCs w:val="28"/>
        </w:rPr>
        <w:t>hile the CTU</w:t>
      </w:r>
      <w:r w:rsidR="00011CC6">
        <w:rPr>
          <w:sz w:val="28"/>
          <w:szCs w:val="28"/>
        </w:rPr>
        <w:t xml:space="preserve"> </w:t>
      </w:r>
      <w:r w:rsidR="00D93B44" w:rsidRPr="00F20B60">
        <w:rPr>
          <w:sz w:val="28"/>
          <w:szCs w:val="28"/>
        </w:rPr>
        <w:t xml:space="preserve">group chose to include SAEs occurring up to nine months after withdrawal from treatment in the Lundbeck-sponsored protocol 99024 </w:t>
      </w:r>
      <w:r w:rsidR="00D93B44">
        <w:rPr>
          <w:sz w:val="28"/>
          <w:szCs w:val="28"/>
        </w:rPr>
        <w:t>(8)</w:t>
      </w:r>
      <w:r w:rsidR="00D93B44" w:rsidRPr="00F20B60">
        <w:rPr>
          <w:sz w:val="28"/>
          <w:szCs w:val="28"/>
        </w:rPr>
        <w:t xml:space="preserve">, the net result being an increased risk of SAEs for patients treated with an SSRI, they did not include SAEs from the double-blind continuation phase of the study by Detke and co-workers </w:t>
      </w:r>
      <w:r w:rsidR="00D93B44">
        <w:rPr>
          <w:sz w:val="28"/>
          <w:szCs w:val="28"/>
        </w:rPr>
        <w:t>(9)</w:t>
      </w:r>
      <w:r w:rsidR="00D93B44" w:rsidRPr="00F20B60">
        <w:rPr>
          <w:sz w:val="28"/>
          <w:szCs w:val="28"/>
        </w:rPr>
        <w:t xml:space="preserve"> in which one suicide and one SAE occurred in the placebo-group</w:t>
      </w:r>
      <w:r w:rsidR="00D93B44">
        <w:rPr>
          <w:sz w:val="28"/>
          <w:szCs w:val="28"/>
        </w:rPr>
        <w:t>,</w:t>
      </w:r>
      <w:r w:rsidR="00D93B44" w:rsidRPr="00F20B60">
        <w:rPr>
          <w:sz w:val="28"/>
          <w:szCs w:val="28"/>
        </w:rPr>
        <w:t xml:space="preserve"> with no pertinent events in the paroxetine</w:t>
      </w:r>
      <w:r w:rsidR="00011CC6">
        <w:rPr>
          <w:sz w:val="28"/>
          <w:szCs w:val="28"/>
        </w:rPr>
        <w:t xml:space="preserve"> </w:t>
      </w:r>
      <w:r w:rsidR="00D93B44" w:rsidRPr="00F20B60">
        <w:rPr>
          <w:sz w:val="28"/>
          <w:szCs w:val="28"/>
        </w:rPr>
        <w:t xml:space="preserve">group. Also other studies seem to have been treated differentially with regard to post-therapy SAEs </w:t>
      </w:r>
      <w:r w:rsidR="00D93B44">
        <w:rPr>
          <w:sz w:val="28"/>
          <w:szCs w:val="28"/>
        </w:rPr>
        <w:t>(10, 11)</w:t>
      </w:r>
      <w:r w:rsidR="00D93B44" w:rsidRPr="00F20B60">
        <w:rPr>
          <w:sz w:val="28"/>
          <w:szCs w:val="28"/>
        </w:rPr>
        <w:t>.</w:t>
      </w:r>
    </w:p>
    <w:p w14:paraId="1FBFDB0E" w14:textId="4C54F900" w:rsidR="00D93B44" w:rsidRPr="00F20B60" w:rsidRDefault="00D93B44" w:rsidP="00011CC6">
      <w:pPr>
        <w:pStyle w:val="EndNoteBibliography"/>
        <w:spacing w:line="480" w:lineRule="auto"/>
        <w:rPr>
          <w:b/>
          <w:sz w:val="28"/>
          <w:szCs w:val="28"/>
        </w:rPr>
      </w:pPr>
      <w:r w:rsidRPr="00F20B60">
        <w:rPr>
          <w:sz w:val="28"/>
          <w:szCs w:val="28"/>
        </w:rPr>
        <w:t>The 1998</w:t>
      </w:r>
      <w:r w:rsidR="001D1F31">
        <w:rPr>
          <w:sz w:val="28"/>
          <w:szCs w:val="28"/>
        </w:rPr>
        <w:t xml:space="preserve"> </w:t>
      </w:r>
      <w:r w:rsidRPr="00F20B60">
        <w:rPr>
          <w:sz w:val="28"/>
          <w:szCs w:val="28"/>
        </w:rPr>
        <w:t xml:space="preserve">report by Fava and colleagues </w:t>
      </w:r>
      <w:r>
        <w:rPr>
          <w:sz w:val="28"/>
          <w:szCs w:val="28"/>
        </w:rPr>
        <w:t>(12)</w:t>
      </w:r>
      <w:r w:rsidRPr="00F20B60">
        <w:rPr>
          <w:sz w:val="28"/>
          <w:szCs w:val="28"/>
        </w:rPr>
        <w:t xml:space="preserve"> summariz</w:t>
      </w:r>
      <w:r w:rsidR="001D1F31">
        <w:rPr>
          <w:sz w:val="28"/>
          <w:szCs w:val="28"/>
        </w:rPr>
        <w:t>es</w:t>
      </w:r>
      <w:r w:rsidRPr="00F20B60">
        <w:rPr>
          <w:sz w:val="28"/>
          <w:szCs w:val="28"/>
        </w:rPr>
        <w:t xml:space="preserve"> the results from some of the participating centers </w:t>
      </w:r>
      <w:r w:rsidR="009421E0">
        <w:rPr>
          <w:sz w:val="28"/>
          <w:szCs w:val="28"/>
        </w:rPr>
        <w:t>in</w:t>
      </w:r>
      <w:r w:rsidRPr="00F20B60">
        <w:rPr>
          <w:sz w:val="28"/>
          <w:szCs w:val="28"/>
        </w:rPr>
        <w:t xml:space="preserve"> two GlaxoSmithKline sponsored protocols</w:t>
      </w:r>
      <w:r w:rsidR="009421E0">
        <w:rPr>
          <w:sz w:val="28"/>
          <w:szCs w:val="28"/>
        </w:rPr>
        <w:t>,</w:t>
      </w:r>
      <w:r w:rsidRPr="00F20B60">
        <w:rPr>
          <w:sz w:val="28"/>
          <w:szCs w:val="28"/>
        </w:rPr>
        <w:t xml:space="preserve"> GSK/115 </w:t>
      </w:r>
      <w:r>
        <w:rPr>
          <w:sz w:val="28"/>
          <w:szCs w:val="28"/>
        </w:rPr>
        <w:t>(13)</w:t>
      </w:r>
      <w:r w:rsidRPr="00F20B60">
        <w:rPr>
          <w:sz w:val="28"/>
          <w:szCs w:val="28"/>
        </w:rPr>
        <w:t xml:space="preserve"> and GSK/128 </w:t>
      </w:r>
      <w:r>
        <w:rPr>
          <w:sz w:val="28"/>
          <w:szCs w:val="28"/>
        </w:rPr>
        <w:t>(14)</w:t>
      </w:r>
      <w:r w:rsidRPr="00F20B60">
        <w:rPr>
          <w:sz w:val="28"/>
          <w:szCs w:val="28"/>
        </w:rPr>
        <w:t xml:space="preserve"> (see p. 146, §5</w:t>
      </w:r>
      <w:r>
        <w:rPr>
          <w:sz w:val="28"/>
          <w:szCs w:val="28"/>
        </w:rPr>
        <w:t xml:space="preserve">). This thus constitutes double </w:t>
      </w:r>
      <w:r w:rsidRPr="00F20B60">
        <w:rPr>
          <w:sz w:val="28"/>
          <w:szCs w:val="28"/>
        </w:rPr>
        <w:t>inclusion.</w:t>
      </w:r>
    </w:p>
    <w:p w14:paraId="1E4370EB" w14:textId="0B297B96" w:rsidR="00D93B44" w:rsidRPr="009421E0" w:rsidRDefault="00D93B44" w:rsidP="00372DAC">
      <w:pPr>
        <w:pStyle w:val="EndNoteBibliography"/>
        <w:spacing w:line="480" w:lineRule="auto"/>
        <w:rPr>
          <w:b/>
          <w:sz w:val="28"/>
          <w:szCs w:val="28"/>
        </w:rPr>
      </w:pPr>
      <w:r w:rsidRPr="00F20B60">
        <w:rPr>
          <w:sz w:val="28"/>
          <w:szCs w:val="28"/>
        </w:rPr>
        <w:t xml:space="preserve">The efficacy statistics included for the study by Barber and co-workers </w:t>
      </w:r>
      <w:r>
        <w:rPr>
          <w:sz w:val="28"/>
          <w:szCs w:val="28"/>
        </w:rPr>
        <w:t>(15)</w:t>
      </w:r>
      <w:r w:rsidRPr="00F20B60">
        <w:rPr>
          <w:sz w:val="28"/>
          <w:szCs w:val="28"/>
        </w:rPr>
        <w:t xml:space="preserve"> are slope estimates, not endpoint differences. Apart from </w:t>
      </w:r>
      <w:r w:rsidR="00372DAC">
        <w:rPr>
          <w:sz w:val="28"/>
          <w:szCs w:val="28"/>
        </w:rPr>
        <w:t>t</w:t>
      </w:r>
      <w:r w:rsidR="001D1F31">
        <w:rPr>
          <w:sz w:val="28"/>
          <w:szCs w:val="28"/>
        </w:rPr>
        <w:t>he</w:t>
      </w:r>
      <w:r w:rsidRPr="00F20B60">
        <w:rPr>
          <w:sz w:val="28"/>
          <w:szCs w:val="28"/>
        </w:rPr>
        <w:t xml:space="preserve"> statistic</w:t>
      </w:r>
      <w:r w:rsidR="001D1F31" w:rsidRPr="00372DAC">
        <w:rPr>
          <w:sz w:val="28"/>
          <w:szCs w:val="28"/>
        </w:rPr>
        <w:t xml:space="preserve"> being inaccurate</w:t>
      </w:r>
      <w:r w:rsidR="00372DAC">
        <w:rPr>
          <w:sz w:val="28"/>
          <w:szCs w:val="28"/>
        </w:rPr>
        <w:t xml:space="preserve"> for this analysis</w:t>
      </w:r>
      <w:r w:rsidRPr="00372DAC">
        <w:rPr>
          <w:sz w:val="28"/>
          <w:szCs w:val="28"/>
        </w:rPr>
        <w:t>, the fact that slope</w:t>
      </w:r>
      <w:r w:rsidR="001D1F31" w:rsidRPr="00372DAC">
        <w:rPr>
          <w:sz w:val="28"/>
          <w:szCs w:val="28"/>
        </w:rPr>
        <w:t xml:space="preserve"> </w:t>
      </w:r>
      <w:r w:rsidRPr="00372DAC">
        <w:rPr>
          <w:sz w:val="28"/>
          <w:szCs w:val="28"/>
        </w:rPr>
        <w:t>estimates have lower variances than the corresponding endpoint estimates</w:t>
      </w:r>
      <w:r w:rsidR="001D1F31" w:rsidRPr="00372DAC">
        <w:rPr>
          <w:sz w:val="28"/>
          <w:szCs w:val="28"/>
        </w:rPr>
        <w:t xml:space="preserve"> renders</w:t>
      </w:r>
      <w:r w:rsidRPr="00372DAC">
        <w:rPr>
          <w:sz w:val="28"/>
          <w:szCs w:val="28"/>
        </w:rPr>
        <w:t xml:space="preserve"> this negative study </w:t>
      </w:r>
      <w:r w:rsidR="001D1F31" w:rsidRPr="00372DAC">
        <w:rPr>
          <w:sz w:val="28"/>
          <w:szCs w:val="28"/>
        </w:rPr>
        <w:t xml:space="preserve">more </w:t>
      </w:r>
      <w:r w:rsidRPr="00372DAC">
        <w:rPr>
          <w:sz w:val="28"/>
          <w:szCs w:val="28"/>
        </w:rPr>
        <w:t>weight than it should</w:t>
      </w:r>
      <w:r w:rsidR="00372DAC" w:rsidRPr="00372DAC">
        <w:rPr>
          <w:sz w:val="28"/>
          <w:szCs w:val="28"/>
        </w:rPr>
        <w:t xml:space="preserve"> have</w:t>
      </w:r>
      <w:r w:rsidRPr="009421E0">
        <w:rPr>
          <w:sz w:val="28"/>
          <w:szCs w:val="28"/>
        </w:rPr>
        <w:t>.</w:t>
      </w:r>
    </w:p>
    <w:p w14:paraId="1C4FB021" w14:textId="7309EA99" w:rsidR="00D93B44" w:rsidRPr="00F20B60" w:rsidRDefault="00D93B44" w:rsidP="00011CC6">
      <w:pPr>
        <w:pStyle w:val="EndNoteBibliography"/>
        <w:spacing w:line="480" w:lineRule="auto"/>
        <w:rPr>
          <w:sz w:val="28"/>
          <w:szCs w:val="28"/>
        </w:rPr>
      </w:pPr>
      <w:r w:rsidRPr="00F20B60">
        <w:rPr>
          <w:sz w:val="28"/>
          <w:szCs w:val="28"/>
        </w:rPr>
        <w:lastRenderedPageBreak/>
        <w:t xml:space="preserve">Similarly, in the report by Jindal et al. </w:t>
      </w:r>
      <w:r>
        <w:rPr>
          <w:sz w:val="28"/>
          <w:szCs w:val="28"/>
        </w:rPr>
        <w:t>(16)</w:t>
      </w:r>
      <w:r w:rsidRPr="00F20B60">
        <w:rPr>
          <w:sz w:val="28"/>
          <w:szCs w:val="28"/>
        </w:rPr>
        <w:t xml:space="preserve"> pretreatment values are used instead of posttreatment values. Again, the low variance in the pre-treatment values </w:t>
      </w:r>
      <w:r w:rsidR="001D1F31">
        <w:rPr>
          <w:sz w:val="28"/>
          <w:szCs w:val="28"/>
        </w:rPr>
        <w:t>renders this</w:t>
      </w:r>
      <w:r w:rsidRPr="00F20B60">
        <w:rPr>
          <w:sz w:val="28"/>
          <w:szCs w:val="28"/>
        </w:rPr>
        <w:t xml:space="preserve"> negative study undu</w:t>
      </w:r>
      <w:r w:rsidR="001D1F31">
        <w:rPr>
          <w:sz w:val="28"/>
          <w:szCs w:val="28"/>
        </w:rPr>
        <w:t>e weight</w:t>
      </w:r>
      <w:r w:rsidRPr="00F20B60">
        <w:rPr>
          <w:sz w:val="28"/>
          <w:szCs w:val="28"/>
        </w:rPr>
        <w:t>.</w:t>
      </w:r>
    </w:p>
    <w:p w14:paraId="3824A3C7" w14:textId="3E15666F" w:rsidR="00D93B44" w:rsidRPr="00F20B60" w:rsidRDefault="001D1F31" w:rsidP="00011CC6">
      <w:pPr>
        <w:pStyle w:val="EndNoteBibliography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</w:t>
      </w:r>
      <w:r w:rsidR="00D93B44" w:rsidRPr="00F20B60">
        <w:rPr>
          <w:sz w:val="28"/>
          <w:szCs w:val="28"/>
        </w:rPr>
        <w:t xml:space="preserve"> </w:t>
      </w:r>
      <w:r w:rsidR="00D93B44">
        <w:rPr>
          <w:sz w:val="28"/>
          <w:szCs w:val="28"/>
        </w:rPr>
        <w:t xml:space="preserve">inclusion of </w:t>
      </w:r>
      <w:r>
        <w:rPr>
          <w:sz w:val="28"/>
          <w:szCs w:val="28"/>
        </w:rPr>
        <w:t xml:space="preserve">a </w:t>
      </w:r>
      <w:r w:rsidR="00D93B44">
        <w:rPr>
          <w:sz w:val="28"/>
          <w:szCs w:val="28"/>
        </w:rPr>
        <w:t xml:space="preserve">one </w:t>
      </w:r>
      <w:r w:rsidR="00D93B44" w:rsidRPr="00F20B60">
        <w:rPr>
          <w:sz w:val="28"/>
          <w:szCs w:val="28"/>
        </w:rPr>
        <w:t xml:space="preserve">week study by Godlewska and co-workers </w:t>
      </w:r>
      <w:r w:rsidR="00D93B44">
        <w:rPr>
          <w:sz w:val="28"/>
          <w:szCs w:val="28"/>
        </w:rPr>
        <w:t>(17)</w:t>
      </w:r>
      <w:r>
        <w:rPr>
          <w:sz w:val="28"/>
          <w:szCs w:val="28"/>
        </w:rPr>
        <w:t xml:space="preserve"> is, if not an error, still questionable,</w:t>
      </w:r>
      <w:r w:rsidR="00D93B44" w:rsidRPr="00F2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since it </w:t>
      </w:r>
      <w:r w:rsidR="00D93B44" w:rsidRPr="00F20B60">
        <w:rPr>
          <w:sz w:val="28"/>
          <w:szCs w:val="28"/>
        </w:rPr>
        <w:t xml:space="preserve">likely introduces a bias towards the null as SSRIs are not expected to show any significant effects versus placebo on the HDRS-17 after such short a treatment duration.  For the 6-week study by Katz et al. </w:t>
      </w:r>
      <w:r w:rsidR="00D93B44">
        <w:rPr>
          <w:sz w:val="28"/>
          <w:szCs w:val="28"/>
        </w:rPr>
        <w:t>(18)</w:t>
      </w:r>
      <w:r w:rsidR="00D93B44" w:rsidRPr="00F20B60">
        <w:rPr>
          <w:sz w:val="28"/>
          <w:szCs w:val="28"/>
        </w:rPr>
        <w:t>, data from the second week of treatment, which finds a nominally worse effect of paroxetine as compared to placebo, is used</w:t>
      </w:r>
      <w:r>
        <w:rPr>
          <w:sz w:val="28"/>
          <w:szCs w:val="28"/>
        </w:rPr>
        <w:t>,</w:t>
      </w:r>
      <w:r w:rsidR="00D93B44" w:rsidRPr="00F20B60">
        <w:rPr>
          <w:sz w:val="28"/>
          <w:szCs w:val="28"/>
        </w:rPr>
        <w:t xml:space="preserve"> even though the report also states numerical superiority for paroxetine at the end of treatment (46% vs 30% responders for paroxetine and placebo,</w:t>
      </w:r>
      <w:r w:rsidR="00D93B44" w:rsidRPr="00F20B60">
        <w:rPr>
          <w:rFonts w:asciiTheme="minorHAnsi" w:hAnsiTheme="minorHAnsi"/>
          <w:noProof w:val="0"/>
          <w:sz w:val="28"/>
          <w:szCs w:val="28"/>
        </w:rPr>
        <w:t xml:space="preserve"> respectively).</w:t>
      </w:r>
      <w:r w:rsidR="00D93B44" w:rsidRPr="00F20B60">
        <w:rPr>
          <w:sz w:val="28"/>
          <w:szCs w:val="28"/>
        </w:rPr>
        <w:t xml:space="preserve"> </w:t>
      </w:r>
      <w:r>
        <w:rPr>
          <w:sz w:val="28"/>
          <w:szCs w:val="28"/>
        </w:rPr>
        <w:t>The CTU group hence has included</w:t>
      </w:r>
      <w:r w:rsidRPr="00F20B60">
        <w:rPr>
          <w:sz w:val="28"/>
          <w:szCs w:val="28"/>
        </w:rPr>
        <w:t xml:space="preserve"> </w:t>
      </w:r>
      <w:r w:rsidR="00D93B44" w:rsidRPr="00F20B60">
        <w:rPr>
          <w:sz w:val="28"/>
          <w:szCs w:val="28"/>
        </w:rPr>
        <w:t>negative data from an early evaluation while knowing that the trend was towards a positive effect of treatment at study end-point.</w:t>
      </w:r>
    </w:p>
    <w:p w14:paraId="70ABCF33" w14:textId="560794F4" w:rsidR="00D93B44" w:rsidRPr="00F20B60" w:rsidRDefault="00D93B44" w:rsidP="00011CC6">
      <w:pPr>
        <w:pStyle w:val="EndNoteBibliography"/>
        <w:spacing w:line="480" w:lineRule="auto"/>
        <w:rPr>
          <w:sz w:val="28"/>
          <w:szCs w:val="28"/>
        </w:rPr>
      </w:pPr>
      <w:r w:rsidRPr="00F20B60">
        <w:rPr>
          <w:sz w:val="28"/>
          <w:szCs w:val="28"/>
        </w:rPr>
        <w:t xml:space="preserve">Regarding the Lundbeck-sponsored study 99024 </w:t>
      </w:r>
      <w:r>
        <w:rPr>
          <w:sz w:val="28"/>
          <w:szCs w:val="28"/>
        </w:rPr>
        <w:t>(8)</w:t>
      </w:r>
      <w:r w:rsidRPr="00F20B60">
        <w:rPr>
          <w:sz w:val="28"/>
          <w:szCs w:val="28"/>
        </w:rPr>
        <w:t>, as in the study by Nyth et al., the CTU included SAEs occurring prior to double-blind treatment in the placebo group.</w:t>
      </w:r>
    </w:p>
    <w:p w14:paraId="0A38C36D" w14:textId="5E50545F" w:rsidR="00D93B44" w:rsidRPr="00F20B60" w:rsidRDefault="00D93B44" w:rsidP="00011CC6">
      <w:pPr>
        <w:pStyle w:val="EndNoteBibliography"/>
        <w:spacing w:line="480" w:lineRule="auto"/>
        <w:rPr>
          <w:sz w:val="28"/>
          <w:szCs w:val="28"/>
        </w:rPr>
      </w:pPr>
      <w:r w:rsidRPr="00F20B60">
        <w:rPr>
          <w:sz w:val="28"/>
          <w:szCs w:val="28"/>
        </w:rPr>
        <w:t xml:space="preserve">The study by Tyrer </w:t>
      </w:r>
      <w:r>
        <w:rPr>
          <w:sz w:val="28"/>
          <w:szCs w:val="28"/>
        </w:rPr>
        <w:t>and co-workers</w:t>
      </w:r>
      <w:r w:rsidRPr="00F20B60">
        <w:rPr>
          <w:sz w:val="28"/>
          <w:szCs w:val="28"/>
        </w:rPr>
        <w:t xml:space="preserve">. </w:t>
      </w:r>
      <w:r>
        <w:rPr>
          <w:sz w:val="28"/>
          <w:szCs w:val="28"/>
        </w:rPr>
        <w:t>(19)</w:t>
      </w:r>
      <w:r w:rsidRPr="00F20B60">
        <w:rPr>
          <w:sz w:val="28"/>
          <w:szCs w:val="28"/>
        </w:rPr>
        <w:t xml:space="preserve">, which is listed as having a low-risk of for profit bias </w:t>
      </w:r>
      <w:r w:rsidR="006857EE">
        <w:rPr>
          <w:sz w:val="28"/>
          <w:szCs w:val="28"/>
        </w:rPr>
        <w:t>(</w:t>
      </w:r>
      <w:r w:rsidRPr="00F20B60">
        <w:rPr>
          <w:sz w:val="28"/>
          <w:szCs w:val="28"/>
        </w:rPr>
        <w:t xml:space="preserve">figure 3 in the </w:t>
      </w:r>
      <w:r w:rsidR="006857EE" w:rsidRPr="00311264">
        <w:rPr>
          <w:i/>
          <w:sz w:val="28"/>
          <w:szCs w:val="28"/>
        </w:rPr>
        <w:t>BMC Psychiatry</w:t>
      </w:r>
      <w:r w:rsidR="006857EE">
        <w:rPr>
          <w:sz w:val="28"/>
          <w:szCs w:val="28"/>
        </w:rPr>
        <w:t xml:space="preserve"> paper)</w:t>
      </w:r>
      <w:r w:rsidRPr="00F20B60">
        <w:rPr>
          <w:sz w:val="28"/>
          <w:szCs w:val="28"/>
        </w:rPr>
        <w:t xml:space="preserve">, </w:t>
      </w:r>
      <w:r w:rsidR="006857EE" w:rsidRPr="00311264">
        <w:rPr>
          <w:i/>
          <w:sz w:val="28"/>
          <w:szCs w:val="28"/>
        </w:rPr>
        <w:t>i)</w:t>
      </w:r>
      <w:r w:rsidR="006857EE">
        <w:rPr>
          <w:sz w:val="28"/>
          <w:szCs w:val="28"/>
        </w:rPr>
        <w:t xml:space="preserve"> was</w:t>
      </w:r>
      <w:r w:rsidRPr="00F20B60">
        <w:rPr>
          <w:sz w:val="28"/>
          <w:szCs w:val="28"/>
        </w:rPr>
        <w:t xml:space="preserve"> sponsored by GSK </w:t>
      </w:r>
      <w:r>
        <w:rPr>
          <w:sz w:val="28"/>
          <w:szCs w:val="28"/>
        </w:rPr>
        <w:t>(20)</w:t>
      </w:r>
      <w:r w:rsidRPr="00F20B60">
        <w:rPr>
          <w:sz w:val="28"/>
          <w:szCs w:val="28"/>
        </w:rPr>
        <w:t xml:space="preserve"> and </w:t>
      </w:r>
      <w:r w:rsidR="006857EE" w:rsidRPr="00311264">
        <w:rPr>
          <w:i/>
          <w:sz w:val="28"/>
          <w:szCs w:val="28"/>
        </w:rPr>
        <w:t>ii)</w:t>
      </w:r>
      <w:r w:rsidR="006857EE">
        <w:rPr>
          <w:sz w:val="28"/>
          <w:szCs w:val="28"/>
        </w:rPr>
        <w:t xml:space="preserve"> is</w:t>
      </w:r>
      <w:r w:rsidR="006857EE" w:rsidRPr="00F20B60">
        <w:rPr>
          <w:sz w:val="28"/>
          <w:szCs w:val="28"/>
        </w:rPr>
        <w:t xml:space="preserve"> </w:t>
      </w:r>
      <w:r w:rsidRPr="00F20B60">
        <w:rPr>
          <w:sz w:val="28"/>
          <w:szCs w:val="28"/>
        </w:rPr>
        <w:t>not placebo-controlled.</w:t>
      </w:r>
    </w:p>
    <w:p w14:paraId="072BA34E" w14:textId="3C03BB1F" w:rsidR="00D93B44" w:rsidRPr="006857EE" w:rsidRDefault="00D93B44" w:rsidP="00311264">
      <w:pPr>
        <w:pStyle w:val="EndNoteBibliography"/>
        <w:spacing w:line="480" w:lineRule="auto"/>
        <w:rPr>
          <w:sz w:val="28"/>
          <w:szCs w:val="28"/>
        </w:rPr>
      </w:pPr>
      <w:r w:rsidRPr="00F20B60">
        <w:rPr>
          <w:sz w:val="28"/>
          <w:szCs w:val="28"/>
        </w:rPr>
        <w:lastRenderedPageBreak/>
        <w:t xml:space="preserve">The study by Feighner and co-workers </w:t>
      </w:r>
      <w:r>
        <w:rPr>
          <w:sz w:val="28"/>
          <w:szCs w:val="28"/>
        </w:rPr>
        <w:t>(21)</w:t>
      </w:r>
      <w:r w:rsidRPr="00F20B60">
        <w:rPr>
          <w:sz w:val="28"/>
          <w:szCs w:val="28"/>
        </w:rPr>
        <w:t xml:space="preserve"> is listed as not having any SAEs in the placebo</w:t>
      </w:r>
      <w:r w:rsidR="006857EE">
        <w:rPr>
          <w:sz w:val="28"/>
          <w:szCs w:val="28"/>
        </w:rPr>
        <w:t xml:space="preserve"> </w:t>
      </w:r>
      <w:r w:rsidRPr="00F20B60">
        <w:rPr>
          <w:sz w:val="28"/>
          <w:szCs w:val="28"/>
        </w:rPr>
        <w:t>group. The relevant passage in the published article states the following:</w:t>
      </w:r>
      <w:r w:rsidR="006857EE">
        <w:rPr>
          <w:sz w:val="28"/>
          <w:szCs w:val="28"/>
        </w:rPr>
        <w:t xml:space="preserve"> </w:t>
      </w:r>
      <w:r w:rsidRPr="006857EE">
        <w:rPr>
          <w:sz w:val="28"/>
          <w:szCs w:val="28"/>
        </w:rPr>
        <w:t>“The serious adverse events that occurred in the citalopram-treated and placebo patients did not appear to be related to study medication or the dose of study medication administered. Serious adverse events occurred in 8 citalopram patients, including 3 suicide attempts, a miscarriage, intestinal flu symptoms, chest pain and dizziness unaccompanied by ECG abnormalities, a severe thinking abnormality, and an allergic reaction.”</w:t>
      </w:r>
      <w:r w:rsidR="006857EE">
        <w:rPr>
          <w:sz w:val="28"/>
          <w:szCs w:val="28"/>
        </w:rPr>
        <w:t xml:space="preserve"> </w:t>
      </w:r>
      <w:r w:rsidRPr="006857EE">
        <w:rPr>
          <w:sz w:val="28"/>
          <w:szCs w:val="28"/>
        </w:rPr>
        <w:t>Thus, while the text alludes to SAEs in placebo-treated patients, such events are not explicitly provided and have thus been missed by the CTU. As we have access to AE</w:t>
      </w:r>
      <w:r w:rsidR="006857EE">
        <w:rPr>
          <w:sz w:val="28"/>
          <w:szCs w:val="28"/>
        </w:rPr>
        <w:t xml:space="preserve"> </w:t>
      </w:r>
      <w:r w:rsidRPr="006857EE">
        <w:rPr>
          <w:sz w:val="28"/>
          <w:szCs w:val="28"/>
        </w:rPr>
        <w:t>data for this particular trial</w:t>
      </w:r>
      <w:r w:rsidR="006857EE" w:rsidRPr="006857EE">
        <w:rPr>
          <w:sz w:val="28"/>
          <w:szCs w:val="28"/>
        </w:rPr>
        <w:t>,</w:t>
      </w:r>
      <w:r w:rsidRPr="006857EE">
        <w:rPr>
          <w:sz w:val="28"/>
          <w:szCs w:val="28"/>
        </w:rPr>
        <w:t xml:space="preserve"> we can confirm that one case of suicidal ideation, which was classified as an SAE, occurred in a placebo-treated patient.</w:t>
      </w:r>
    </w:p>
    <w:p w14:paraId="3024AE5F" w14:textId="762E5F0A" w:rsidR="00D93B44" w:rsidRPr="00F20B60" w:rsidRDefault="00D93B44" w:rsidP="00011CC6">
      <w:pPr>
        <w:pStyle w:val="EndNoteBibliography"/>
        <w:spacing w:line="480" w:lineRule="auto"/>
        <w:rPr>
          <w:sz w:val="28"/>
          <w:szCs w:val="28"/>
        </w:rPr>
      </w:pPr>
      <w:r w:rsidRPr="00F20B60">
        <w:rPr>
          <w:sz w:val="28"/>
          <w:szCs w:val="28"/>
        </w:rPr>
        <w:t xml:space="preserve">The GSK-sponsored protocol GSK/279 </w:t>
      </w:r>
      <w:r>
        <w:rPr>
          <w:sz w:val="28"/>
          <w:szCs w:val="28"/>
        </w:rPr>
        <w:t>(22)</w:t>
      </w:r>
      <w:r w:rsidRPr="00F20B60">
        <w:rPr>
          <w:sz w:val="28"/>
          <w:szCs w:val="28"/>
        </w:rPr>
        <w:t xml:space="preserve"> was only placebo-controlled at one of two centers as the independent review board at one of the participating centers refused to administer placebo. As it is impossible to disentangle site-related differences from treatment-related differences in the published report, the inclusion of this partly uncontrolled study is questionable. </w:t>
      </w:r>
    </w:p>
    <w:p w14:paraId="0A422D7C" w14:textId="682A0CD8" w:rsidR="00D93B44" w:rsidRPr="00F20B60" w:rsidRDefault="00D93B44" w:rsidP="00011CC6">
      <w:pPr>
        <w:pStyle w:val="EndNoteBibliography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</w:t>
      </w:r>
      <w:r w:rsidRPr="00F20B60">
        <w:rPr>
          <w:sz w:val="28"/>
          <w:szCs w:val="28"/>
        </w:rPr>
        <w:t>he odds</w:t>
      </w:r>
      <w:r w:rsidR="006857EE">
        <w:rPr>
          <w:sz w:val="28"/>
          <w:szCs w:val="28"/>
        </w:rPr>
        <w:t xml:space="preserve"> </w:t>
      </w:r>
      <w:r w:rsidRPr="00F20B60">
        <w:rPr>
          <w:sz w:val="28"/>
          <w:szCs w:val="28"/>
        </w:rPr>
        <w:t xml:space="preserve">ratio reported for </w:t>
      </w:r>
      <w:r w:rsidR="006857EE">
        <w:rPr>
          <w:sz w:val="28"/>
          <w:szCs w:val="28"/>
        </w:rPr>
        <w:t xml:space="preserve">the trial by </w:t>
      </w:r>
      <w:r w:rsidRPr="00F20B60">
        <w:rPr>
          <w:sz w:val="28"/>
          <w:szCs w:val="28"/>
        </w:rPr>
        <w:t xml:space="preserve">Mathews et al. (NCT01473381) was </w:t>
      </w:r>
      <w:r w:rsidR="006857EE">
        <w:rPr>
          <w:sz w:val="28"/>
          <w:szCs w:val="28"/>
        </w:rPr>
        <w:t xml:space="preserve">erroneous; this has, however, been </w:t>
      </w:r>
      <w:r w:rsidRPr="00F20B60">
        <w:rPr>
          <w:sz w:val="28"/>
          <w:szCs w:val="28"/>
        </w:rPr>
        <w:t>corrected</w:t>
      </w:r>
      <w:r>
        <w:rPr>
          <w:sz w:val="28"/>
          <w:szCs w:val="28"/>
        </w:rPr>
        <w:t xml:space="preserve"> without further comment</w:t>
      </w:r>
      <w:r w:rsidRPr="00F20B60">
        <w:rPr>
          <w:sz w:val="28"/>
          <w:szCs w:val="28"/>
        </w:rPr>
        <w:t xml:space="preserve"> in the</w:t>
      </w:r>
      <w:r w:rsidR="006857EE">
        <w:rPr>
          <w:sz w:val="28"/>
          <w:szCs w:val="28"/>
        </w:rPr>
        <w:t xml:space="preserve"> response from the</w:t>
      </w:r>
      <w:r w:rsidRPr="00F20B60">
        <w:rPr>
          <w:sz w:val="28"/>
          <w:szCs w:val="28"/>
        </w:rPr>
        <w:t xml:space="preserve"> CTU</w:t>
      </w:r>
      <w:r w:rsidR="006857EE">
        <w:rPr>
          <w:sz w:val="28"/>
          <w:szCs w:val="28"/>
        </w:rPr>
        <w:t xml:space="preserve"> </w:t>
      </w:r>
      <w:r w:rsidRPr="00F20B60">
        <w:rPr>
          <w:sz w:val="28"/>
          <w:szCs w:val="28"/>
        </w:rPr>
        <w:t>group</w:t>
      </w:r>
      <w:r w:rsidR="006857EE">
        <w:rPr>
          <w:sz w:val="28"/>
          <w:szCs w:val="28"/>
        </w:rPr>
        <w:t>)</w:t>
      </w:r>
      <w:r w:rsidRPr="00F20B60">
        <w:rPr>
          <w:sz w:val="28"/>
          <w:szCs w:val="28"/>
        </w:rPr>
        <w:t xml:space="preserve"> </w:t>
      </w:r>
      <w:r>
        <w:rPr>
          <w:sz w:val="28"/>
          <w:szCs w:val="28"/>
        </w:rPr>
        <w:t>(23, 24)</w:t>
      </w:r>
      <w:r w:rsidRPr="00F20B60">
        <w:rPr>
          <w:sz w:val="28"/>
          <w:szCs w:val="28"/>
        </w:rPr>
        <w:t>.</w:t>
      </w:r>
    </w:p>
    <w:p w14:paraId="2C7BF5D2" w14:textId="2E483359" w:rsidR="00D93B44" w:rsidRPr="006857EE" w:rsidRDefault="00D93B44" w:rsidP="00311264">
      <w:pPr>
        <w:pStyle w:val="EndNoteBibliography"/>
        <w:spacing w:line="480" w:lineRule="auto"/>
        <w:rPr>
          <w:b/>
          <w:sz w:val="28"/>
          <w:szCs w:val="28"/>
        </w:rPr>
      </w:pPr>
      <w:r w:rsidRPr="00F20B60">
        <w:rPr>
          <w:sz w:val="28"/>
          <w:szCs w:val="28"/>
        </w:rPr>
        <w:t xml:space="preserve">In table 2 in the </w:t>
      </w:r>
      <w:r w:rsidR="006857EE">
        <w:rPr>
          <w:sz w:val="28"/>
          <w:szCs w:val="28"/>
        </w:rPr>
        <w:t xml:space="preserve">response from </w:t>
      </w:r>
      <w:r w:rsidRPr="00F20B60">
        <w:rPr>
          <w:sz w:val="28"/>
          <w:szCs w:val="28"/>
        </w:rPr>
        <w:t>CTU</w:t>
      </w:r>
      <w:r w:rsidR="006857EE">
        <w:rPr>
          <w:sz w:val="28"/>
          <w:szCs w:val="28"/>
        </w:rPr>
        <w:t xml:space="preserve"> </w:t>
      </w:r>
      <w:r w:rsidRPr="00F20B60">
        <w:rPr>
          <w:sz w:val="28"/>
          <w:szCs w:val="28"/>
        </w:rPr>
        <w:t>group</w:t>
      </w:r>
      <w:r w:rsidR="00685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(25) </w:t>
      </w:r>
      <w:r w:rsidRPr="00F20B60">
        <w:rPr>
          <w:sz w:val="28"/>
          <w:szCs w:val="28"/>
        </w:rPr>
        <w:t xml:space="preserve">it is stated that Kranzler and co-workers </w:t>
      </w:r>
      <w:r>
        <w:rPr>
          <w:sz w:val="28"/>
          <w:szCs w:val="28"/>
        </w:rPr>
        <w:t xml:space="preserve">(26) </w:t>
      </w:r>
      <w:r w:rsidRPr="00F20B60">
        <w:rPr>
          <w:sz w:val="28"/>
          <w:szCs w:val="28"/>
        </w:rPr>
        <w:t>did not specify the type of SAEs in their study on co-occuring alcohol dependence and major depression. This is not correct, the type of SAE is explicitly given in the study report:</w:t>
      </w:r>
      <w:r w:rsidR="006857EE">
        <w:rPr>
          <w:sz w:val="28"/>
          <w:szCs w:val="28"/>
        </w:rPr>
        <w:t xml:space="preserve"> </w:t>
      </w:r>
      <w:r w:rsidRPr="006857EE">
        <w:rPr>
          <w:sz w:val="28"/>
          <w:szCs w:val="28"/>
        </w:rPr>
        <w:t>“Among sertraline treated patients, serious adverse events consisted of a worsening of clinical condition because of alcoholic relapse (n = 7; 2 patients required hospitalization), depression (n = 1), suicidal ideation (n =1), or blood in the stool (n = 1). Among placebo-treated patients, serious adverse events consisted of a worsening of clinical condition because of suicidal ideation or attempt (n = 3), alcoholic relapse (n = 2), depression (n = 1), chest pain (n = 1), or syncope (n = 1).”</w:t>
      </w:r>
      <w:r w:rsidR="006857EE">
        <w:rPr>
          <w:sz w:val="28"/>
          <w:szCs w:val="28"/>
        </w:rPr>
        <w:t xml:space="preserve"> </w:t>
      </w:r>
      <w:r w:rsidRPr="006857EE">
        <w:rPr>
          <w:sz w:val="28"/>
          <w:szCs w:val="28"/>
        </w:rPr>
        <w:t>Notably, the numerical overrepresentation of SAEs with sertraline is entirely driven by alcoholic relapses</w:t>
      </w:r>
      <w:r w:rsidR="006857EE">
        <w:rPr>
          <w:sz w:val="28"/>
          <w:szCs w:val="28"/>
        </w:rPr>
        <w:t>;</w:t>
      </w:r>
      <w:r w:rsidRPr="006857EE">
        <w:rPr>
          <w:sz w:val="28"/>
          <w:szCs w:val="28"/>
        </w:rPr>
        <w:t xml:space="preserve"> </w:t>
      </w:r>
      <w:r w:rsidR="006857EE">
        <w:rPr>
          <w:sz w:val="28"/>
          <w:szCs w:val="28"/>
        </w:rPr>
        <w:t>w</w:t>
      </w:r>
      <w:r w:rsidRPr="006857EE">
        <w:rPr>
          <w:sz w:val="28"/>
          <w:szCs w:val="28"/>
        </w:rPr>
        <w:t>ith these events included the OR is 1.36 (0.52 – 3.53), if excluded the odds</w:t>
      </w:r>
      <w:r w:rsidR="006857EE">
        <w:rPr>
          <w:sz w:val="28"/>
          <w:szCs w:val="28"/>
        </w:rPr>
        <w:t xml:space="preserve"> </w:t>
      </w:r>
      <w:r w:rsidRPr="006857EE">
        <w:rPr>
          <w:sz w:val="28"/>
          <w:szCs w:val="28"/>
        </w:rPr>
        <w:t xml:space="preserve">ratio </w:t>
      </w:r>
      <w:r w:rsidR="006857EE">
        <w:rPr>
          <w:sz w:val="28"/>
          <w:szCs w:val="28"/>
        </w:rPr>
        <w:t>drops to</w:t>
      </w:r>
      <w:r w:rsidR="006857EE" w:rsidRPr="006857EE">
        <w:rPr>
          <w:sz w:val="28"/>
          <w:szCs w:val="28"/>
        </w:rPr>
        <w:t xml:space="preserve"> </w:t>
      </w:r>
      <w:r w:rsidRPr="006857EE">
        <w:rPr>
          <w:sz w:val="28"/>
          <w:szCs w:val="28"/>
        </w:rPr>
        <w:t>0.53 (0.13 – 2.14).</w:t>
      </w:r>
    </w:p>
    <w:p w14:paraId="70B5EA78" w14:textId="677B4AFE" w:rsidR="00D93B44" w:rsidRPr="006857EE" w:rsidRDefault="00D93B44" w:rsidP="00311264">
      <w:pPr>
        <w:pStyle w:val="EndNoteBibliography"/>
        <w:spacing w:line="480" w:lineRule="auto"/>
        <w:rPr>
          <w:b/>
          <w:sz w:val="28"/>
          <w:szCs w:val="28"/>
        </w:rPr>
      </w:pPr>
      <w:r w:rsidRPr="00F20B60">
        <w:rPr>
          <w:sz w:val="28"/>
          <w:szCs w:val="28"/>
        </w:rPr>
        <w:t xml:space="preserve">In reference to the study by Schneider and co-workers </w:t>
      </w:r>
      <w:r>
        <w:rPr>
          <w:sz w:val="28"/>
          <w:szCs w:val="28"/>
        </w:rPr>
        <w:t>(27)</w:t>
      </w:r>
      <w:r w:rsidRPr="00F20B60">
        <w:rPr>
          <w:sz w:val="28"/>
          <w:szCs w:val="28"/>
        </w:rPr>
        <w:t>, the CTU</w:t>
      </w:r>
      <w:r w:rsidR="006857EE">
        <w:rPr>
          <w:sz w:val="28"/>
          <w:szCs w:val="28"/>
        </w:rPr>
        <w:t xml:space="preserve"> </w:t>
      </w:r>
      <w:r w:rsidRPr="00F20B60">
        <w:rPr>
          <w:sz w:val="28"/>
          <w:szCs w:val="28"/>
        </w:rPr>
        <w:t>group state</w:t>
      </w:r>
      <w:r w:rsidR="006857EE">
        <w:rPr>
          <w:sz w:val="28"/>
          <w:szCs w:val="28"/>
        </w:rPr>
        <w:t>s</w:t>
      </w:r>
      <w:r w:rsidRPr="00F20B60">
        <w:rPr>
          <w:sz w:val="28"/>
          <w:szCs w:val="28"/>
        </w:rPr>
        <w:t xml:space="preserve"> in their reply that</w:t>
      </w:r>
      <w:r w:rsidR="006857EE">
        <w:rPr>
          <w:sz w:val="28"/>
          <w:szCs w:val="28"/>
        </w:rPr>
        <w:t xml:space="preserve"> </w:t>
      </w:r>
      <w:r w:rsidRPr="006857EE">
        <w:rPr>
          <w:sz w:val="28"/>
          <w:szCs w:val="28"/>
        </w:rPr>
        <w:t>“</w:t>
      </w:r>
      <w:r w:rsidR="006857EE">
        <w:rPr>
          <w:sz w:val="28"/>
          <w:szCs w:val="28"/>
        </w:rPr>
        <w:t>[w]</w:t>
      </w:r>
      <w:r w:rsidR="006857EE" w:rsidRPr="006857EE">
        <w:rPr>
          <w:sz w:val="28"/>
          <w:szCs w:val="28"/>
        </w:rPr>
        <w:t xml:space="preserve">e </w:t>
      </w:r>
      <w:r w:rsidRPr="006857EE">
        <w:rPr>
          <w:sz w:val="28"/>
          <w:szCs w:val="28"/>
        </w:rPr>
        <w:t xml:space="preserve">do not know if the reported number is a count and one or more of the participants experienced more than one SAE </w:t>
      </w:r>
      <w:r w:rsidRPr="006857EE">
        <w:rPr>
          <w:sz w:val="28"/>
          <w:szCs w:val="28"/>
        </w:rPr>
        <w:lastRenderedPageBreak/>
        <w:t>or if it is the number of participants affected by one or more SAEs (proportion).”</w:t>
      </w:r>
      <w:r w:rsidR="006857EE">
        <w:rPr>
          <w:sz w:val="28"/>
          <w:szCs w:val="28"/>
        </w:rPr>
        <w:t xml:space="preserve"> </w:t>
      </w:r>
      <w:r w:rsidRPr="006857EE">
        <w:rPr>
          <w:sz w:val="28"/>
          <w:szCs w:val="28"/>
        </w:rPr>
        <w:t xml:space="preserve">In fact, we </w:t>
      </w:r>
      <w:r w:rsidR="006857EE">
        <w:rPr>
          <w:sz w:val="28"/>
          <w:szCs w:val="28"/>
        </w:rPr>
        <w:t>are</w:t>
      </w:r>
      <w:r w:rsidRPr="006857EE">
        <w:rPr>
          <w:sz w:val="28"/>
          <w:szCs w:val="28"/>
        </w:rPr>
        <w:t xml:space="preserve"> reasonably certain that it is a count as this is what the manuscript states:</w:t>
      </w:r>
      <w:r w:rsidR="006857EE">
        <w:rPr>
          <w:sz w:val="28"/>
          <w:szCs w:val="28"/>
        </w:rPr>
        <w:t xml:space="preserve"> </w:t>
      </w:r>
      <w:r w:rsidRPr="006857EE">
        <w:rPr>
          <w:sz w:val="28"/>
          <w:szCs w:val="28"/>
        </w:rPr>
        <w:t xml:space="preserve">“There were 28 serious adverse events in the study: 17 among the patients in the sertraline group and 11 in the placebo group […] Four patients left the study because of serious adverse events; all were receiving sertraline. These events included </w:t>
      </w:r>
      <w:r w:rsidRPr="00F70C8C">
        <w:rPr>
          <w:sz w:val="28"/>
          <w:szCs w:val="28"/>
        </w:rPr>
        <w:t>depression and fecal impaction in one patient</w:t>
      </w:r>
      <w:r w:rsidRPr="006857EE">
        <w:rPr>
          <w:sz w:val="28"/>
          <w:szCs w:val="28"/>
        </w:rPr>
        <w:t xml:space="preserve"> and syncope, diverticulitis, and accidental bone fracture in one patient each.”</w:t>
      </w:r>
    </w:p>
    <w:p w14:paraId="0DF0E453" w14:textId="77777777" w:rsidR="00D93B44" w:rsidRDefault="00D93B44" w:rsidP="00011CC6">
      <w:pPr>
        <w:pStyle w:val="EndNoteBibliography"/>
        <w:spacing w:line="480" w:lineRule="auto"/>
        <w:rPr>
          <w:sz w:val="28"/>
          <w:szCs w:val="28"/>
        </w:rPr>
      </w:pPr>
      <w:r w:rsidRPr="00F20B60">
        <w:rPr>
          <w:sz w:val="28"/>
          <w:szCs w:val="28"/>
        </w:rPr>
        <w:t>The study by Itil and co-workers</w:t>
      </w:r>
      <w:r w:rsidR="009B366C">
        <w:rPr>
          <w:sz w:val="28"/>
          <w:szCs w:val="28"/>
        </w:rPr>
        <w:t xml:space="preserve"> (28)</w:t>
      </w:r>
      <w:r w:rsidRPr="00F20B60">
        <w:rPr>
          <w:sz w:val="28"/>
          <w:szCs w:val="28"/>
        </w:rPr>
        <w:t xml:space="preserve"> concerns fluvoxamine, not fluoxetine. </w:t>
      </w:r>
    </w:p>
    <w:p w14:paraId="6D73F8D3" w14:textId="77777777" w:rsidR="00D93B44" w:rsidRPr="00F20B60" w:rsidRDefault="00D93B44" w:rsidP="00011CC6">
      <w:pPr>
        <w:pStyle w:val="EndNoteBibliography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study by Pettinati and co-workers (29) is not included in the efficacy evaluations.</w:t>
      </w:r>
    </w:p>
    <w:p w14:paraId="3534FA28" w14:textId="3C03043F" w:rsidR="00CA4466" w:rsidRDefault="006857EE" w:rsidP="00CA4466">
      <w:pPr>
        <w:pStyle w:val="EndNoteBibliography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Pr="00F70C8C">
        <w:rPr>
          <w:i/>
          <w:sz w:val="28"/>
          <w:szCs w:val="28"/>
        </w:rPr>
        <w:t>BMC psychiatry</w:t>
      </w:r>
      <w:r>
        <w:rPr>
          <w:sz w:val="28"/>
          <w:szCs w:val="28"/>
        </w:rPr>
        <w:t xml:space="preserve"> paper, the author</w:t>
      </w:r>
      <w:r w:rsidR="00D93B44">
        <w:rPr>
          <w:sz w:val="28"/>
          <w:szCs w:val="28"/>
        </w:rPr>
        <w:t xml:space="preserve"> </w:t>
      </w:r>
      <w:r w:rsidR="00D93B44" w:rsidRPr="00F20B60">
        <w:rPr>
          <w:sz w:val="28"/>
          <w:szCs w:val="28"/>
        </w:rPr>
        <w:t xml:space="preserve">state </w:t>
      </w:r>
      <w:r w:rsidR="00D93B44" w:rsidRPr="006857EE">
        <w:rPr>
          <w:sz w:val="28"/>
          <w:szCs w:val="28"/>
        </w:rPr>
        <w:t>that</w:t>
      </w:r>
      <w:r>
        <w:rPr>
          <w:sz w:val="28"/>
          <w:szCs w:val="28"/>
        </w:rPr>
        <w:t xml:space="preserve"> </w:t>
      </w:r>
      <w:r w:rsidR="00D93B44" w:rsidRPr="006857EE">
        <w:rPr>
          <w:sz w:val="28"/>
          <w:szCs w:val="28"/>
        </w:rPr>
        <w:t>“</w:t>
      </w:r>
      <w:r>
        <w:rPr>
          <w:sz w:val="28"/>
          <w:szCs w:val="28"/>
        </w:rPr>
        <w:t>[w]</w:t>
      </w:r>
      <w:r w:rsidRPr="006857EE">
        <w:rPr>
          <w:sz w:val="28"/>
          <w:szCs w:val="28"/>
        </w:rPr>
        <w:t xml:space="preserve">hen </w:t>
      </w:r>
      <w:r w:rsidR="00D93B44" w:rsidRPr="006857EE">
        <w:rPr>
          <w:sz w:val="28"/>
          <w:szCs w:val="28"/>
        </w:rPr>
        <w:t xml:space="preserve">the four trials with low risk of bias of financial bias </w:t>
      </w:r>
      <w:bookmarkStart w:id="0" w:name="_GoBack"/>
      <w:bookmarkEnd w:id="0"/>
      <w:r w:rsidR="00D93B44" w:rsidRPr="006857EE">
        <w:rPr>
          <w:sz w:val="28"/>
          <w:szCs w:val="28"/>
        </w:rPr>
        <w:t>were analysed separately then there was no significant difference between the SSRI group and the placebo group (−0.92 points; 95% CI −2.42 to 0.58; I2 26%) (Additional file 4: Figure S1).”</w:t>
      </w:r>
      <w:r w:rsidR="00D478F8">
        <w:rPr>
          <w:sz w:val="28"/>
          <w:szCs w:val="28"/>
        </w:rPr>
        <w:t xml:space="preserve"> </w:t>
      </w:r>
      <w:r w:rsidR="00D93B44" w:rsidRPr="00D478F8">
        <w:rPr>
          <w:sz w:val="28"/>
          <w:szCs w:val="28"/>
        </w:rPr>
        <w:t xml:space="preserve">However Additional file 4: Figure S1 </w:t>
      </w:r>
      <w:r w:rsidR="00D478F8">
        <w:rPr>
          <w:sz w:val="28"/>
          <w:szCs w:val="28"/>
        </w:rPr>
        <w:t>reveals that</w:t>
      </w:r>
      <w:r w:rsidR="00D93B44" w:rsidRPr="00D478F8">
        <w:rPr>
          <w:sz w:val="28"/>
          <w:szCs w:val="28"/>
        </w:rPr>
        <w:t xml:space="preserve"> that five, not four, trials </w:t>
      </w:r>
      <w:r w:rsidR="00D478F8">
        <w:rPr>
          <w:sz w:val="28"/>
          <w:szCs w:val="28"/>
        </w:rPr>
        <w:t>we</w:t>
      </w:r>
      <w:r w:rsidR="00D478F8" w:rsidRPr="00D478F8">
        <w:rPr>
          <w:sz w:val="28"/>
          <w:szCs w:val="28"/>
        </w:rPr>
        <w:t xml:space="preserve">re </w:t>
      </w:r>
      <w:r w:rsidR="00D93B44" w:rsidRPr="00D478F8">
        <w:rPr>
          <w:sz w:val="28"/>
          <w:szCs w:val="28"/>
        </w:rPr>
        <w:t>included in the analysis</w:t>
      </w:r>
      <w:r w:rsidR="00D478F8">
        <w:rPr>
          <w:sz w:val="28"/>
          <w:szCs w:val="28"/>
        </w:rPr>
        <w:t>;</w:t>
      </w:r>
      <w:r w:rsidR="00D93B44" w:rsidRPr="00D478F8">
        <w:rPr>
          <w:sz w:val="28"/>
          <w:szCs w:val="28"/>
        </w:rPr>
        <w:t xml:space="preserve"> one </w:t>
      </w:r>
      <w:r w:rsidR="00D478F8">
        <w:rPr>
          <w:sz w:val="28"/>
          <w:szCs w:val="28"/>
        </w:rPr>
        <w:t>of these</w:t>
      </w:r>
      <w:r w:rsidR="00D478F8" w:rsidRPr="00D478F8">
        <w:rPr>
          <w:sz w:val="28"/>
          <w:szCs w:val="28"/>
        </w:rPr>
        <w:t xml:space="preserve"> </w:t>
      </w:r>
      <w:r w:rsidR="00D478F8">
        <w:rPr>
          <w:sz w:val="28"/>
          <w:szCs w:val="28"/>
        </w:rPr>
        <w:t xml:space="preserve">has a duration of merely </w:t>
      </w:r>
      <w:r w:rsidR="00D93B44" w:rsidRPr="00D478F8">
        <w:rPr>
          <w:sz w:val="28"/>
          <w:szCs w:val="28"/>
        </w:rPr>
        <w:t xml:space="preserve">one week </w:t>
      </w:r>
      <w:r w:rsidR="00D478F8">
        <w:rPr>
          <w:sz w:val="28"/>
          <w:szCs w:val="28"/>
        </w:rPr>
        <w:t>and</w:t>
      </w:r>
      <w:r w:rsidR="00D478F8" w:rsidRPr="00D478F8">
        <w:rPr>
          <w:sz w:val="28"/>
          <w:szCs w:val="28"/>
        </w:rPr>
        <w:t xml:space="preserve"> </w:t>
      </w:r>
      <w:r w:rsidR="00D93B44" w:rsidRPr="00D478F8">
        <w:rPr>
          <w:sz w:val="28"/>
          <w:szCs w:val="28"/>
        </w:rPr>
        <w:t xml:space="preserve">another erroneously uses pre-treatment values rather than post-treatment ones (see points </w:t>
      </w:r>
      <w:r w:rsidR="00F70C8C">
        <w:rPr>
          <w:sz w:val="28"/>
          <w:szCs w:val="28"/>
        </w:rPr>
        <w:t>4</w:t>
      </w:r>
      <w:r w:rsidR="00D93B44" w:rsidRPr="00D478F8">
        <w:rPr>
          <w:sz w:val="28"/>
          <w:szCs w:val="28"/>
        </w:rPr>
        <w:t xml:space="preserve"> and </w:t>
      </w:r>
      <w:r w:rsidR="00F70C8C">
        <w:rPr>
          <w:sz w:val="28"/>
          <w:szCs w:val="28"/>
        </w:rPr>
        <w:t>5</w:t>
      </w:r>
      <w:r w:rsidR="00D478F8">
        <w:rPr>
          <w:sz w:val="28"/>
          <w:szCs w:val="28"/>
        </w:rPr>
        <w:t xml:space="preserve"> above</w:t>
      </w:r>
      <w:r w:rsidR="00CA4466">
        <w:rPr>
          <w:sz w:val="28"/>
          <w:szCs w:val="28"/>
        </w:rPr>
        <w:t>).</w:t>
      </w:r>
    </w:p>
    <w:p w14:paraId="468E980C" w14:textId="43A2946C" w:rsidR="00D93B44" w:rsidRPr="00CA4466" w:rsidRDefault="00D478F8" w:rsidP="00CA4466">
      <w:pPr>
        <w:pStyle w:val="EndNoteBibliography"/>
        <w:spacing w:line="480" w:lineRule="auto"/>
        <w:rPr>
          <w:sz w:val="28"/>
          <w:szCs w:val="28"/>
        </w:rPr>
      </w:pPr>
      <w:r w:rsidRPr="00CA4466">
        <w:rPr>
          <w:i/>
          <w:sz w:val="28"/>
          <w:szCs w:val="28"/>
        </w:rPr>
        <w:lastRenderedPageBreak/>
        <w:t>The BMC Psychiatry</w:t>
      </w:r>
      <w:r w:rsidRPr="00CA4466">
        <w:rPr>
          <w:sz w:val="28"/>
          <w:szCs w:val="28"/>
        </w:rPr>
        <w:t xml:space="preserve"> paper</w:t>
      </w:r>
      <w:r w:rsidR="00D93B44" w:rsidRPr="00CA4466">
        <w:rPr>
          <w:sz w:val="28"/>
          <w:szCs w:val="28"/>
        </w:rPr>
        <w:t xml:space="preserve"> states</w:t>
      </w:r>
      <w:r w:rsidRPr="00CA4466">
        <w:rPr>
          <w:sz w:val="28"/>
          <w:szCs w:val="28"/>
        </w:rPr>
        <w:t xml:space="preserve"> that </w:t>
      </w:r>
      <w:r w:rsidR="00D93B44" w:rsidRPr="00CA4466">
        <w:rPr>
          <w:sz w:val="28"/>
          <w:szCs w:val="28"/>
        </w:rPr>
        <w:t>“</w:t>
      </w:r>
      <w:r w:rsidRPr="00CA4466">
        <w:rPr>
          <w:sz w:val="28"/>
          <w:szCs w:val="28"/>
        </w:rPr>
        <w:t xml:space="preserve">[t]here </w:t>
      </w:r>
      <w:r w:rsidR="00D93B44" w:rsidRPr="00CA4466">
        <w:rPr>
          <w:sz w:val="28"/>
          <w:szCs w:val="28"/>
        </w:rPr>
        <w:t>were no significant differences between participants randomised to SSRIs versus placebo on number of suicides (RR 0.68; 95% CI 0.16 to 2.81; P = 0.59; Trial Sequential Analysis-adjusted CI 0.01 to 226.85; 6 trials [60, 71, 108, 113, 151, 155])</w:t>
      </w:r>
      <w:r w:rsidRPr="00CA4466">
        <w:rPr>
          <w:sz w:val="28"/>
          <w:szCs w:val="28"/>
        </w:rPr>
        <w:t>.” T</w:t>
      </w:r>
      <w:r w:rsidR="00D93B44" w:rsidRPr="00CA4466">
        <w:rPr>
          <w:sz w:val="28"/>
          <w:szCs w:val="28"/>
        </w:rPr>
        <w:t>able 2</w:t>
      </w:r>
      <w:r w:rsidRPr="00CA4466">
        <w:rPr>
          <w:sz w:val="28"/>
          <w:szCs w:val="28"/>
        </w:rPr>
        <w:t>,</w:t>
      </w:r>
      <w:r w:rsidR="00D93B44" w:rsidRPr="00CA4466">
        <w:rPr>
          <w:sz w:val="28"/>
          <w:szCs w:val="28"/>
        </w:rPr>
        <w:t xml:space="preserve"> </w:t>
      </w:r>
      <w:r w:rsidRPr="00CA4466">
        <w:rPr>
          <w:sz w:val="28"/>
          <w:szCs w:val="28"/>
        </w:rPr>
        <w:t xml:space="preserve">however, </w:t>
      </w:r>
      <w:r w:rsidR="00D93B44" w:rsidRPr="00CA4466">
        <w:rPr>
          <w:sz w:val="28"/>
          <w:szCs w:val="28"/>
        </w:rPr>
        <w:t xml:space="preserve">shows that suicides occurred in 7 of the tabulated trials. </w:t>
      </w:r>
      <w:r w:rsidRPr="00CA4466">
        <w:rPr>
          <w:sz w:val="28"/>
          <w:szCs w:val="28"/>
        </w:rPr>
        <w:t>Moreover,</w:t>
      </w:r>
      <w:r w:rsidR="00D93B44" w:rsidRPr="00CA4466">
        <w:rPr>
          <w:sz w:val="28"/>
          <w:szCs w:val="28"/>
        </w:rPr>
        <w:t xml:space="preserve"> </w:t>
      </w:r>
      <w:r w:rsidRPr="00CA4466">
        <w:rPr>
          <w:sz w:val="28"/>
          <w:szCs w:val="28"/>
        </w:rPr>
        <w:t>there was</w:t>
      </w:r>
      <w:r w:rsidR="00D93B44" w:rsidRPr="00CA4466">
        <w:rPr>
          <w:sz w:val="28"/>
          <w:szCs w:val="28"/>
        </w:rPr>
        <w:t xml:space="preserve"> a suicide in the study by Loo and co-workers (3</w:t>
      </w:r>
      <w:r w:rsidR="00CA4466">
        <w:rPr>
          <w:sz w:val="28"/>
          <w:szCs w:val="28"/>
        </w:rPr>
        <w:t>0</w:t>
      </w:r>
      <w:r w:rsidR="00D93B44" w:rsidRPr="00CA4466">
        <w:rPr>
          <w:sz w:val="28"/>
          <w:szCs w:val="28"/>
        </w:rPr>
        <w:t>)</w:t>
      </w:r>
      <w:r w:rsidRPr="00CA4466">
        <w:rPr>
          <w:sz w:val="28"/>
          <w:szCs w:val="28"/>
        </w:rPr>
        <w:t xml:space="preserve"> which was</w:t>
      </w:r>
      <w:r w:rsidR="00D93B44" w:rsidRPr="00CA4466">
        <w:rPr>
          <w:sz w:val="28"/>
          <w:szCs w:val="28"/>
        </w:rPr>
        <w:t xml:space="preserve"> included in the </w:t>
      </w:r>
      <w:r w:rsidR="00AF3A74" w:rsidRPr="00CA4466">
        <w:rPr>
          <w:sz w:val="28"/>
          <w:szCs w:val="28"/>
        </w:rPr>
        <w:t>SAE analysis</w:t>
      </w:r>
      <w:r w:rsidRPr="00CA4466">
        <w:rPr>
          <w:sz w:val="28"/>
          <w:szCs w:val="28"/>
        </w:rPr>
        <w:t xml:space="preserve"> but</w:t>
      </w:r>
      <w:r w:rsidR="00D93B44" w:rsidRPr="00CA4466">
        <w:rPr>
          <w:sz w:val="28"/>
          <w:szCs w:val="28"/>
        </w:rPr>
        <w:t xml:space="preserve"> not tabulated.</w:t>
      </w:r>
    </w:p>
    <w:p w14:paraId="676BEB15" w14:textId="77777777" w:rsidR="00D93B44" w:rsidRPr="00F20B60" w:rsidRDefault="00D93B44" w:rsidP="00011CC6">
      <w:pPr>
        <w:pStyle w:val="EndNoteBibliography"/>
        <w:numPr>
          <w:ilvl w:val="0"/>
          <w:numId w:val="0"/>
        </w:numPr>
        <w:spacing w:line="480" w:lineRule="auto"/>
        <w:ind w:left="360"/>
        <w:rPr>
          <w:sz w:val="28"/>
          <w:szCs w:val="28"/>
        </w:rPr>
      </w:pPr>
      <w:r w:rsidRPr="00F20B60">
        <w:rPr>
          <w:sz w:val="28"/>
          <w:szCs w:val="28"/>
        </w:rPr>
        <w:br w:type="page"/>
      </w:r>
    </w:p>
    <w:p w14:paraId="322685F5" w14:textId="77777777" w:rsidR="00D93B44" w:rsidRPr="005C2D9C" w:rsidRDefault="00D93B44" w:rsidP="005C2D9C">
      <w:pPr>
        <w:spacing w:line="480" w:lineRule="auto"/>
        <w:rPr>
          <w:b/>
          <w:sz w:val="28"/>
          <w:szCs w:val="28"/>
          <w:lang w:val="en-US"/>
        </w:rPr>
      </w:pPr>
      <w:r w:rsidRPr="005C2D9C">
        <w:rPr>
          <w:b/>
          <w:sz w:val="28"/>
          <w:szCs w:val="28"/>
          <w:lang w:val="en-US"/>
        </w:rPr>
        <w:lastRenderedPageBreak/>
        <w:t>References</w:t>
      </w:r>
    </w:p>
    <w:p w14:paraId="0AEDCF1D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F70C8C">
        <w:rPr>
          <w:sz w:val="28"/>
          <w:szCs w:val="28"/>
        </w:rPr>
        <w:t>1.</w:t>
      </w:r>
      <w:r w:rsidRPr="00F70C8C">
        <w:rPr>
          <w:sz w:val="28"/>
          <w:szCs w:val="28"/>
        </w:rPr>
        <w:tab/>
        <w:t xml:space="preserve">Claghorn JL, Earl CQ, Walczak DD, Stoner KA, Wong LF, Kanter D, et al. </w:t>
      </w:r>
      <w:r w:rsidRPr="005C2D9C">
        <w:rPr>
          <w:sz w:val="28"/>
          <w:szCs w:val="28"/>
        </w:rPr>
        <w:t>Fluvoxamine maleate in the treatment of depression: a single-center, double-blind, placebo-controlled comparison with imipramine in outpatients. J Clin Psychopharmacol. 1996;16(2):113-20.</w:t>
      </w:r>
    </w:p>
    <w:p w14:paraId="602F4D78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2.</w:t>
      </w:r>
      <w:r w:rsidRPr="005C2D9C">
        <w:rPr>
          <w:sz w:val="28"/>
          <w:szCs w:val="28"/>
        </w:rPr>
        <w:tab/>
        <w:t>Fabre LF, Crismon L. Efficacy of Fluoxetine in Outpatients with Major Depression. Curr Ther Res Clin E. 1985;37(1):115-23.</w:t>
      </w:r>
    </w:p>
    <w:p w14:paraId="11BBEECE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3.</w:t>
      </w:r>
      <w:r w:rsidRPr="005C2D9C">
        <w:rPr>
          <w:sz w:val="28"/>
          <w:szCs w:val="28"/>
        </w:rPr>
        <w:tab/>
        <w:t>Lydiard RB, Stahl SM, Hertzman M, Harrison WM. A double-blind, placebo-controlled study comparing the effects of sertraline versus amitriptyline in the treatment of major depression. J Clin Psychiatry. 1997;58(11):484-91.</w:t>
      </w:r>
    </w:p>
    <w:p w14:paraId="71C51220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4.</w:t>
      </w:r>
      <w:r w:rsidRPr="005C2D9C">
        <w:rPr>
          <w:sz w:val="28"/>
          <w:szCs w:val="28"/>
        </w:rPr>
        <w:tab/>
        <w:t>Wernicke JF, Dunlop SR, Dornseif BE, Bosomworth JC, Humbert M. Low-dose fluoxetine therapy for depression. Psychopharmacol Bull. 1988;24(1):183-8.</w:t>
      </w:r>
    </w:p>
    <w:p w14:paraId="305545CB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5.</w:t>
      </w:r>
      <w:r w:rsidRPr="005C2D9C">
        <w:rPr>
          <w:sz w:val="28"/>
          <w:szCs w:val="28"/>
        </w:rPr>
        <w:tab/>
        <w:t>Norton KRW, Sireling LI, Bhat AV, Rao B, Paykel ES. A Double-Blind Comparison of Fluvoxamine, Imipramine and Placebo in Depressed-Patients. J Affect Disorders. 1984;7(3-4):297-308.</w:t>
      </w:r>
    </w:p>
    <w:p w14:paraId="52635370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6.</w:t>
      </w:r>
      <w:r w:rsidRPr="005C2D9C">
        <w:rPr>
          <w:sz w:val="28"/>
          <w:szCs w:val="28"/>
        </w:rPr>
        <w:tab/>
        <w:t xml:space="preserve">Adamson SJ, Sellman JD, Foulds JA, Frampton CM, Deering D, Dunn A, et al. A randomized trial of combined citalopram and naltrexone for nonabstinent </w:t>
      </w:r>
      <w:r w:rsidRPr="005C2D9C">
        <w:rPr>
          <w:sz w:val="28"/>
          <w:szCs w:val="28"/>
        </w:rPr>
        <w:lastRenderedPageBreak/>
        <w:t>outpatients with co-occurring alcohol dependence and major depression. J Clin Psychopharmacol. 2015;35(2):143-9.</w:t>
      </w:r>
    </w:p>
    <w:p w14:paraId="4784CF98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7.</w:t>
      </w:r>
      <w:r w:rsidRPr="005C2D9C">
        <w:rPr>
          <w:sz w:val="28"/>
          <w:szCs w:val="28"/>
        </w:rPr>
        <w:tab/>
        <w:t>Tollefson GD, Bosomworth JC, Heiligenstein JH, Potvin JH, Holman S. A double-blind, placebo-controlled clinical trial of fluoxetine in geriatric patients with major depression. The Fluoxetine Collaborative Study Group. Int Psychogeriatr. 1995;7(1):89-104.</w:t>
      </w:r>
    </w:p>
    <w:p w14:paraId="4D1CE73D" w14:textId="77777777" w:rsidR="00D93B44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8.</w:t>
      </w:r>
      <w:r w:rsidRPr="005C2D9C">
        <w:rPr>
          <w:sz w:val="28"/>
          <w:szCs w:val="28"/>
        </w:rPr>
        <w:tab/>
        <w:t xml:space="preserve">Lundbeck. Clinical Trial Report Summary - Study 99024 2005 [Available from: </w:t>
      </w:r>
      <w:hyperlink r:id="rId6" w:history="1">
        <w:r w:rsidR="00473E18" w:rsidRPr="00CC01B1">
          <w:rPr>
            <w:rStyle w:val="Hyperlink"/>
            <w:sz w:val="28"/>
            <w:szCs w:val="28"/>
          </w:rPr>
          <w:t>http://www.lundbeck.com/upload/trials/files/pdf/completed/99024_CTRS_final_30Dec2005.pdf</w:t>
        </w:r>
      </w:hyperlink>
      <w:r w:rsidR="00473E18">
        <w:rPr>
          <w:sz w:val="28"/>
          <w:szCs w:val="28"/>
        </w:rPr>
        <w:t>]</w:t>
      </w:r>
      <w:r w:rsidRPr="005C2D9C">
        <w:rPr>
          <w:sz w:val="28"/>
          <w:szCs w:val="28"/>
        </w:rPr>
        <w:t>.</w:t>
      </w:r>
    </w:p>
    <w:p w14:paraId="68DFF403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9.</w:t>
      </w:r>
      <w:r w:rsidRPr="005C2D9C">
        <w:rPr>
          <w:sz w:val="28"/>
          <w:szCs w:val="28"/>
        </w:rPr>
        <w:tab/>
        <w:t>Detke MJ, Wiltse CG, Mallinckrodt CH, McNamara RK, Demitrack MA, Bitter I. Duloxetine in the acute and long-term treatment of major depressive disorder: a placebo- and paroxetine-controlled trial. Eur Neuropsychopharm. 2004;14(6):457-70.</w:t>
      </w:r>
    </w:p>
    <w:p w14:paraId="72A103A8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10.</w:t>
      </w:r>
      <w:r w:rsidRPr="005C2D9C">
        <w:rPr>
          <w:sz w:val="28"/>
          <w:szCs w:val="28"/>
        </w:rPr>
        <w:tab/>
        <w:t>Sramek JJ, Kashkin K, Jasinsky O, Kardatzke D, Kennedy S, Cutler NR. Placebo-controlled study of ABT-200 versus fluoxetine in the treatment of major depressive disorder. Depression. 1995;3(4):199-203.</w:t>
      </w:r>
    </w:p>
    <w:p w14:paraId="26164BCE" w14:textId="77777777" w:rsidR="00D93B44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11.</w:t>
      </w:r>
      <w:r w:rsidRPr="005C2D9C">
        <w:rPr>
          <w:sz w:val="28"/>
          <w:szCs w:val="28"/>
        </w:rPr>
        <w:tab/>
        <w:t xml:space="preserve">GlaxoSmithKline. Scientific Result Summary - 29060.487 2005 [Available from: </w:t>
      </w:r>
      <w:hyperlink r:id="rId7" w:history="1">
        <w:r w:rsidR="00473E18" w:rsidRPr="00CC01B1">
          <w:rPr>
            <w:rStyle w:val="Hyperlink"/>
            <w:sz w:val="28"/>
            <w:szCs w:val="28"/>
          </w:rPr>
          <w:t>https://www.gsk-clinicalstudyregister.com/files2/2063.pdf</w:t>
        </w:r>
      </w:hyperlink>
      <w:r w:rsidR="00473E18">
        <w:rPr>
          <w:sz w:val="28"/>
          <w:szCs w:val="28"/>
        </w:rPr>
        <w:t>]</w:t>
      </w:r>
      <w:r w:rsidRPr="005C2D9C">
        <w:rPr>
          <w:sz w:val="28"/>
          <w:szCs w:val="28"/>
        </w:rPr>
        <w:t>.</w:t>
      </w:r>
    </w:p>
    <w:p w14:paraId="4066D668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  <w:lang w:val="sv-SE"/>
        </w:rPr>
        <w:lastRenderedPageBreak/>
        <w:t>12.</w:t>
      </w:r>
      <w:r w:rsidRPr="005C2D9C">
        <w:rPr>
          <w:sz w:val="28"/>
          <w:szCs w:val="28"/>
          <w:lang w:val="sv-SE"/>
        </w:rPr>
        <w:tab/>
        <w:t xml:space="preserve">Fava M, Amsterdam JD, Deltito JA, Salzman C, Schwaller M, Dunner DL. </w:t>
      </w:r>
      <w:r w:rsidRPr="005C2D9C">
        <w:rPr>
          <w:sz w:val="28"/>
          <w:szCs w:val="28"/>
        </w:rPr>
        <w:t>A double-blind study of paroxetine, fluoxetine, and placebo in outpatients with major depression. Ann Clin Psychiatry. 1998;10(4):145-50.</w:t>
      </w:r>
    </w:p>
    <w:p w14:paraId="443C32F1" w14:textId="77777777" w:rsidR="00D93B44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13.</w:t>
      </w:r>
      <w:r w:rsidRPr="005C2D9C">
        <w:rPr>
          <w:sz w:val="28"/>
          <w:szCs w:val="28"/>
        </w:rPr>
        <w:tab/>
        <w:t xml:space="preserve">GlaxoSmithKline. Scientific Result Summary - 29060.115 2005 [Available from: </w:t>
      </w:r>
      <w:hyperlink r:id="rId8" w:history="1">
        <w:r w:rsidR="00473E18" w:rsidRPr="00CC01B1">
          <w:rPr>
            <w:rStyle w:val="Hyperlink"/>
            <w:sz w:val="28"/>
            <w:szCs w:val="28"/>
          </w:rPr>
          <w:t>https://www.gsk-clinicalstudyregister.com/files2/2060.pdf</w:t>
        </w:r>
      </w:hyperlink>
      <w:r w:rsidR="00473E18">
        <w:rPr>
          <w:sz w:val="28"/>
          <w:szCs w:val="28"/>
        </w:rPr>
        <w:t>]</w:t>
      </w:r>
      <w:r w:rsidRPr="005C2D9C">
        <w:rPr>
          <w:sz w:val="28"/>
          <w:szCs w:val="28"/>
        </w:rPr>
        <w:t>.</w:t>
      </w:r>
    </w:p>
    <w:p w14:paraId="547B1540" w14:textId="77777777" w:rsidR="00D93B44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14.</w:t>
      </w:r>
      <w:r w:rsidRPr="005C2D9C">
        <w:rPr>
          <w:sz w:val="28"/>
          <w:szCs w:val="28"/>
        </w:rPr>
        <w:tab/>
        <w:t xml:space="preserve">GlaxoSmithKline. Scientific Result Summary - 29060.128 2005 [Available from: </w:t>
      </w:r>
      <w:hyperlink r:id="rId9" w:history="1">
        <w:r w:rsidR="00473E18" w:rsidRPr="00CC01B1">
          <w:rPr>
            <w:rStyle w:val="Hyperlink"/>
            <w:sz w:val="28"/>
            <w:szCs w:val="28"/>
          </w:rPr>
          <w:t>http://www.gsk-clinicalstudyregister.com/files2/2821.pdf</w:t>
        </w:r>
      </w:hyperlink>
      <w:r w:rsidR="00473E18">
        <w:rPr>
          <w:sz w:val="28"/>
          <w:szCs w:val="28"/>
        </w:rPr>
        <w:t>]</w:t>
      </w:r>
      <w:r w:rsidRPr="005C2D9C">
        <w:rPr>
          <w:sz w:val="28"/>
          <w:szCs w:val="28"/>
        </w:rPr>
        <w:t>.</w:t>
      </w:r>
    </w:p>
    <w:p w14:paraId="10EB1FF4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15.</w:t>
      </w:r>
      <w:r w:rsidRPr="005C2D9C">
        <w:rPr>
          <w:sz w:val="28"/>
          <w:szCs w:val="28"/>
        </w:rPr>
        <w:tab/>
        <w:t>Barber JP, Barrett MS, Gallop R, Rynn MA, Rickels K. Short-Term Dynamic Psychotherapy Versus Pharmacotherapy for Major Depressive Disorder: A Randomized, Placebo-Controlled Trial. J Clin Psychiat. 2012;73(1):66-73.</w:t>
      </w:r>
    </w:p>
    <w:p w14:paraId="2735961B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16.</w:t>
      </w:r>
      <w:r w:rsidRPr="005C2D9C">
        <w:rPr>
          <w:sz w:val="28"/>
          <w:szCs w:val="28"/>
        </w:rPr>
        <w:tab/>
        <w:t>Jindal RD, Friedman ES, Berman SR, Fasiczka AL, Howland RH, Thase ME. Effects of sertraline on sleep architecture in patients with depression. J Clin Psychopharm. 2003;23(6):540-8.</w:t>
      </w:r>
    </w:p>
    <w:p w14:paraId="4DCC41B4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  <w:lang w:val="sv-SE"/>
        </w:rPr>
      </w:pPr>
      <w:r w:rsidRPr="005C2D9C">
        <w:rPr>
          <w:sz w:val="28"/>
          <w:szCs w:val="28"/>
        </w:rPr>
        <w:t>17.</w:t>
      </w:r>
      <w:r w:rsidRPr="005C2D9C">
        <w:rPr>
          <w:sz w:val="28"/>
          <w:szCs w:val="28"/>
        </w:rPr>
        <w:tab/>
        <w:t xml:space="preserve">Godlewska BR, Norbury R, Selvaraj S, Cowen PJ, Harmer CJ. Short-term SSRI treatment normalises amygdala hyperactivity in depressed patients. </w:t>
      </w:r>
      <w:r w:rsidRPr="005C2D9C">
        <w:rPr>
          <w:sz w:val="28"/>
          <w:szCs w:val="28"/>
          <w:lang w:val="sv-SE"/>
        </w:rPr>
        <w:t>Psychol Med. 2012;42(12):2609-17.</w:t>
      </w:r>
    </w:p>
    <w:p w14:paraId="30018390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  <w:lang w:val="sv-SE"/>
        </w:rPr>
        <w:t>18.</w:t>
      </w:r>
      <w:r w:rsidRPr="005C2D9C">
        <w:rPr>
          <w:sz w:val="28"/>
          <w:szCs w:val="28"/>
          <w:lang w:val="sv-SE"/>
        </w:rPr>
        <w:tab/>
        <w:t xml:space="preserve">Katz MM, Tekell JL, Bowden CL, Brannan S, Houston JP, Berman N, et al. </w:t>
      </w:r>
      <w:r w:rsidRPr="005C2D9C">
        <w:rPr>
          <w:sz w:val="28"/>
          <w:szCs w:val="28"/>
        </w:rPr>
        <w:t>Onset and early behavioral effects of pharmacologically different antidepressants and placebo in depression. Neuropsychopharmacology</w:t>
      </w:r>
      <w:r w:rsidR="00473E18">
        <w:rPr>
          <w:sz w:val="28"/>
          <w:szCs w:val="28"/>
        </w:rPr>
        <w:t xml:space="preserve">. </w:t>
      </w:r>
      <w:r w:rsidRPr="005C2D9C">
        <w:rPr>
          <w:sz w:val="28"/>
          <w:szCs w:val="28"/>
        </w:rPr>
        <w:t>2004;29(3):566-79.</w:t>
      </w:r>
    </w:p>
    <w:p w14:paraId="4520F7BD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lastRenderedPageBreak/>
        <w:t>19.</w:t>
      </w:r>
      <w:r w:rsidRPr="005C2D9C">
        <w:rPr>
          <w:sz w:val="28"/>
          <w:szCs w:val="28"/>
        </w:rPr>
        <w:tab/>
        <w:t>Tyrer P, Marsden CA, Casey P, Seivewright N. Clinical efficacy of paroxetine in resistant depression. J Psychopharmacol. 1987;1(4):251-7.</w:t>
      </w:r>
    </w:p>
    <w:p w14:paraId="1CCCF1FE" w14:textId="77777777" w:rsidR="00473E18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20.</w:t>
      </w:r>
      <w:r w:rsidRPr="005C2D9C">
        <w:rPr>
          <w:sz w:val="28"/>
          <w:szCs w:val="28"/>
        </w:rPr>
        <w:tab/>
        <w:t xml:space="preserve">GlaxoSmithKline. Scientific Result Summary - 29060.282 2005 [Available from: </w:t>
      </w:r>
      <w:hyperlink r:id="rId10" w:history="1">
        <w:r w:rsidR="00473E18" w:rsidRPr="00CC01B1">
          <w:rPr>
            <w:rStyle w:val="Hyperlink"/>
            <w:sz w:val="28"/>
            <w:szCs w:val="28"/>
          </w:rPr>
          <w:t>https://www.gsk-clinicalstudyregister.com/files2/2867.pdf</w:t>
        </w:r>
      </w:hyperlink>
      <w:r w:rsidR="00473E18">
        <w:rPr>
          <w:sz w:val="28"/>
          <w:szCs w:val="28"/>
        </w:rPr>
        <w:t>]</w:t>
      </w:r>
      <w:r w:rsidRPr="005C2D9C">
        <w:rPr>
          <w:sz w:val="28"/>
          <w:szCs w:val="28"/>
        </w:rPr>
        <w:t>.</w:t>
      </w:r>
    </w:p>
    <w:p w14:paraId="7D6C5910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21.</w:t>
      </w:r>
      <w:r w:rsidRPr="005C2D9C">
        <w:rPr>
          <w:sz w:val="28"/>
          <w:szCs w:val="28"/>
        </w:rPr>
        <w:tab/>
        <w:t>Feighner JP, Overo K. Multicenter, placebo-controlled, fixed-dose study of citalopram in moderate-to-severe depression. J Clin Psychiatry. 1999;60(12):824-30.</w:t>
      </w:r>
    </w:p>
    <w:p w14:paraId="40A1B911" w14:textId="77777777" w:rsidR="00D93B44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22.</w:t>
      </w:r>
      <w:r w:rsidRPr="005C2D9C">
        <w:rPr>
          <w:sz w:val="28"/>
          <w:szCs w:val="28"/>
        </w:rPr>
        <w:tab/>
        <w:t xml:space="preserve">GlaxoSmithKline. Scientific Result Summary - 29060.279 2005 [Available from: </w:t>
      </w:r>
      <w:hyperlink r:id="rId11" w:history="1">
        <w:r w:rsidR="00473E18" w:rsidRPr="00CC01B1">
          <w:rPr>
            <w:rStyle w:val="Hyperlink"/>
            <w:sz w:val="28"/>
            <w:szCs w:val="28"/>
          </w:rPr>
          <w:t>https://www.gsk-clinicalstudyregister.com/files2/2866.pdf</w:t>
        </w:r>
      </w:hyperlink>
      <w:r w:rsidR="00473E18">
        <w:rPr>
          <w:sz w:val="28"/>
          <w:szCs w:val="28"/>
        </w:rPr>
        <w:t>]</w:t>
      </w:r>
      <w:r w:rsidRPr="005C2D9C">
        <w:rPr>
          <w:sz w:val="28"/>
          <w:szCs w:val="28"/>
        </w:rPr>
        <w:t>.</w:t>
      </w:r>
    </w:p>
    <w:p w14:paraId="17459D91" w14:textId="77777777" w:rsidR="00D93B44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23.</w:t>
      </w:r>
      <w:r w:rsidRPr="005C2D9C">
        <w:rPr>
          <w:sz w:val="28"/>
          <w:szCs w:val="28"/>
        </w:rPr>
        <w:tab/>
        <w:t xml:space="preserve">Laboratories F. ClinicalTrials.gov - NCT01473381 2014 [Available from: </w:t>
      </w:r>
      <w:hyperlink r:id="rId12" w:history="1">
        <w:r w:rsidR="00473E18" w:rsidRPr="00CC01B1">
          <w:rPr>
            <w:rStyle w:val="Hyperlink"/>
            <w:sz w:val="28"/>
            <w:szCs w:val="28"/>
          </w:rPr>
          <w:t>https://clinicaltrials.gov/ct2/show/results/NCT01473381</w:t>
        </w:r>
      </w:hyperlink>
      <w:r w:rsidR="00473E18">
        <w:rPr>
          <w:sz w:val="28"/>
          <w:szCs w:val="28"/>
        </w:rPr>
        <w:t>]</w:t>
      </w:r>
      <w:r w:rsidRPr="005C2D9C">
        <w:rPr>
          <w:sz w:val="28"/>
          <w:szCs w:val="28"/>
        </w:rPr>
        <w:t>.</w:t>
      </w:r>
    </w:p>
    <w:p w14:paraId="64BA75BA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24.</w:t>
      </w:r>
      <w:r w:rsidRPr="005C2D9C">
        <w:rPr>
          <w:sz w:val="28"/>
          <w:szCs w:val="28"/>
        </w:rPr>
        <w:tab/>
        <w:t>Mathews M, Gommoll C, Chen D, Nunez R, Khan A. Efficacy and safety of vilazodone 20 and 40 mg in major depressive disorder: a randomized, double-blind, placebo-controlled trial. Int Clin Psychopharmacol. 2015;30(2):67-74.</w:t>
      </w:r>
    </w:p>
    <w:p w14:paraId="6043474C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25.</w:t>
      </w:r>
      <w:r w:rsidRPr="005C2D9C">
        <w:rPr>
          <w:sz w:val="28"/>
          <w:szCs w:val="28"/>
        </w:rPr>
        <w:tab/>
        <w:t>Katakam KK, Sethi NJ, Jakobsen JC, Gluud C. Great boast, small roast on effects of selective serotonin reuptake inhibitors: response to a critique of our systematic review. Acta Neuropsychiatr. 2018:1-15.</w:t>
      </w:r>
    </w:p>
    <w:p w14:paraId="10130993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F70C8C">
        <w:rPr>
          <w:sz w:val="28"/>
          <w:szCs w:val="28"/>
        </w:rPr>
        <w:t>26.</w:t>
      </w:r>
      <w:r w:rsidRPr="00F70C8C">
        <w:rPr>
          <w:sz w:val="28"/>
          <w:szCs w:val="28"/>
        </w:rPr>
        <w:tab/>
        <w:t xml:space="preserve">Kranzler HR, Mueller T, Cornelius J, Pettinati HM, Moak D, Martin PR, et al. </w:t>
      </w:r>
      <w:r w:rsidRPr="005C2D9C">
        <w:rPr>
          <w:sz w:val="28"/>
          <w:szCs w:val="28"/>
        </w:rPr>
        <w:t>Sertraline treatment of co-occurring alcohol dependence and major depression. J Clin Psychopharmacol. 2006;26(1):13-20.</w:t>
      </w:r>
    </w:p>
    <w:p w14:paraId="45631382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lastRenderedPageBreak/>
        <w:t>27.</w:t>
      </w:r>
      <w:r w:rsidRPr="005C2D9C">
        <w:rPr>
          <w:sz w:val="28"/>
          <w:szCs w:val="28"/>
        </w:rPr>
        <w:tab/>
        <w:t xml:space="preserve">Schneider LS, Nelson JC, Clary CM, Newhouse P, Krishnan KR, Shiovitz T, et al. An 8-week multicenter, parallel-group, double-blind, placebo-controlled study of sertraline in elderly outpatients with major depression. </w:t>
      </w:r>
      <w:r w:rsidR="004A1704">
        <w:rPr>
          <w:sz w:val="28"/>
          <w:szCs w:val="28"/>
        </w:rPr>
        <w:t>Am J Psychiatry</w:t>
      </w:r>
      <w:r w:rsidRPr="005C2D9C">
        <w:rPr>
          <w:sz w:val="28"/>
          <w:szCs w:val="28"/>
        </w:rPr>
        <w:t>. 2003;160(7):1277-85.</w:t>
      </w:r>
    </w:p>
    <w:p w14:paraId="04F04A88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28.</w:t>
      </w:r>
      <w:r w:rsidRPr="005C2D9C">
        <w:rPr>
          <w:sz w:val="28"/>
          <w:szCs w:val="28"/>
        </w:rPr>
        <w:tab/>
        <w:t>Itil TM, Shrivastava RK, Mukherjee S, Coleman BS, Michael ST. A double-blind placebo-controlled study of fluvoxamine and imipramine in out-patients with primary depression. Br J Clin Pharmacol. 1983;15 Suppl 3:433S-8S.</w:t>
      </w:r>
    </w:p>
    <w:p w14:paraId="1167F0E4" w14:textId="77777777" w:rsidR="00D93B44" w:rsidRPr="005C2D9C" w:rsidRDefault="00D93B44" w:rsidP="005C2D9C">
      <w:pPr>
        <w:pStyle w:val="EndNoteBibliography"/>
        <w:numPr>
          <w:ilvl w:val="0"/>
          <w:numId w:val="0"/>
        </w:numPr>
        <w:spacing w:after="0" w:line="480" w:lineRule="auto"/>
        <w:rPr>
          <w:sz w:val="28"/>
          <w:szCs w:val="28"/>
        </w:rPr>
      </w:pPr>
      <w:r w:rsidRPr="005C2D9C">
        <w:rPr>
          <w:sz w:val="28"/>
          <w:szCs w:val="28"/>
        </w:rPr>
        <w:t>29.</w:t>
      </w:r>
      <w:r w:rsidRPr="005C2D9C">
        <w:rPr>
          <w:sz w:val="28"/>
          <w:szCs w:val="28"/>
        </w:rPr>
        <w:tab/>
        <w:t xml:space="preserve">Pettinati HM, Oslin DW, Kampman KM, Dundon WD, Xie H, Gallis TL, et al. A double-blind, placebo-controlled trial combining sertraline and naltrexone for treating co-occurring depression and alcohol dependence. </w:t>
      </w:r>
      <w:r w:rsidR="00AA3192">
        <w:rPr>
          <w:sz w:val="28"/>
          <w:szCs w:val="28"/>
        </w:rPr>
        <w:t>Am J Psychiatry.</w:t>
      </w:r>
      <w:r w:rsidRPr="005C2D9C">
        <w:rPr>
          <w:sz w:val="28"/>
          <w:szCs w:val="28"/>
        </w:rPr>
        <w:t xml:space="preserve"> 2010;167(6):668-75.</w:t>
      </w:r>
    </w:p>
    <w:p w14:paraId="68572710" w14:textId="5E832B31" w:rsidR="00011CC6" w:rsidRPr="005C2D9C" w:rsidRDefault="00D93B44" w:rsidP="005C2D9C">
      <w:pPr>
        <w:pStyle w:val="EndNoteBibliography"/>
        <w:numPr>
          <w:ilvl w:val="0"/>
          <w:numId w:val="0"/>
        </w:numPr>
        <w:spacing w:line="480" w:lineRule="auto"/>
        <w:rPr>
          <w:sz w:val="28"/>
          <w:szCs w:val="28"/>
          <w:lang w:val="en-GB"/>
        </w:rPr>
      </w:pPr>
      <w:r w:rsidRPr="005C2D9C">
        <w:rPr>
          <w:sz w:val="28"/>
          <w:szCs w:val="28"/>
        </w:rPr>
        <w:t>3</w:t>
      </w:r>
      <w:r w:rsidR="00CA4466">
        <w:rPr>
          <w:sz w:val="28"/>
          <w:szCs w:val="28"/>
        </w:rPr>
        <w:t>0</w:t>
      </w:r>
      <w:r w:rsidRPr="005C2D9C">
        <w:rPr>
          <w:sz w:val="28"/>
          <w:szCs w:val="28"/>
        </w:rPr>
        <w:t>.</w:t>
      </w:r>
      <w:r w:rsidRPr="005C2D9C">
        <w:rPr>
          <w:sz w:val="28"/>
          <w:szCs w:val="28"/>
        </w:rPr>
        <w:tab/>
        <w:t>Loo H, Hale A, D'Haenen H. Determination of the dose of agomelatine, a melatoninergic agonist and selective 5-HT(2C) antagonist, in the treatment of major depressive disorder: a placebo-controlled dose range study. Int Clin Psychopharmacol. 2002;17(5):239-47.</w:t>
      </w:r>
    </w:p>
    <w:sectPr w:rsidR="00011CC6" w:rsidRPr="005C2D9C" w:rsidSect="00011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Dido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0480"/>
    <w:multiLevelType w:val="hybridMultilevel"/>
    <w:tmpl w:val="9866F5CA"/>
    <w:lvl w:ilvl="0" w:tplc="052CA768">
      <w:start w:val="1"/>
      <w:numFmt w:val="decimal"/>
      <w:pStyle w:val="EndNoteBibliography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-4797" w:hanging="360"/>
      </w:pPr>
    </w:lvl>
    <w:lvl w:ilvl="2" w:tplc="041D001B" w:tentative="1">
      <w:start w:val="1"/>
      <w:numFmt w:val="lowerRoman"/>
      <w:lvlText w:val="%3."/>
      <w:lvlJc w:val="right"/>
      <w:pPr>
        <w:ind w:left="-4077" w:hanging="180"/>
      </w:pPr>
    </w:lvl>
    <w:lvl w:ilvl="3" w:tplc="041D000F" w:tentative="1">
      <w:start w:val="1"/>
      <w:numFmt w:val="decimal"/>
      <w:lvlText w:val="%4."/>
      <w:lvlJc w:val="left"/>
      <w:pPr>
        <w:ind w:left="-3357" w:hanging="360"/>
      </w:pPr>
    </w:lvl>
    <w:lvl w:ilvl="4" w:tplc="041D0019" w:tentative="1">
      <w:start w:val="1"/>
      <w:numFmt w:val="lowerLetter"/>
      <w:lvlText w:val="%5."/>
      <w:lvlJc w:val="left"/>
      <w:pPr>
        <w:ind w:left="-2637" w:hanging="360"/>
      </w:pPr>
    </w:lvl>
    <w:lvl w:ilvl="5" w:tplc="041D001B" w:tentative="1">
      <w:start w:val="1"/>
      <w:numFmt w:val="lowerRoman"/>
      <w:lvlText w:val="%6."/>
      <w:lvlJc w:val="right"/>
      <w:pPr>
        <w:ind w:left="-1917" w:hanging="180"/>
      </w:pPr>
    </w:lvl>
    <w:lvl w:ilvl="6" w:tplc="041D000F" w:tentative="1">
      <w:start w:val="1"/>
      <w:numFmt w:val="decimal"/>
      <w:lvlText w:val="%7."/>
      <w:lvlJc w:val="left"/>
      <w:pPr>
        <w:ind w:left="-1197" w:hanging="360"/>
      </w:pPr>
    </w:lvl>
    <w:lvl w:ilvl="7" w:tplc="041D0019" w:tentative="1">
      <w:start w:val="1"/>
      <w:numFmt w:val="lowerLetter"/>
      <w:lvlText w:val="%8."/>
      <w:lvlJc w:val="left"/>
      <w:pPr>
        <w:ind w:left="-477" w:hanging="360"/>
      </w:pPr>
    </w:lvl>
    <w:lvl w:ilvl="8" w:tplc="041D001B" w:tentative="1">
      <w:start w:val="1"/>
      <w:numFmt w:val="lowerRoman"/>
      <w:lvlText w:val="%9."/>
      <w:lvlJc w:val="right"/>
      <w:pPr>
        <w:ind w:left="2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93B44"/>
    <w:rsid w:val="00011CC6"/>
    <w:rsid w:val="001D1F31"/>
    <w:rsid w:val="00311264"/>
    <w:rsid w:val="00372DAC"/>
    <w:rsid w:val="00434146"/>
    <w:rsid w:val="00473E18"/>
    <w:rsid w:val="004A1704"/>
    <w:rsid w:val="004E2BE9"/>
    <w:rsid w:val="00504D68"/>
    <w:rsid w:val="005C2D9C"/>
    <w:rsid w:val="00677766"/>
    <w:rsid w:val="006857EE"/>
    <w:rsid w:val="00756C8B"/>
    <w:rsid w:val="009421E0"/>
    <w:rsid w:val="009B366C"/>
    <w:rsid w:val="00AA3192"/>
    <w:rsid w:val="00AF3A74"/>
    <w:rsid w:val="00BA6399"/>
    <w:rsid w:val="00CA4466"/>
    <w:rsid w:val="00D478F8"/>
    <w:rsid w:val="00D93B44"/>
    <w:rsid w:val="00F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29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44"/>
    <w:pPr>
      <w:spacing w:after="200" w:line="276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3B4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93B4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3B44"/>
    <w:rPr>
      <w:lang w:val="sv-SE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D93B4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93B44"/>
    <w:pPr>
      <w:numPr>
        <w:numId w:val="1"/>
      </w:num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D93B44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93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B44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B44"/>
    <w:rPr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44"/>
    <w:rPr>
      <w:rFonts w:ascii="Segoe UI" w:hAnsi="Segoe UI" w:cs="Segoe UI"/>
      <w:sz w:val="18"/>
      <w:szCs w:val="18"/>
      <w:lang w:val="sv-SE"/>
    </w:rPr>
  </w:style>
  <w:style w:type="table" w:styleId="TableGrid">
    <w:name w:val="Table Grid"/>
    <w:basedOn w:val="TableNormal"/>
    <w:uiPriority w:val="59"/>
    <w:rsid w:val="00D93B44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3E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44"/>
    <w:pPr>
      <w:spacing w:after="200" w:line="276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3B4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93B4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3B44"/>
    <w:rPr>
      <w:lang w:val="sv-SE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D93B4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93B44"/>
    <w:pPr>
      <w:numPr>
        <w:numId w:val="1"/>
      </w:num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D93B44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93B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B44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B44"/>
    <w:rPr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44"/>
    <w:rPr>
      <w:rFonts w:ascii="Segoe UI" w:hAnsi="Segoe UI" w:cs="Segoe UI"/>
      <w:sz w:val="18"/>
      <w:szCs w:val="18"/>
      <w:lang w:val="sv-SE"/>
    </w:rPr>
  </w:style>
  <w:style w:type="table" w:styleId="TableGrid">
    <w:name w:val="Table Grid"/>
    <w:basedOn w:val="TableNormal"/>
    <w:uiPriority w:val="59"/>
    <w:rsid w:val="00D93B44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3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k-clinicalstudyregister.com/files2/2060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sk-clinicalstudyregister.com/files2/2063.pdf" TargetMode="External"/><Relationship Id="rId12" Type="http://schemas.openxmlformats.org/officeDocument/2006/relationships/hyperlink" Target="https://clinicaltrials.gov/ct2/show/results/NCT014733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ndbeck.com/upload/trials/files/pdf/completed/99024_CTRS_final_30Dec2005.pdf" TargetMode="External"/><Relationship Id="rId11" Type="http://schemas.openxmlformats.org/officeDocument/2006/relationships/hyperlink" Target="https://www.gsk-clinicalstudyregister.com/files2/286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sk-clinicalstudyregister.com/files2/286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k-clinicalstudyregister.com/files2/28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2264</Words>
  <Characters>12003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Hieronymus</dc:creator>
  <cp:lastModifiedBy>Fredrik Hieronymus</cp:lastModifiedBy>
  <cp:revision>5</cp:revision>
  <dcterms:created xsi:type="dcterms:W3CDTF">2018-03-08T15:04:00Z</dcterms:created>
  <dcterms:modified xsi:type="dcterms:W3CDTF">2018-03-29T14:55:00Z</dcterms:modified>
</cp:coreProperties>
</file>