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E84C" w14:textId="17F20F44" w:rsidR="008E6635" w:rsidRDefault="00A45FA2" w:rsidP="00A45FA2">
      <w:pPr>
        <w:spacing w:line="48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Supplement</w:t>
      </w:r>
      <w:r w:rsidR="00B07202">
        <w:rPr>
          <w:rFonts w:ascii="Cambria" w:hAnsi="Cambria"/>
          <w:b/>
          <w:bCs/>
        </w:rPr>
        <w:t>ary Material</w:t>
      </w:r>
    </w:p>
    <w:p w14:paraId="2229B09D" w14:textId="77777777" w:rsidR="00162A19" w:rsidRDefault="00162A19" w:rsidP="00B07202">
      <w:pPr>
        <w:spacing w:line="480" w:lineRule="auto"/>
        <w:rPr>
          <w:rFonts w:ascii="Cambria" w:hAnsi="Cambria"/>
          <w:b/>
          <w:bCs/>
        </w:rPr>
      </w:pPr>
    </w:p>
    <w:p w14:paraId="744FDE45" w14:textId="04AD7987" w:rsidR="008E6635" w:rsidRDefault="00162A19" w:rsidP="00B07202">
      <w:pPr>
        <w:spacing w:line="480" w:lineRule="auto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e</w:t>
      </w:r>
      <w:r w:rsidR="00B07202">
        <w:rPr>
          <w:rFonts w:ascii="Cambria" w:hAnsi="Cambria"/>
          <w:b/>
          <w:bCs/>
        </w:rPr>
        <w:t>Figure</w:t>
      </w:r>
      <w:proofErr w:type="spellEnd"/>
      <w:r w:rsidR="00B07202">
        <w:rPr>
          <w:rFonts w:ascii="Cambria" w:hAnsi="Cambria"/>
          <w:b/>
          <w:bCs/>
        </w:rPr>
        <w:t xml:space="preserve"> 1. </w:t>
      </w:r>
      <w:r w:rsidR="00F72E14" w:rsidRPr="004F3376">
        <w:rPr>
          <w:rFonts w:ascii="Cambria" w:hAnsi="Cambria"/>
        </w:rPr>
        <w:t xml:space="preserve">Ct value </w:t>
      </w:r>
      <w:r w:rsidR="00F72E14">
        <w:rPr>
          <w:rFonts w:ascii="Cambria" w:hAnsi="Cambria"/>
        </w:rPr>
        <w:t>trajectory for three individuals</w:t>
      </w:r>
    </w:p>
    <w:p w14:paraId="4EAC230B" w14:textId="5E305E4C" w:rsidR="004F633F" w:rsidRDefault="004F633F" w:rsidP="00B07202">
      <w:pPr>
        <w:spacing w:line="480" w:lineRule="auto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eTable</w:t>
      </w:r>
      <w:proofErr w:type="spellEnd"/>
      <w:r>
        <w:rPr>
          <w:rFonts w:ascii="Cambria" w:hAnsi="Cambria"/>
          <w:b/>
          <w:bCs/>
        </w:rPr>
        <w:t xml:space="preserve"> 1. </w:t>
      </w:r>
      <w:r w:rsidRPr="00C81412">
        <w:rPr>
          <w:rFonts w:ascii="Cambria" w:hAnsi="Cambria"/>
        </w:rPr>
        <w:t xml:space="preserve">Median number of days </w:t>
      </w:r>
      <w:r>
        <w:rPr>
          <w:rFonts w:ascii="Cambria" w:hAnsi="Cambria"/>
        </w:rPr>
        <w:t xml:space="preserve">since symptom onset grouped by </w:t>
      </w:r>
      <w:proofErr w:type="gramStart"/>
      <w:r>
        <w:rPr>
          <w:rFonts w:ascii="Cambria" w:hAnsi="Cambria"/>
        </w:rPr>
        <w:t>comorbidities</w:t>
      </w:r>
      <w:proofErr w:type="gramEnd"/>
    </w:p>
    <w:p w14:paraId="1438032F" w14:textId="3AB077B0" w:rsidR="00B07202" w:rsidRDefault="00162A19" w:rsidP="00B07202">
      <w:pPr>
        <w:spacing w:line="480" w:lineRule="auto"/>
        <w:rPr>
          <w:rFonts w:ascii="Cambria" w:hAnsi="Cambria"/>
        </w:rPr>
      </w:pPr>
      <w:proofErr w:type="spellStart"/>
      <w:r>
        <w:rPr>
          <w:rFonts w:ascii="Cambria" w:hAnsi="Cambria"/>
          <w:b/>
          <w:bCs/>
        </w:rPr>
        <w:t>e</w:t>
      </w:r>
      <w:r w:rsidR="00B07202" w:rsidRPr="00A52CF6">
        <w:rPr>
          <w:rFonts w:ascii="Cambria" w:hAnsi="Cambria"/>
          <w:b/>
          <w:bCs/>
        </w:rPr>
        <w:t>Figure</w:t>
      </w:r>
      <w:proofErr w:type="spellEnd"/>
      <w:r w:rsidR="00B07202" w:rsidRPr="00A52CF6">
        <w:rPr>
          <w:rFonts w:ascii="Cambria" w:hAnsi="Cambria"/>
          <w:b/>
          <w:bCs/>
        </w:rPr>
        <w:t xml:space="preserve"> </w:t>
      </w:r>
      <w:r w:rsidR="00B07202">
        <w:rPr>
          <w:rFonts w:ascii="Cambria" w:hAnsi="Cambria"/>
          <w:b/>
          <w:bCs/>
        </w:rPr>
        <w:t>2</w:t>
      </w:r>
      <w:r w:rsidR="00B07202" w:rsidRPr="00A52CF6">
        <w:rPr>
          <w:rFonts w:ascii="Cambria" w:hAnsi="Cambria"/>
          <w:b/>
          <w:bCs/>
        </w:rPr>
        <w:t>.</w:t>
      </w:r>
      <w:r w:rsidR="00B07202">
        <w:rPr>
          <w:rFonts w:ascii="Cambria" w:hAnsi="Cambria"/>
        </w:rPr>
        <w:t xml:space="preserve"> </w:t>
      </w:r>
      <w:r w:rsidR="008A06FE">
        <w:rPr>
          <w:rFonts w:ascii="Cambria" w:hAnsi="Cambria"/>
        </w:rPr>
        <w:t xml:space="preserve">Ct value distributions by PCR instrument </w:t>
      </w:r>
      <w:r w:rsidR="00B07202" w:rsidRPr="00A52CF6">
        <w:rPr>
          <w:rFonts w:ascii="Cambria" w:hAnsi="Cambria"/>
        </w:rPr>
        <w:t>for RSV</w:t>
      </w:r>
      <w:r w:rsidR="00B07202">
        <w:rPr>
          <w:rFonts w:ascii="Cambria" w:hAnsi="Cambria"/>
        </w:rPr>
        <w:t xml:space="preserve"> and influenza</w:t>
      </w:r>
    </w:p>
    <w:p w14:paraId="577240B4" w14:textId="77777777" w:rsidR="00B07202" w:rsidRDefault="00B07202" w:rsidP="00A45FA2">
      <w:pPr>
        <w:spacing w:line="480" w:lineRule="auto"/>
        <w:rPr>
          <w:rFonts w:ascii="Cambria" w:hAnsi="Cambria"/>
          <w:b/>
          <w:bCs/>
        </w:rPr>
      </w:pPr>
    </w:p>
    <w:p w14:paraId="265AD3E0" w14:textId="77777777" w:rsidR="00B07202" w:rsidRDefault="00B07202" w:rsidP="00A45FA2">
      <w:pPr>
        <w:spacing w:line="480" w:lineRule="auto"/>
        <w:rPr>
          <w:rFonts w:ascii="Cambria" w:hAnsi="Cambria"/>
          <w:b/>
          <w:bCs/>
        </w:rPr>
      </w:pPr>
    </w:p>
    <w:p w14:paraId="761E82D5" w14:textId="77777777" w:rsidR="00B07202" w:rsidRDefault="00B07202" w:rsidP="00A45FA2">
      <w:pPr>
        <w:spacing w:line="480" w:lineRule="auto"/>
        <w:rPr>
          <w:rFonts w:ascii="Cambria" w:hAnsi="Cambria"/>
          <w:b/>
          <w:bCs/>
        </w:rPr>
      </w:pPr>
    </w:p>
    <w:p w14:paraId="04D69E4A" w14:textId="77777777" w:rsidR="00B07202" w:rsidRDefault="00B07202" w:rsidP="00A45FA2">
      <w:pPr>
        <w:spacing w:line="480" w:lineRule="auto"/>
        <w:rPr>
          <w:rFonts w:ascii="Cambria" w:hAnsi="Cambria"/>
          <w:b/>
          <w:bCs/>
        </w:rPr>
      </w:pPr>
    </w:p>
    <w:p w14:paraId="1BC37804" w14:textId="77777777" w:rsidR="00B07202" w:rsidRDefault="00B07202" w:rsidP="00A45FA2">
      <w:pPr>
        <w:spacing w:line="480" w:lineRule="auto"/>
        <w:rPr>
          <w:rFonts w:ascii="Cambria" w:hAnsi="Cambria"/>
          <w:b/>
          <w:bCs/>
        </w:rPr>
      </w:pPr>
    </w:p>
    <w:p w14:paraId="0E6698BA" w14:textId="77777777" w:rsidR="00B07202" w:rsidRDefault="00B07202" w:rsidP="00A45FA2">
      <w:pPr>
        <w:spacing w:line="480" w:lineRule="auto"/>
        <w:rPr>
          <w:rFonts w:ascii="Cambria" w:hAnsi="Cambria"/>
          <w:b/>
          <w:bCs/>
        </w:rPr>
      </w:pPr>
    </w:p>
    <w:p w14:paraId="688F1351" w14:textId="77777777" w:rsidR="00B07202" w:rsidRPr="00281354" w:rsidRDefault="00B07202" w:rsidP="00A45FA2">
      <w:pPr>
        <w:spacing w:line="480" w:lineRule="auto"/>
        <w:rPr>
          <w:rFonts w:ascii="Cambria" w:hAnsi="Cambria"/>
          <w:b/>
          <w:bCs/>
        </w:rPr>
      </w:pPr>
    </w:p>
    <w:p w14:paraId="0A4A0542" w14:textId="77777777" w:rsidR="003A2658" w:rsidRDefault="003A2658">
      <w:pPr>
        <w:spacing w:after="160" w:line="259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5B6AC34" w14:textId="13EC5D75" w:rsidR="00B07202" w:rsidRDefault="00162A19" w:rsidP="00447352">
      <w:pPr>
        <w:spacing w:line="480" w:lineRule="auto"/>
        <w:rPr>
          <w:rFonts w:ascii="Cambria" w:hAnsi="Cambria"/>
        </w:rPr>
      </w:pPr>
      <w:proofErr w:type="spellStart"/>
      <w:r>
        <w:rPr>
          <w:rFonts w:ascii="Cambria" w:hAnsi="Cambria"/>
          <w:b/>
          <w:bCs/>
        </w:rPr>
        <w:lastRenderedPageBreak/>
        <w:t>e</w:t>
      </w:r>
      <w:r w:rsidR="00B07202" w:rsidRPr="00B75372">
        <w:rPr>
          <w:rFonts w:ascii="Cambria" w:hAnsi="Cambria"/>
          <w:b/>
          <w:bCs/>
        </w:rPr>
        <w:t>Figure</w:t>
      </w:r>
      <w:proofErr w:type="spellEnd"/>
      <w:r w:rsidR="00B07202">
        <w:rPr>
          <w:rFonts w:ascii="Cambria" w:hAnsi="Cambria"/>
          <w:b/>
          <w:bCs/>
        </w:rPr>
        <w:t xml:space="preserve"> 1</w:t>
      </w:r>
      <w:r w:rsidR="00B07202" w:rsidRPr="004F3376">
        <w:rPr>
          <w:rFonts w:ascii="Cambria" w:hAnsi="Cambria"/>
          <w:b/>
          <w:bCs/>
        </w:rPr>
        <w:t>.</w:t>
      </w:r>
      <w:r w:rsidR="00B07202" w:rsidRPr="004F3376">
        <w:rPr>
          <w:rFonts w:ascii="Cambria" w:hAnsi="Cambria"/>
        </w:rPr>
        <w:t xml:space="preserve"> </w:t>
      </w:r>
      <w:bookmarkStart w:id="0" w:name="_Hlk136955902"/>
      <w:r w:rsidR="00B07202" w:rsidRPr="004F3376">
        <w:rPr>
          <w:rFonts w:ascii="Cambria" w:hAnsi="Cambria"/>
        </w:rPr>
        <w:t xml:space="preserve">Individual courses of Ct value progression </w:t>
      </w:r>
      <w:bookmarkEnd w:id="0"/>
      <w:r w:rsidR="00B07202" w:rsidRPr="004F3376">
        <w:rPr>
          <w:rFonts w:ascii="Cambria" w:hAnsi="Cambria"/>
        </w:rPr>
        <w:t>since symptom onset (vertical line) for A) Parainfluenza positive 80-year-old female with immunodeficiency, heart disease</w:t>
      </w:r>
      <w:r w:rsidR="00920C02">
        <w:rPr>
          <w:rFonts w:ascii="Cambria" w:hAnsi="Cambria"/>
        </w:rPr>
        <w:t>,</w:t>
      </w:r>
      <w:r w:rsidR="00B07202" w:rsidRPr="004F3376">
        <w:rPr>
          <w:rFonts w:ascii="Cambria" w:hAnsi="Cambria"/>
        </w:rPr>
        <w:t xml:space="preserve"> and diabetes, </w:t>
      </w:r>
      <w:r w:rsidR="00B07202">
        <w:rPr>
          <w:rFonts w:ascii="Cambria" w:hAnsi="Cambria"/>
        </w:rPr>
        <w:t>B</w:t>
      </w:r>
      <w:r w:rsidR="00B07202" w:rsidRPr="004F3376">
        <w:rPr>
          <w:rFonts w:ascii="Cambria" w:hAnsi="Cambria"/>
        </w:rPr>
        <w:t>) Rhinovirus positive 50-year-old female with immunodeficiency and kidney disease</w:t>
      </w:r>
      <w:r w:rsidR="00920C02">
        <w:rPr>
          <w:rFonts w:ascii="Cambria" w:hAnsi="Cambria"/>
        </w:rPr>
        <w:t>,</w:t>
      </w:r>
      <w:r w:rsidR="00B07202">
        <w:rPr>
          <w:rFonts w:ascii="Cambria" w:hAnsi="Cambria"/>
        </w:rPr>
        <w:t xml:space="preserve"> and C</w:t>
      </w:r>
      <w:r w:rsidR="00B07202" w:rsidRPr="004F3376">
        <w:rPr>
          <w:rFonts w:ascii="Cambria" w:hAnsi="Cambria"/>
        </w:rPr>
        <w:t>) Rhinovirus positive 34-year-old male with immunodeficiency, heart, lung, and liver disease</w:t>
      </w:r>
      <w:r w:rsidR="00B07202">
        <w:rPr>
          <w:rFonts w:ascii="Cambria" w:hAnsi="Cambria"/>
        </w:rPr>
        <w:t>.</w:t>
      </w:r>
    </w:p>
    <w:p w14:paraId="0E0A9353" w14:textId="7BA5877F" w:rsidR="00CA6987" w:rsidRDefault="00CA6987" w:rsidP="00A45FA2"/>
    <w:p w14:paraId="799B48F4" w14:textId="2DC9E928" w:rsidR="00C652E8" w:rsidRDefault="00DB2959" w:rsidP="00A45FA2">
      <w:r>
        <w:rPr>
          <w:rFonts w:ascii="Cambria" w:hAnsi="Cambria"/>
          <w:noProof/>
        </w:rPr>
        <w:drawing>
          <wp:inline distT="0" distB="0" distL="0" distR="0" wp14:anchorId="36027C06" wp14:editId="56B7555F">
            <wp:extent cx="6143196" cy="544010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89" cy="54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34C5" w14:textId="77777777" w:rsidR="00D56E5B" w:rsidRDefault="00D56E5B" w:rsidP="00C652E8">
      <w:pPr>
        <w:spacing w:line="480" w:lineRule="auto"/>
        <w:rPr>
          <w:rFonts w:ascii="Cambria" w:hAnsi="Cambria"/>
          <w:b/>
          <w:bCs/>
        </w:rPr>
      </w:pPr>
    </w:p>
    <w:p w14:paraId="7B2B8B4B" w14:textId="77777777" w:rsidR="001D4290" w:rsidRDefault="001D4290" w:rsidP="00B07202">
      <w:pPr>
        <w:spacing w:line="480" w:lineRule="auto"/>
        <w:rPr>
          <w:rFonts w:ascii="Cambria" w:hAnsi="Cambria"/>
          <w:b/>
          <w:bCs/>
        </w:rPr>
      </w:pPr>
    </w:p>
    <w:p w14:paraId="5F2E6A85" w14:textId="785F4D75" w:rsidR="00B07202" w:rsidRPr="00281354" w:rsidRDefault="00B07202" w:rsidP="00B07202">
      <w:pPr>
        <w:spacing w:line="48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Exemplary</w:t>
      </w:r>
      <w:r w:rsidRPr="00281354">
        <w:rPr>
          <w:rFonts w:ascii="Cambria" w:hAnsi="Cambria"/>
          <w:b/>
          <w:bCs/>
        </w:rPr>
        <w:t xml:space="preserve"> course</w:t>
      </w:r>
      <w:r>
        <w:rPr>
          <w:rFonts w:ascii="Cambria" w:hAnsi="Cambria"/>
          <w:b/>
          <w:bCs/>
        </w:rPr>
        <w:t>s</w:t>
      </w:r>
      <w:r w:rsidRPr="00281354">
        <w:rPr>
          <w:rFonts w:ascii="Cambria" w:hAnsi="Cambria"/>
          <w:b/>
          <w:bCs/>
        </w:rPr>
        <w:t xml:space="preserve"> of Ct values of </w:t>
      </w:r>
      <w:r>
        <w:rPr>
          <w:rFonts w:ascii="Cambria" w:hAnsi="Cambria"/>
          <w:b/>
          <w:bCs/>
        </w:rPr>
        <w:t xml:space="preserve">three </w:t>
      </w:r>
      <w:r w:rsidRPr="00281354">
        <w:rPr>
          <w:rFonts w:ascii="Cambria" w:hAnsi="Cambria"/>
          <w:b/>
          <w:bCs/>
        </w:rPr>
        <w:t>individual patients</w:t>
      </w:r>
    </w:p>
    <w:p w14:paraId="1D4ECB19" w14:textId="04265610" w:rsidR="00B07202" w:rsidRPr="00151974" w:rsidRDefault="00B07202" w:rsidP="00C652E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Screening for individuals who had at least three</w:t>
      </w:r>
      <w:r w:rsidRPr="00446515">
        <w:rPr>
          <w:rFonts w:ascii="Cambria" w:hAnsi="Cambria"/>
        </w:rPr>
        <w:t xml:space="preserve"> tests within one month</w:t>
      </w:r>
      <w:r>
        <w:rPr>
          <w:rFonts w:ascii="Cambria" w:hAnsi="Cambria"/>
        </w:rPr>
        <w:t xml:space="preserve"> and were analyzed using the same assay resulted in no influenza, </w:t>
      </w:r>
      <w:r w:rsidRPr="00D0739E">
        <w:rPr>
          <w:rFonts w:ascii="Cambria" w:hAnsi="Cambria"/>
        </w:rPr>
        <w:t xml:space="preserve">RSV, hMPV, and adenovirus </w:t>
      </w:r>
      <w:r>
        <w:rPr>
          <w:rFonts w:ascii="Cambria" w:hAnsi="Cambria"/>
        </w:rPr>
        <w:t>cases</w:t>
      </w:r>
      <w:r w:rsidRPr="00D0739E">
        <w:rPr>
          <w:rFonts w:ascii="Cambria" w:hAnsi="Cambria"/>
        </w:rPr>
        <w:t>.</w:t>
      </w:r>
      <w:r>
        <w:rPr>
          <w:rFonts w:ascii="Cambria" w:hAnsi="Cambria"/>
        </w:rPr>
        <w:t xml:space="preserve"> We identified</w:t>
      </w:r>
      <w:r w:rsidRPr="0015576C">
        <w:rPr>
          <w:rFonts w:ascii="Cambria" w:hAnsi="Cambria"/>
        </w:rPr>
        <w:t xml:space="preserve"> 4 rhinovirus and 4 parainfluenza cases, all but one of which were immuno</w:t>
      </w:r>
      <w:r w:rsidR="00DA480A">
        <w:rPr>
          <w:rFonts w:ascii="Cambria" w:hAnsi="Cambria"/>
        </w:rPr>
        <w:t>compromised</w:t>
      </w:r>
      <w:r>
        <w:rPr>
          <w:rFonts w:ascii="Cambria" w:hAnsi="Cambria"/>
        </w:rPr>
        <w:t>.</w:t>
      </w:r>
      <w:r w:rsidRPr="00D0739E">
        <w:rPr>
          <w:rFonts w:ascii="Cambria" w:hAnsi="Cambria"/>
        </w:rPr>
        <w:t xml:space="preserve"> </w:t>
      </w:r>
      <w:r>
        <w:rPr>
          <w:rFonts w:ascii="Cambria" w:hAnsi="Cambria"/>
        </w:rPr>
        <w:t>We exemplarily</w:t>
      </w:r>
      <w:r w:rsidRPr="00446515">
        <w:rPr>
          <w:rFonts w:ascii="Cambria" w:hAnsi="Cambria"/>
        </w:rPr>
        <w:t xml:space="preserve"> present </w:t>
      </w:r>
      <w:r w:rsidRPr="0015576C">
        <w:rPr>
          <w:rFonts w:ascii="Cambria" w:hAnsi="Cambria"/>
        </w:rPr>
        <w:t>three</w:t>
      </w:r>
      <w:r w:rsidRPr="00446515">
        <w:rPr>
          <w:rFonts w:ascii="Cambria" w:hAnsi="Cambria"/>
        </w:rPr>
        <w:t xml:space="preserve"> individual patients</w:t>
      </w:r>
      <w:r>
        <w:rPr>
          <w:rFonts w:ascii="Cambria" w:hAnsi="Cambria"/>
        </w:rPr>
        <w:t xml:space="preserve"> and the trajectory of their</w:t>
      </w:r>
      <w:r w:rsidRPr="0044651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Ct values (Figure 2). </w:t>
      </w:r>
      <w:r w:rsidR="00920C02">
        <w:rPr>
          <w:rFonts w:ascii="Cambria" w:hAnsi="Cambria"/>
        </w:rPr>
        <w:t>An</w:t>
      </w:r>
      <w:r w:rsidRPr="00D0739E">
        <w:rPr>
          <w:rFonts w:ascii="Cambria" w:hAnsi="Cambria"/>
        </w:rPr>
        <w:t xml:space="preserve"> 80-year-old woman</w:t>
      </w:r>
      <w:r>
        <w:rPr>
          <w:rFonts w:ascii="Cambria" w:hAnsi="Cambria"/>
        </w:rPr>
        <w:t xml:space="preserve"> presenting on day 4 of symptoms with a parainfluenza-positive PCR (Figure 2A) with a Ct value of 20.1 show</w:t>
      </w:r>
      <w:r w:rsidR="00920C02">
        <w:rPr>
          <w:rFonts w:ascii="Cambria" w:hAnsi="Cambria"/>
        </w:rPr>
        <w:t>ed</w:t>
      </w:r>
      <w:r>
        <w:rPr>
          <w:rFonts w:ascii="Cambria" w:hAnsi="Cambria"/>
        </w:rPr>
        <w:t xml:space="preserve"> an</w:t>
      </w:r>
      <w:r w:rsidRPr="00D0739E">
        <w:rPr>
          <w:rFonts w:ascii="Cambria" w:hAnsi="Cambria"/>
        </w:rPr>
        <w:t xml:space="preserve"> increase over a period of 8 days to </w:t>
      </w:r>
      <w:r>
        <w:rPr>
          <w:rFonts w:ascii="Cambria" w:hAnsi="Cambria"/>
        </w:rPr>
        <w:t xml:space="preserve">a Ct value of </w:t>
      </w:r>
      <w:r w:rsidRPr="00D0739E">
        <w:rPr>
          <w:rFonts w:ascii="Cambria" w:hAnsi="Cambria"/>
        </w:rPr>
        <w:t xml:space="preserve">25. However, 11 days after symptom onset this </w:t>
      </w:r>
      <w:r w:rsidR="00DA480A" w:rsidRPr="00D0739E">
        <w:rPr>
          <w:rFonts w:ascii="Cambria" w:hAnsi="Cambria"/>
        </w:rPr>
        <w:t>immuno</w:t>
      </w:r>
      <w:r w:rsidR="00DA480A">
        <w:rPr>
          <w:rFonts w:ascii="Cambria" w:hAnsi="Cambria"/>
        </w:rPr>
        <w:t>compromised</w:t>
      </w:r>
      <w:r w:rsidR="00DA480A" w:rsidRPr="00D0739E">
        <w:rPr>
          <w:rFonts w:ascii="Cambria" w:hAnsi="Cambria"/>
        </w:rPr>
        <w:t xml:space="preserve"> </w:t>
      </w:r>
      <w:r w:rsidRPr="00D0739E">
        <w:rPr>
          <w:rFonts w:ascii="Cambria" w:hAnsi="Cambria"/>
        </w:rPr>
        <w:t xml:space="preserve">patient still has a Ct value of 25. </w:t>
      </w:r>
      <w:r>
        <w:rPr>
          <w:rFonts w:ascii="Cambria" w:hAnsi="Cambria"/>
        </w:rPr>
        <w:t xml:space="preserve">A rhinovirus-positive 50-year-old female (Figure 2B) </w:t>
      </w:r>
      <w:r w:rsidR="00920C02">
        <w:rPr>
          <w:rFonts w:ascii="Cambria" w:hAnsi="Cambria"/>
        </w:rPr>
        <w:t>displayed</w:t>
      </w:r>
      <w:r>
        <w:rPr>
          <w:rFonts w:ascii="Cambria" w:hAnsi="Cambria"/>
        </w:rPr>
        <w:t xml:space="preserve"> a slow increase of Ct values from 21.3 two days after symptom onset to 36.4 one month later. </w:t>
      </w:r>
      <w:r w:rsidRPr="00CB2FEA">
        <w:rPr>
          <w:rFonts w:ascii="Cambria" w:hAnsi="Cambria"/>
        </w:rPr>
        <w:t xml:space="preserve">This </w:t>
      </w:r>
      <w:r w:rsidR="00E4298B">
        <w:rPr>
          <w:rFonts w:ascii="Cambria" w:hAnsi="Cambria"/>
        </w:rPr>
        <w:t>immunocompromised</w:t>
      </w:r>
      <w:r w:rsidRPr="00CB2FEA">
        <w:rPr>
          <w:rFonts w:ascii="Cambria" w:hAnsi="Cambria"/>
        </w:rPr>
        <w:t xml:space="preserve"> patient also showed positive PCR results for adenovirus (Ct value 38.9) and hMPV (Ct value 42.9).</w:t>
      </w:r>
      <w:r>
        <w:rPr>
          <w:rFonts w:ascii="Cambria" w:hAnsi="Cambria"/>
        </w:rPr>
        <w:t xml:space="preserve"> A 34-year-old male (Figure 2C) presenting on the day of symptom onset (day 0) </w:t>
      </w:r>
      <w:r w:rsidR="00920C02">
        <w:rPr>
          <w:rFonts w:ascii="Cambria" w:hAnsi="Cambria"/>
        </w:rPr>
        <w:t>tested</w:t>
      </w:r>
      <w:r>
        <w:rPr>
          <w:rFonts w:ascii="Cambria" w:hAnsi="Cambria"/>
        </w:rPr>
        <w:t xml:space="preserve"> positive for rhinovirus with a Ct value of 26.3 and </w:t>
      </w:r>
      <w:r w:rsidR="00920C02">
        <w:rPr>
          <w:rFonts w:ascii="Cambria" w:hAnsi="Cambria"/>
        </w:rPr>
        <w:t>showed</w:t>
      </w:r>
      <w:r>
        <w:rPr>
          <w:rFonts w:ascii="Cambria" w:hAnsi="Cambria"/>
        </w:rPr>
        <w:t xml:space="preserve"> a decrease to 19.6 two days later, followed by a slow increase up to 29.4 on day 11 after symptom onset. </w:t>
      </w:r>
      <w:r w:rsidRPr="00E11A1C">
        <w:rPr>
          <w:rFonts w:ascii="Cambria" w:hAnsi="Cambria"/>
        </w:rPr>
        <w:t>This patient complained of new symptom</w:t>
      </w:r>
      <w:r>
        <w:rPr>
          <w:rFonts w:ascii="Cambria" w:hAnsi="Cambria"/>
        </w:rPr>
        <w:t xml:space="preserve">s </w:t>
      </w:r>
      <w:r w:rsidRPr="00E11A1C">
        <w:rPr>
          <w:rFonts w:ascii="Cambria" w:hAnsi="Cambria"/>
        </w:rPr>
        <w:t>two weeks after the initial rhinovirus diagnosis</w:t>
      </w:r>
      <w:r>
        <w:rPr>
          <w:rFonts w:ascii="Cambria" w:hAnsi="Cambria"/>
        </w:rPr>
        <w:t xml:space="preserve"> and the again lower Ct Value of 17.5 suggests a reinfection with rhinovirus. Additionally, </w:t>
      </w:r>
      <w:r w:rsidRPr="00E11A1C">
        <w:rPr>
          <w:rFonts w:ascii="Cambria" w:hAnsi="Cambria"/>
        </w:rPr>
        <w:t xml:space="preserve">hMPV (Ct value 41) and SARS-CoV-2 (Ct value 34) were also PCR positive. The latter </w:t>
      </w:r>
      <w:r>
        <w:rPr>
          <w:rFonts w:ascii="Cambria" w:hAnsi="Cambria"/>
        </w:rPr>
        <w:t>was</w:t>
      </w:r>
      <w:r w:rsidRPr="00E11A1C">
        <w:rPr>
          <w:rFonts w:ascii="Cambria" w:hAnsi="Cambria"/>
        </w:rPr>
        <w:t xml:space="preserve"> interpreted as prolonged viral shedding in the context of the patient's immunosuppression since </w:t>
      </w:r>
      <w:r>
        <w:rPr>
          <w:rFonts w:ascii="Cambria" w:hAnsi="Cambria"/>
        </w:rPr>
        <w:t xml:space="preserve">he </w:t>
      </w:r>
      <w:r w:rsidRPr="00E11A1C">
        <w:rPr>
          <w:rFonts w:ascii="Cambria" w:hAnsi="Cambria"/>
        </w:rPr>
        <w:t xml:space="preserve">had been hospitalized with COVID-19 more than </w:t>
      </w:r>
      <w:r>
        <w:rPr>
          <w:rFonts w:ascii="Cambria" w:hAnsi="Cambria"/>
        </w:rPr>
        <w:t>one</w:t>
      </w:r>
      <w:r w:rsidRPr="00E11A1C">
        <w:rPr>
          <w:rFonts w:ascii="Cambria" w:hAnsi="Cambria"/>
        </w:rPr>
        <w:t xml:space="preserve"> month </w:t>
      </w:r>
      <w:r>
        <w:rPr>
          <w:rFonts w:ascii="Cambria" w:hAnsi="Cambria"/>
        </w:rPr>
        <w:t>prior</w:t>
      </w:r>
      <w:r w:rsidRPr="00E11A1C">
        <w:rPr>
          <w:rFonts w:ascii="Cambria" w:hAnsi="Cambria"/>
        </w:rPr>
        <w:t xml:space="preserve">. Likewise, pneumonia with Hemophilus influenza was diagnosed on the day </w:t>
      </w:r>
      <w:r>
        <w:rPr>
          <w:rFonts w:ascii="Cambria" w:hAnsi="Cambria"/>
        </w:rPr>
        <w:t>of symptom onset</w:t>
      </w:r>
      <w:r w:rsidRPr="00E11A1C">
        <w:rPr>
          <w:rFonts w:ascii="Cambria" w:hAnsi="Cambria"/>
        </w:rPr>
        <w:t>, so that the symptoms cannot be assigned to one pathogen.</w:t>
      </w:r>
      <w:r>
        <w:rPr>
          <w:rFonts w:ascii="Cambria" w:hAnsi="Cambria"/>
        </w:rPr>
        <w:t xml:space="preserve"> </w:t>
      </w:r>
    </w:p>
    <w:p w14:paraId="6E05D22F" w14:textId="77777777" w:rsidR="00CB1F58" w:rsidRDefault="00CB1F58" w:rsidP="00C652E8">
      <w:pPr>
        <w:spacing w:line="480" w:lineRule="auto"/>
        <w:rPr>
          <w:rFonts w:ascii="Cambria" w:hAnsi="Cambria"/>
          <w:b/>
          <w:bCs/>
        </w:rPr>
      </w:pPr>
      <w:bookmarkStart w:id="1" w:name="_Hlk136955926"/>
    </w:p>
    <w:p w14:paraId="25952174" w14:textId="77777777" w:rsidR="004F633F" w:rsidRPr="00C81412" w:rsidRDefault="004F633F" w:rsidP="004F633F">
      <w:pPr>
        <w:spacing w:line="480" w:lineRule="auto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lastRenderedPageBreak/>
        <w:t>e</w:t>
      </w:r>
      <w:r w:rsidRPr="00C81412">
        <w:rPr>
          <w:rFonts w:ascii="Cambria" w:hAnsi="Cambria"/>
          <w:b/>
          <w:bCs/>
        </w:rPr>
        <w:t>Table</w:t>
      </w:r>
      <w:proofErr w:type="spellEnd"/>
      <w:r w:rsidRPr="00C81412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1</w:t>
      </w:r>
      <w:r w:rsidRPr="00C81412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 xml:space="preserve"> </w:t>
      </w:r>
      <w:r w:rsidRPr="00C81412">
        <w:rPr>
          <w:rFonts w:ascii="Cambria" w:hAnsi="Cambria"/>
        </w:rPr>
        <w:t xml:space="preserve">Median number of days </w:t>
      </w:r>
      <w:r>
        <w:rPr>
          <w:rFonts w:ascii="Cambria" w:hAnsi="Cambria"/>
        </w:rPr>
        <w:t>since symptom onset among patients with</w:t>
      </w:r>
      <w:r w:rsidRPr="00C81412">
        <w:rPr>
          <w:rFonts w:ascii="Cambria" w:hAnsi="Cambria"/>
        </w:rPr>
        <w:t xml:space="preserve"> Ct value</w:t>
      </w:r>
      <w:r>
        <w:rPr>
          <w:rFonts w:ascii="Cambria" w:hAnsi="Cambria"/>
        </w:rPr>
        <w:t>s</w:t>
      </w:r>
      <w:r w:rsidRPr="00C81412">
        <w:rPr>
          <w:rFonts w:ascii="Cambria" w:hAnsi="Cambria"/>
        </w:rPr>
        <w:t xml:space="preserve"> of ≥</w:t>
      </w:r>
      <w:r w:rsidRPr="004744D6">
        <w:rPr>
          <w:rFonts w:ascii="Cambria" w:hAnsi="Cambria"/>
        </w:rPr>
        <w:t>30</w:t>
      </w:r>
      <w:r>
        <w:rPr>
          <w:rFonts w:ascii="Cambria" w:hAnsi="Cambria"/>
        </w:rPr>
        <w:t xml:space="preserve"> and presenting with symptom onset 2-21 days before the positive test grouped by comorbidities. (*Immunodeficiency, diabetes, heart, lung, kidney, or liver disease).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885"/>
        <w:gridCol w:w="3600"/>
        <w:gridCol w:w="1620"/>
        <w:gridCol w:w="1530"/>
      </w:tblGrid>
      <w:tr w:rsidR="004F633F" w:rsidRPr="00825B70" w14:paraId="4FFEAE3C" w14:textId="77777777" w:rsidTr="00DE7FB8">
        <w:trPr>
          <w:trHeight w:val="288"/>
        </w:trPr>
        <w:tc>
          <w:tcPr>
            <w:tcW w:w="1885" w:type="dxa"/>
            <w:vAlign w:val="center"/>
            <w:hideMark/>
          </w:tcPr>
          <w:p w14:paraId="6531152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00" w:type="dxa"/>
            <w:vAlign w:val="center"/>
            <w:hideMark/>
          </w:tcPr>
          <w:p w14:paraId="2705C4A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  <w:hideMark/>
          </w:tcPr>
          <w:p w14:paraId="2356E13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30" w:type="dxa"/>
            <w:vAlign w:val="center"/>
            <w:hideMark/>
          </w:tcPr>
          <w:p w14:paraId="570AAF94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No</w:t>
            </w:r>
          </w:p>
        </w:tc>
      </w:tr>
      <w:tr w:rsidR="004F633F" w:rsidRPr="00825B70" w14:paraId="2A5E0A0E" w14:textId="77777777" w:rsidTr="00DE7FB8">
        <w:trPr>
          <w:trHeight w:val="288"/>
        </w:trPr>
        <w:tc>
          <w:tcPr>
            <w:tcW w:w="1885" w:type="dxa"/>
            <w:vMerge w:val="restart"/>
            <w:vAlign w:val="center"/>
            <w:hideMark/>
          </w:tcPr>
          <w:p w14:paraId="786F1C18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Influenza</w:t>
            </w:r>
          </w:p>
          <w:p w14:paraId="5995BEE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(</w:t>
            </w:r>
            <w:proofErr w:type="gramStart"/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total</w:t>
            </w:r>
            <w:proofErr w:type="gramEnd"/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 xml:space="preserve"> n=104)</w:t>
            </w:r>
          </w:p>
        </w:tc>
        <w:tc>
          <w:tcPr>
            <w:tcW w:w="3600" w:type="dxa"/>
            <w:vAlign w:val="center"/>
            <w:hideMark/>
          </w:tcPr>
          <w:p w14:paraId="60CA6DD3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Immunodeficiency (n=12)</w:t>
            </w:r>
          </w:p>
        </w:tc>
        <w:tc>
          <w:tcPr>
            <w:tcW w:w="1620" w:type="dxa"/>
            <w:vAlign w:val="center"/>
            <w:hideMark/>
          </w:tcPr>
          <w:p w14:paraId="50E42ECA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7.5 days</w:t>
            </w:r>
          </w:p>
        </w:tc>
        <w:tc>
          <w:tcPr>
            <w:tcW w:w="1530" w:type="dxa"/>
            <w:vAlign w:val="center"/>
            <w:hideMark/>
          </w:tcPr>
          <w:p w14:paraId="5CE3CDE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</w:tr>
      <w:tr w:rsidR="004F633F" w:rsidRPr="00825B70" w14:paraId="4C896F75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74B4825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BF939D8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Heart disease (n=24)</w:t>
            </w:r>
          </w:p>
        </w:tc>
        <w:tc>
          <w:tcPr>
            <w:tcW w:w="1620" w:type="dxa"/>
            <w:vAlign w:val="center"/>
          </w:tcPr>
          <w:p w14:paraId="332CDF3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8 days</w:t>
            </w:r>
          </w:p>
        </w:tc>
        <w:tc>
          <w:tcPr>
            <w:tcW w:w="1530" w:type="dxa"/>
            <w:vAlign w:val="center"/>
          </w:tcPr>
          <w:p w14:paraId="5B7C59AF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 days</w:t>
            </w:r>
          </w:p>
        </w:tc>
      </w:tr>
      <w:tr w:rsidR="004F633F" w:rsidRPr="00825B70" w14:paraId="18D8086C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4F85B006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6BEABD2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Lung disease (n=27)</w:t>
            </w:r>
          </w:p>
        </w:tc>
        <w:tc>
          <w:tcPr>
            <w:tcW w:w="1620" w:type="dxa"/>
            <w:vAlign w:val="center"/>
          </w:tcPr>
          <w:p w14:paraId="6BD288BA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  <w:tc>
          <w:tcPr>
            <w:tcW w:w="1530" w:type="dxa"/>
            <w:vAlign w:val="center"/>
          </w:tcPr>
          <w:p w14:paraId="06D447E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 days</w:t>
            </w:r>
          </w:p>
        </w:tc>
      </w:tr>
      <w:tr w:rsidR="004F633F" w:rsidRPr="00825B70" w14:paraId="214CADCD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32C7C8F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5765CC4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Kidney disease (n=12)</w:t>
            </w:r>
          </w:p>
        </w:tc>
        <w:tc>
          <w:tcPr>
            <w:tcW w:w="1620" w:type="dxa"/>
            <w:vAlign w:val="center"/>
          </w:tcPr>
          <w:p w14:paraId="18D1904A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  <w:tc>
          <w:tcPr>
            <w:tcW w:w="1530" w:type="dxa"/>
            <w:vAlign w:val="center"/>
          </w:tcPr>
          <w:p w14:paraId="3A992C7E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</w:tr>
      <w:tr w:rsidR="004F633F" w:rsidRPr="00825B70" w14:paraId="259B009C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15B444A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FBA7078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Liver disease (n=6)</w:t>
            </w:r>
          </w:p>
        </w:tc>
        <w:tc>
          <w:tcPr>
            <w:tcW w:w="1620" w:type="dxa"/>
            <w:vAlign w:val="center"/>
          </w:tcPr>
          <w:p w14:paraId="6E796F1A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  <w:tc>
          <w:tcPr>
            <w:tcW w:w="1530" w:type="dxa"/>
            <w:vAlign w:val="center"/>
          </w:tcPr>
          <w:p w14:paraId="43A82B8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</w:tr>
      <w:tr w:rsidR="004F633F" w:rsidRPr="00825B70" w14:paraId="08561581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46733258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C5F335C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Diabetes (n=20)</w:t>
            </w:r>
          </w:p>
        </w:tc>
        <w:tc>
          <w:tcPr>
            <w:tcW w:w="1620" w:type="dxa"/>
            <w:vAlign w:val="center"/>
          </w:tcPr>
          <w:p w14:paraId="7B421EA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  <w:tc>
          <w:tcPr>
            <w:tcW w:w="1530" w:type="dxa"/>
            <w:vAlign w:val="center"/>
          </w:tcPr>
          <w:p w14:paraId="329E920F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 xml:space="preserve">7 days </w:t>
            </w:r>
          </w:p>
        </w:tc>
      </w:tr>
      <w:tr w:rsidR="004F633F" w:rsidRPr="00825B70" w14:paraId="13D0E1CE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6983B75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D1DC81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No comorbidities* (n=47)</w:t>
            </w:r>
          </w:p>
        </w:tc>
        <w:tc>
          <w:tcPr>
            <w:tcW w:w="1620" w:type="dxa"/>
            <w:vAlign w:val="center"/>
          </w:tcPr>
          <w:p w14:paraId="7A9216BC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517F183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</w:tr>
      <w:tr w:rsidR="004F633F" w:rsidRPr="00825B70" w14:paraId="77A018D2" w14:textId="77777777" w:rsidTr="00DE7FB8">
        <w:trPr>
          <w:trHeight w:val="288"/>
        </w:trPr>
        <w:tc>
          <w:tcPr>
            <w:tcW w:w="1885" w:type="dxa"/>
            <w:vMerge w:val="restart"/>
            <w:vAlign w:val="center"/>
          </w:tcPr>
          <w:p w14:paraId="4F735DEC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RSV</w:t>
            </w:r>
          </w:p>
          <w:p w14:paraId="17E7088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(</w:t>
            </w:r>
            <w:proofErr w:type="gramStart"/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total</w:t>
            </w:r>
            <w:proofErr w:type="gramEnd"/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 xml:space="preserve"> n=131)</w:t>
            </w:r>
          </w:p>
        </w:tc>
        <w:tc>
          <w:tcPr>
            <w:tcW w:w="3600" w:type="dxa"/>
            <w:vAlign w:val="center"/>
          </w:tcPr>
          <w:p w14:paraId="153E8B5E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Immunodeficiency (n=29)</w:t>
            </w:r>
          </w:p>
        </w:tc>
        <w:tc>
          <w:tcPr>
            <w:tcW w:w="1620" w:type="dxa"/>
            <w:vAlign w:val="center"/>
          </w:tcPr>
          <w:p w14:paraId="1B755FB4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  <w:tc>
          <w:tcPr>
            <w:tcW w:w="1530" w:type="dxa"/>
            <w:vAlign w:val="center"/>
          </w:tcPr>
          <w:p w14:paraId="00E54BF8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6.5 days</w:t>
            </w:r>
          </w:p>
        </w:tc>
      </w:tr>
      <w:tr w:rsidR="004F633F" w:rsidRPr="00825B70" w14:paraId="06BCCE14" w14:textId="77777777" w:rsidTr="00DE7FB8">
        <w:trPr>
          <w:trHeight w:val="288"/>
        </w:trPr>
        <w:tc>
          <w:tcPr>
            <w:tcW w:w="1885" w:type="dxa"/>
            <w:vMerge/>
            <w:vAlign w:val="center"/>
            <w:hideMark/>
          </w:tcPr>
          <w:p w14:paraId="53E5252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  <w:hideMark/>
          </w:tcPr>
          <w:p w14:paraId="18D02284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Heart disease (n=29)</w:t>
            </w:r>
          </w:p>
        </w:tc>
        <w:tc>
          <w:tcPr>
            <w:tcW w:w="1620" w:type="dxa"/>
            <w:vAlign w:val="center"/>
            <w:hideMark/>
          </w:tcPr>
          <w:p w14:paraId="03C8DC6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  <w:tc>
          <w:tcPr>
            <w:tcW w:w="1530" w:type="dxa"/>
            <w:vAlign w:val="center"/>
            <w:hideMark/>
          </w:tcPr>
          <w:p w14:paraId="4BBC029B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5.5 days</w:t>
            </w:r>
          </w:p>
        </w:tc>
      </w:tr>
      <w:tr w:rsidR="004F633F" w:rsidRPr="00825B70" w14:paraId="3CF87347" w14:textId="77777777" w:rsidTr="00DE7FB8">
        <w:trPr>
          <w:trHeight w:val="288"/>
        </w:trPr>
        <w:tc>
          <w:tcPr>
            <w:tcW w:w="1885" w:type="dxa"/>
            <w:vMerge/>
            <w:vAlign w:val="center"/>
            <w:hideMark/>
          </w:tcPr>
          <w:p w14:paraId="143A799C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2580CD2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Lung disease (n=55)</w:t>
            </w:r>
          </w:p>
        </w:tc>
        <w:tc>
          <w:tcPr>
            <w:tcW w:w="1620" w:type="dxa"/>
            <w:vAlign w:val="center"/>
          </w:tcPr>
          <w:p w14:paraId="26F0A224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78890E5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</w:tr>
      <w:tr w:rsidR="004F633F" w:rsidRPr="00825B70" w14:paraId="47BF68C9" w14:textId="77777777" w:rsidTr="00DE7FB8">
        <w:trPr>
          <w:trHeight w:val="288"/>
        </w:trPr>
        <w:tc>
          <w:tcPr>
            <w:tcW w:w="1885" w:type="dxa"/>
            <w:vMerge/>
            <w:vAlign w:val="center"/>
            <w:hideMark/>
          </w:tcPr>
          <w:p w14:paraId="226B49E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  <w:hideMark/>
          </w:tcPr>
          <w:p w14:paraId="08FE037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Kidney disease (n=12)</w:t>
            </w:r>
          </w:p>
        </w:tc>
        <w:tc>
          <w:tcPr>
            <w:tcW w:w="1620" w:type="dxa"/>
            <w:vAlign w:val="center"/>
            <w:hideMark/>
          </w:tcPr>
          <w:p w14:paraId="13D7FE6B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4.5 days</w:t>
            </w:r>
          </w:p>
        </w:tc>
        <w:tc>
          <w:tcPr>
            <w:tcW w:w="1530" w:type="dxa"/>
            <w:vAlign w:val="center"/>
            <w:hideMark/>
          </w:tcPr>
          <w:p w14:paraId="604810F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</w:tr>
      <w:tr w:rsidR="004F633F" w:rsidRPr="00825B70" w14:paraId="79CEF10E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1523C26F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7E6E6E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Liver disease (n=14)</w:t>
            </w:r>
          </w:p>
        </w:tc>
        <w:tc>
          <w:tcPr>
            <w:tcW w:w="1620" w:type="dxa"/>
            <w:vAlign w:val="center"/>
          </w:tcPr>
          <w:p w14:paraId="1034155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 days</w:t>
            </w:r>
          </w:p>
        </w:tc>
        <w:tc>
          <w:tcPr>
            <w:tcW w:w="1530" w:type="dxa"/>
            <w:vAlign w:val="center"/>
          </w:tcPr>
          <w:p w14:paraId="39227428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</w:tr>
      <w:tr w:rsidR="004F633F" w:rsidRPr="00825B70" w14:paraId="19DE365D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13028DB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403610C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Diabetes (n=16)</w:t>
            </w:r>
          </w:p>
        </w:tc>
        <w:tc>
          <w:tcPr>
            <w:tcW w:w="1620" w:type="dxa"/>
            <w:vAlign w:val="center"/>
          </w:tcPr>
          <w:p w14:paraId="70AEF2B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  <w:tc>
          <w:tcPr>
            <w:tcW w:w="1530" w:type="dxa"/>
            <w:vAlign w:val="center"/>
          </w:tcPr>
          <w:p w14:paraId="02A1F26F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 days</w:t>
            </w:r>
          </w:p>
        </w:tc>
      </w:tr>
      <w:tr w:rsidR="004F633F" w:rsidRPr="00825B70" w14:paraId="2009A59C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7CD83D70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EB9F69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No comorbidities* (n=43)</w:t>
            </w:r>
          </w:p>
        </w:tc>
        <w:tc>
          <w:tcPr>
            <w:tcW w:w="1620" w:type="dxa"/>
            <w:vAlign w:val="center"/>
          </w:tcPr>
          <w:p w14:paraId="0F36A18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  <w:tc>
          <w:tcPr>
            <w:tcW w:w="1530" w:type="dxa"/>
            <w:vAlign w:val="center"/>
          </w:tcPr>
          <w:p w14:paraId="3DDE9BBE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 days</w:t>
            </w:r>
          </w:p>
        </w:tc>
      </w:tr>
      <w:tr w:rsidR="004F633F" w:rsidRPr="00825B70" w14:paraId="5E25EE8D" w14:textId="77777777" w:rsidTr="00DE7FB8">
        <w:trPr>
          <w:trHeight w:val="288"/>
        </w:trPr>
        <w:tc>
          <w:tcPr>
            <w:tcW w:w="1885" w:type="dxa"/>
            <w:vMerge w:val="restart"/>
            <w:vAlign w:val="center"/>
          </w:tcPr>
          <w:p w14:paraId="2D23267E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Parainfluenza</w:t>
            </w:r>
          </w:p>
          <w:p w14:paraId="38887AE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(</w:t>
            </w:r>
            <w:proofErr w:type="gramStart"/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total</w:t>
            </w:r>
            <w:proofErr w:type="gramEnd"/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 xml:space="preserve"> n=71)</w:t>
            </w:r>
          </w:p>
        </w:tc>
        <w:tc>
          <w:tcPr>
            <w:tcW w:w="3600" w:type="dxa"/>
            <w:vAlign w:val="center"/>
          </w:tcPr>
          <w:p w14:paraId="66E0B70E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Immunodeficiency (n=38)</w:t>
            </w:r>
          </w:p>
        </w:tc>
        <w:tc>
          <w:tcPr>
            <w:tcW w:w="1620" w:type="dxa"/>
            <w:vAlign w:val="center"/>
          </w:tcPr>
          <w:p w14:paraId="55DB6F93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5E542BEC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 days</w:t>
            </w:r>
          </w:p>
        </w:tc>
      </w:tr>
      <w:tr w:rsidR="004F633F" w:rsidRPr="00825B70" w14:paraId="68FE7AEA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703D6DB0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FA5EA4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Heart disease (n=32)</w:t>
            </w:r>
          </w:p>
        </w:tc>
        <w:tc>
          <w:tcPr>
            <w:tcW w:w="1620" w:type="dxa"/>
            <w:vAlign w:val="center"/>
          </w:tcPr>
          <w:p w14:paraId="1B1A856F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637DB7BB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 days</w:t>
            </w:r>
          </w:p>
        </w:tc>
      </w:tr>
      <w:tr w:rsidR="004F633F" w:rsidRPr="00825B70" w14:paraId="2774650B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05BE5820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247736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Lung disease (n=32)</w:t>
            </w:r>
          </w:p>
        </w:tc>
        <w:tc>
          <w:tcPr>
            <w:tcW w:w="1620" w:type="dxa"/>
            <w:vAlign w:val="center"/>
          </w:tcPr>
          <w:p w14:paraId="3A241874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15CAFDB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 days</w:t>
            </w:r>
          </w:p>
        </w:tc>
      </w:tr>
      <w:tr w:rsidR="004F633F" w:rsidRPr="00825B70" w14:paraId="78D15FD5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375531BC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A61D1DC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Kidney disease (n=16)</w:t>
            </w:r>
          </w:p>
        </w:tc>
        <w:tc>
          <w:tcPr>
            <w:tcW w:w="1620" w:type="dxa"/>
            <w:vAlign w:val="center"/>
          </w:tcPr>
          <w:p w14:paraId="75BCD99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6.5 days</w:t>
            </w:r>
          </w:p>
        </w:tc>
        <w:tc>
          <w:tcPr>
            <w:tcW w:w="1530" w:type="dxa"/>
            <w:vAlign w:val="center"/>
          </w:tcPr>
          <w:p w14:paraId="68F42236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</w:tr>
      <w:tr w:rsidR="004F633F" w:rsidRPr="00825B70" w14:paraId="5C543305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1356760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6F9AF2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Liver disease (n=6)</w:t>
            </w:r>
          </w:p>
        </w:tc>
        <w:tc>
          <w:tcPr>
            <w:tcW w:w="1620" w:type="dxa"/>
            <w:vAlign w:val="center"/>
          </w:tcPr>
          <w:p w14:paraId="63C113C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0120A48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 days</w:t>
            </w:r>
          </w:p>
        </w:tc>
      </w:tr>
      <w:tr w:rsidR="004F633F" w:rsidRPr="00825B70" w14:paraId="4BA1196C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2536233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8F165C6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Diabetes (n=15)</w:t>
            </w:r>
          </w:p>
        </w:tc>
        <w:tc>
          <w:tcPr>
            <w:tcW w:w="1620" w:type="dxa"/>
            <w:vAlign w:val="center"/>
          </w:tcPr>
          <w:p w14:paraId="4FDA1546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  <w:tc>
          <w:tcPr>
            <w:tcW w:w="1530" w:type="dxa"/>
            <w:vAlign w:val="center"/>
          </w:tcPr>
          <w:p w14:paraId="7C6F0F0B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</w:tr>
      <w:tr w:rsidR="004F633F" w:rsidRPr="00825B70" w14:paraId="06AD0876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7E592AF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DD1FA5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 xml:space="preserve">No comorbidities* (n=7) </w:t>
            </w:r>
          </w:p>
        </w:tc>
        <w:tc>
          <w:tcPr>
            <w:tcW w:w="1620" w:type="dxa"/>
            <w:vAlign w:val="center"/>
          </w:tcPr>
          <w:p w14:paraId="3B7D5623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  <w:tc>
          <w:tcPr>
            <w:tcW w:w="1530" w:type="dxa"/>
            <w:vAlign w:val="center"/>
          </w:tcPr>
          <w:p w14:paraId="525E4C96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</w:tr>
      <w:tr w:rsidR="004F633F" w:rsidRPr="00825B70" w14:paraId="1ACB1611" w14:textId="77777777" w:rsidTr="00DE7FB8">
        <w:trPr>
          <w:trHeight w:val="288"/>
        </w:trPr>
        <w:tc>
          <w:tcPr>
            <w:tcW w:w="1885" w:type="dxa"/>
            <w:vMerge w:val="restart"/>
            <w:vAlign w:val="center"/>
          </w:tcPr>
          <w:p w14:paraId="372A54E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Rhinovirus</w:t>
            </w:r>
          </w:p>
          <w:p w14:paraId="6E08316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(</w:t>
            </w:r>
            <w:proofErr w:type="gramStart"/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total</w:t>
            </w:r>
            <w:proofErr w:type="gramEnd"/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 xml:space="preserve"> n=144)</w:t>
            </w:r>
          </w:p>
        </w:tc>
        <w:tc>
          <w:tcPr>
            <w:tcW w:w="3600" w:type="dxa"/>
            <w:vAlign w:val="center"/>
          </w:tcPr>
          <w:p w14:paraId="4B5C368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Immunodeficiency (n=64)</w:t>
            </w:r>
          </w:p>
        </w:tc>
        <w:tc>
          <w:tcPr>
            <w:tcW w:w="1620" w:type="dxa"/>
            <w:vAlign w:val="center"/>
          </w:tcPr>
          <w:p w14:paraId="2BA59C0F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0B60C75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</w:tr>
      <w:tr w:rsidR="004F633F" w:rsidRPr="00825B70" w14:paraId="497B1A88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7C1A410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63D5B86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Heart disease (n=46)</w:t>
            </w:r>
          </w:p>
        </w:tc>
        <w:tc>
          <w:tcPr>
            <w:tcW w:w="1620" w:type="dxa"/>
            <w:vAlign w:val="center"/>
          </w:tcPr>
          <w:p w14:paraId="4AECDD26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7BECE0DB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</w:tr>
      <w:tr w:rsidR="004F633F" w:rsidRPr="00825B70" w14:paraId="0D4A0CE8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12B5BFAE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1873BBE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Lung disease (n=69)</w:t>
            </w:r>
          </w:p>
        </w:tc>
        <w:tc>
          <w:tcPr>
            <w:tcW w:w="1620" w:type="dxa"/>
            <w:vAlign w:val="center"/>
          </w:tcPr>
          <w:p w14:paraId="1C0BD772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0D54E7B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</w:tr>
      <w:tr w:rsidR="004F633F" w:rsidRPr="00825B70" w14:paraId="7B233B47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6CDDE750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7FFC966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Kidney disease (n=27)</w:t>
            </w:r>
          </w:p>
        </w:tc>
        <w:tc>
          <w:tcPr>
            <w:tcW w:w="1620" w:type="dxa"/>
            <w:vAlign w:val="center"/>
          </w:tcPr>
          <w:p w14:paraId="4ADDFFBB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  <w:tc>
          <w:tcPr>
            <w:tcW w:w="1530" w:type="dxa"/>
            <w:vAlign w:val="center"/>
          </w:tcPr>
          <w:p w14:paraId="41A8932F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</w:tr>
      <w:tr w:rsidR="004F633F" w:rsidRPr="00825B70" w14:paraId="03270F7D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11A5FE6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81D15E0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Liver disease (n=12)</w:t>
            </w:r>
          </w:p>
        </w:tc>
        <w:tc>
          <w:tcPr>
            <w:tcW w:w="1620" w:type="dxa"/>
            <w:vAlign w:val="center"/>
          </w:tcPr>
          <w:p w14:paraId="7EDCFA27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7E75AAD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</w:tr>
      <w:tr w:rsidR="004F633F" w:rsidRPr="00825B70" w14:paraId="394501E8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0C89CFC2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DF3F270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Diabetes (n=34)</w:t>
            </w:r>
          </w:p>
        </w:tc>
        <w:tc>
          <w:tcPr>
            <w:tcW w:w="1620" w:type="dxa"/>
            <w:vAlign w:val="center"/>
          </w:tcPr>
          <w:p w14:paraId="32A87C8F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04BF484A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</w:tr>
      <w:tr w:rsidR="004F633F" w:rsidRPr="00825B70" w14:paraId="07F0F72A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2766FA43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49B9762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No comorbidities* (n=15)</w:t>
            </w:r>
          </w:p>
        </w:tc>
        <w:tc>
          <w:tcPr>
            <w:tcW w:w="1620" w:type="dxa"/>
            <w:vAlign w:val="center"/>
          </w:tcPr>
          <w:p w14:paraId="500B698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  <w:tc>
          <w:tcPr>
            <w:tcW w:w="1530" w:type="dxa"/>
            <w:vAlign w:val="center"/>
          </w:tcPr>
          <w:p w14:paraId="60DC8BE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</w:tr>
      <w:tr w:rsidR="004F633F" w:rsidRPr="00825B70" w14:paraId="74EA51BD" w14:textId="77777777" w:rsidTr="00DE7FB8">
        <w:trPr>
          <w:trHeight w:val="288"/>
        </w:trPr>
        <w:tc>
          <w:tcPr>
            <w:tcW w:w="1885" w:type="dxa"/>
            <w:vMerge w:val="restart"/>
            <w:vAlign w:val="center"/>
          </w:tcPr>
          <w:p w14:paraId="4246C798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HMPV</w:t>
            </w:r>
          </w:p>
          <w:p w14:paraId="3063FB0B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(</w:t>
            </w:r>
            <w:proofErr w:type="gramStart"/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total</w:t>
            </w:r>
            <w:proofErr w:type="gramEnd"/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 xml:space="preserve"> n=81)</w:t>
            </w:r>
          </w:p>
        </w:tc>
        <w:tc>
          <w:tcPr>
            <w:tcW w:w="3600" w:type="dxa"/>
            <w:vAlign w:val="center"/>
          </w:tcPr>
          <w:p w14:paraId="06A2B342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Immunodeficiency (n=44)</w:t>
            </w:r>
          </w:p>
        </w:tc>
        <w:tc>
          <w:tcPr>
            <w:tcW w:w="1620" w:type="dxa"/>
            <w:vAlign w:val="center"/>
          </w:tcPr>
          <w:p w14:paraId="2AC3B1C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  <w:tc>
          <w:tcPr>
            <w:tcW w:w="1530" w:type="dxa"/>
            <w:vAlign w:val="center"/>
          </w:tcPr>
          <w:p w14:paraId="30883873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</w:tr>
      <w:tr w:rsidR="004F633F" w:rsidRPr="00825B70" w14:paraId="3446DF7D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5C4EC82E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56264C0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Heart disease (n=30)</w:t>
            </w:r>
          </w:p>
        </w:tc>
        <w:tc>
          <w:tcPr>
            <w:tcW w:w="1620" w:type="dxa"/>
            <w:vAlign w:val="center"/>
          </w:tcPr>
          <w:p w14:paraId="3AC00400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  <w:tc>
          <w:tcPr>
            <w:tcW w:w="1530" w:type="dxa"/>
            <w:vAlign w:val="center"/>
          </w:tcPr>
          <w:p w14:paraId="73663D34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</w:tr>
      <w:tr w:rsidR="004F633F" w:rsidRPr="00825B70" w14:paraId="18C3AFF4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1DF891F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4042BC9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Lung disease (n=44)</w:t>
            </w:r>
          </w:p>
        </w:tc>
        <w:tc>
          <w:tcPr>
            <w:tcW w:w="1620" w:type="dxa"/>
            <w:vAlign w:val="center"/>
          </w:tcPr>
          <w:p w14:paraId="0F109850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 days</w:t>
            </w:r>
          </w:p>
        </w:tc>
        <w:tc>
          <w:tcPr>
            <w:tcW w:w="1530" w:type="dxa"/>
            <w:vAlign w:val="center"/>
          </w:tcPr>
          <w:p w14:paraId="0AAFE3D2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7 days</w:t>
            </w:r>
          </w:p>
        </w:tc>
      </w:tr>
      <w:tr w:rsidR="004F633F" w:rsidRPr="00825B70" w14:paraId="218793FE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2641F41E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B3ED985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Kidney disease (n=20)</w:t>
            </w:r>
          </w:p>
        </w:tc>
        <w:tc>
          <w:tcPr>
            <w:tcW w:w="1620" w:type="dxa"/>
            <w:vAlign w:val="center"/>
          </w:tcPr>
          <w:p w14:paraId="452BAD1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4.5 days</w:t>
            </w:r>
          </w:p>
        </w:tc>
        <w:tc>
          <w:tcPr>
            <w:tcW w:w="1530" w:type="dxa"/>
            <w:vAlign w:val="center"/>
          </w:tcPr>
          <w:p w14:paraId="379D1DA8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</w:tr>
      <w:tr w:rsidR="004F633F" w:rsidRPr="00825B70" w14:paraId="6C0E4A4E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69454892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1FDE5F4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Liver disease (n=9)</w:t>
            </w:r>
          </w:p>
        </w:tc>
        <w:tc>
          <w:tcPr>
            <w:tcW w:w="1620" w:type="dxa"/>
            <w:vAlign w:val="center"/>
          </w:tcPr>
          <w:p w14:paraId="246B7E1C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3 days</w:t>
            </w:r>
          </w:p>
        </w:tc>
        <w:tc>
          <w:tcPr>
            <w:tcW w:w="1530" w:type="dxa"/>
            <w:vAlign w:val="center"/>
          </w:tcPr>
          <w:p w14:paraId="4AD1C20D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</w:tr>
      <w:tr w:rsidR="004F633F" w:rsidRPr="00825B70" w14:paraId="7A848387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7B458D84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652F278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Diabetes (n=16)</w:t>
            </w:r>
          </w:p>
        </w:tc>
        <w:tc>
          <w:tcPr>
            <w:tcW w:w="1620" w:type="dxa"/>
            <w:vAlign w:val="center"/>
          </w:tcPr>
          <w:p w14:paraId="272CC6A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5.5 days</w:t>
            </w:r>
          </w:p>
        </w:tc>
        <w:tc>
          <w:tcPr>
            <w:tcW w:w="1530" w:type="dxa"/>
            <w:vAlign w:val="center"/>
          </w:tcPr>
          <w:p w14:paraId="7BCCCA94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</w:tr>
      <w:tr w:rsidR="004F633F" w:rsidRPr="00825B70" w14:paraId="0DFD22B4" w14:textId="77777777" w:rsidTr="00DE7FB8">
        <w:trPr>
          <w:trHeight w:val="288"/>
        </w:trPr>
        <w:tc>
          <w:tcPr>
            <w:tcW w:w="1885" w:type="dxa"/>
            <w:vMerge/>
            <w:vAlign w:val="center"/>
          </w:tcPr>
          <w:p w14:paraId="48B6C44F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695E4B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No comorbidities* (n=8)</w:t>
            </w:r>
          </w:p>
        </w:tc>
        <w:tc>
          <w:tcPr>
            <w:tcW w:w="1620" w:type="dxa"/>
            <w:vAlign w:val="center"/>
          </w:tcPr>
          <w:p w14:paraId="5F73138B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6 days</w:t>
            </w:r>
          </w:p>
        </w:tc>
        <w:tc>
          <w:tcPr>
            <w:tcW w:w="1530" w:type="dxa"/>
            <w:vAlign w:val="center"/>
          </w:tcPr>
          <w:p w14:paraId="5CC1B301" w14:textId="77777777" w:rsidR="004F633F" w:rsidRPr="00825B70" w:rsidRDefault="004F633F" w:rsidP="00DE7FB8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825B70">
              <w:rPr>
                <w:rFonts w:ascii="Cambria" w:eastAsia="Times New Roman" w:hAnsi="Cambria" w:cs="Times New Roman"/>
                <w:sz w:val="22"/>
                <w:szCs w:val="22"/>
              </w:rPr>
              <w:t>5 days</w:t>
            </w:r>
          </w:p>
        </w:tc>
      </w:tr>
    </w:tbl>
    <w:p w14:paraId="7A3146C8" w14:textId="77777777" w:rsidR="004F633F" w:rsidRDefault="004F633F" w:rsidP="00D822CC">
      <w:pPr>
        <w:spacing w:after="160" w:line="259" w:lineRule="auto"/>
        <w:rPr>
          <w:rFonts w:ascii="Cambria" w:hAnsi="Cambria"/>
          <w:b/>
          <w:bCs/>
        </w:rPr>
      </w:pPr>
    </w:p>
    <w:p w14:paraId="1DB4445B" w14:textId="693A3C89" w:rsidR="00C652E8" w:rsidRDefault="00162A19" w:rsidP="00D822CC">
      <w:pPr>
        <w:spacing w:after="160" w:line="259" w:lineRule="auto"/>
        <w:rPr>
          <w:rFonts w:ascii="Cambria" w:hAnsi="Cambria"/>
        </w:rPr>
      </w:pPr>
      <w:proofErr w:type="spellStart"/>
      <w:r>
        <w:rPr>
          <w:rFonts w:ascii="Cambria" w:hAnsi="Cambria"/>
          <w:b/>
          <w:bCs/>
        </w:rPr>
        <w:lastRenderedPageBreak/>
        <w:t>e</w:t>
      </w:r>
      <w:r w:rsidR="00C652E8" w:rsidRPr="00A52CF6">
        <w:rPr>
          <w:rFonts w:ascii="Cambria" w:hAnsi="Cambria"/>
          <w:b/>
          <w:bCs/>
        </w:rPr>
        <w:t>Figure</w:t>
      </w:r>
      <w:proofErr w:type="spellEnd"/>
      <w:r w:rsidR="00C652E8" w:rsidRPr="00A52CF6">
        <w:rPr>
          <w:rFonts w:ascii="Cambria" w:hAnsi="Cambria"/>
          <w:b/>
          <w:bCs/>
        </w:rPr>
        <w:t xml:space="preserve"> </w:t>
      </w:r>
      <w:r w:rsidR="00B07202">
        <w:rPr>
          <w:rFonts w:ascii="Cambria" w:hAnsi="Cambria"/>
          <w:b/>
          <w:bCs/>
        </w:rPr>
        <w:t>2</w:t>
      </w:r>
      <w:r w:rsidR="00C652E8" w:rsidRPr="00A52CF6">
        <w:rPr>
          <w:rFonts w:ascii="Cambria" w:hAnsi="Cambria"/>
          <w:b/>
          <w:bCs/>
        </w:rPr>
        <w:t>.</w:t>
      </w:r>
      <w:r w:rsidR="00C652E8">
        <w:rPr>
          <w:rFonts w:ascii="Cambria" w:hAnsi="Cambria"/>
        </w:rPr>
        <w:t xml:space="preserve"> </w:t>
      </w:r>
      <w:r w:rsidR="00C652E8" w:rsidRPr="00A52CF6">
        <w:rPr>
          <w:rFonts w:ascii="Cambria" w:hAnsi="Cambria"/>
        </w:rPr>
        <w:t xml:space="preserve">Comparison of </w:t>
      </w:r>
      <w:r w:rsidR="00C652E8">
        <w:rPr>
          <w:rFonts w:ascii="Cambria" w:hAnsi="Cambria"/>
        </w:rPr>
        <w:t xml:space="preserve">instruments </w:t>
      </w:r>
      <w:r w:rsidR="00C652E8" w:rsidRPr="00A52CF6">
        <w:rPr>
          <w:rFonts w:ascii="Cambria" w:hAnsi="Cambria"/>
        </w:rPr>
        <w:t>Cepheid</w:t>
      </w:r>
      <w:r w:rsidR="00C652E8">
        <w:rPr>
          <w:rFonts w:ascii="Cambria" w:hAnsi="Cambria"/>
        </w:rPr>
        <w:t xml:space="preserve"> and </w:t>
      </w:r>
      <w:r w:rsidR="00C652E8" w:rsidRPr="00A52CF6">
        <w:rPr>
          <w:rFonts w:ascii="Cambria" w:hAnsi="Cambria"/>
        </w:rPr>
        <w:t>Panther for RSV</w:t>
      </w:r>
      <w:r w:rsidR="00C652E8">
        <w:rPr>
          <w:rFonts w:ascii="Cambria" w:hAnsi="Cambria"/>
        </w:rPr>
        <w:t xml:space="preserve"> and influenza</w:t>
      </w:r>
    </w:p>
    <w:bookmarkEnd w:id="1"/>
    <w:p w14:paraId="27AF0B36" w14:textId="77777777" w:rsidR="00C652E8" w:rsidRPr="00FB7A88" w:rsidRDefault="00C652E8" w:rsidP="00C652E8">
      <w:pPr>
        <w:spacing w:line="480" w:lineRule="auto"/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014DDA48" wp14:editId="16AC0CA8">
            <wp:extent cx="5963004" cy="4412758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20" cy="444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1D2C" w14:textId="77777777" w:rsidR="00C652E8" w:rsidRDefault="00C652E8" w:rsidP="00A45FA2"/>
    <w:sectPr w:rsidR="00C652E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051E" w14:textId="77777777" w:rsidR="00574F18" w:rsidRDefault="00574F18" w:rsidP="00D56E5B">
      <w:r>
        <w:separator/>
      </w:r>
    </w:p>
  </w:endnote>
  <w:endnote w:type="continuationSeparator" w:id="0">
    <w:p w14:paraId="2F722A7F" w14:textId="77777777" w:rsidR="00574F18" w:rsidRDefault="00574F18" w:rsidP="00D5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3435404"/>
      <w:docPartObj>
        <w:docPartGallery w:val="Page Numbers (Bottom of Page)"/>
        <w:docPartUnique/>
      </w:docPartObj>
    </w:sdtPr>
    <w:sdtContent>
      <w:p w14:paraId="6B289B3A" w14:textId="414A346C" w:rsidR="00D56E5B" w:rsidRDefault="00D56E5B" w:rsidP="000800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AEA624" w14:textId="77777777" w:rsidR="00D56E5B" w:rsidRDefault="00D56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mbria" w:hAnsi="Cambria"/>
      </w:rPr>
      <w:id w:val="894546035"/>
      <w:docPartObj>
        <w:docPartGallery w:val="Page Numbers (Bottom of Page)"/>
        <w:docPartUnique/>
      </w:docPartObj>
    </w:sdtPr>
    <w:sdtContent>
      <w:p w14:paraId="61CE5B56" w14:textId="01EEA472" w:rsidR="00D56E5B" w:rsidRPr="00D56E5B" w:rsidRDefault="00D56E5B" w:rsidP="00080038">
        <w:pPr>
          <w:pStyle w:val="Footer"/>
          <w:framePr w:wrap="none" w:vAnchor="text" w:hAnchor="margin" w:xAlign="center" w:y="1"/>
          <w:rPr>
            <w:rStyle w:val="PageNumber"/>
            <w:rFonts w:ascii="Cambria" w:hAnsi="Cambria"/>
          </w:rPr>
        </w:pPr>
        <w:r w:rsidRPr="00D56E5B">
          <w:rPr>
            <w:rStyle w:val="PageNumber"/>
            <w:rFonts w:ascii="Cambria" w:hAnsi="Cambria"/>
          </w:rPr>
          <w:fldChar w:fldCharType="begin"/>
        </w:r>
        <w:r w:rsidRPr="00D56E5B">
          <w:rPr>
            <w:rStyle w:val="PageNumber"/>
            <w:rFonts w:ascii="Cambria" w:hAnsi="Cambria"/>
          </w:rPr>
          <w:instrText xml:space="preserve"> PAGE </w:instrText>
        </w:r>
        <w:r w:rsidRPr="00D56E5B">
          <w:rPr>
            <w:rStyle w:val="PageNumber"/>
            <w:rFonts w:ascii="Cambria" w:hAnsi="Cambria"/>
          </w:rPr>
          <w:fldChar w:fldCharType="separate"/>
        </w:r>
        <w:r w:rsidRPr="00D56E5B">
          <w:rPr>
            <w:rStyle w:val="PageNumber"/>
            <w:rFonts w:ascii="Cambria" w:hAnsi="Cambria"/>
            <w:noProof/>
          </w:rPr>
          <w:t>1</w:t>
        </w:r>
        <w:r w:rsidRPr="00D56E5B">
          <w:rPr>
            <w:rStyle w:val="PageNumber"/>
            <w:rFonts w:ascii="Cambria" w:hAnsi="Cambria"/>
          </w:rPr>
          <w:fldChar w:fldCharType="end"/>
        </w:r>
      </w:p>
    </w:sdtContent>
  </w:sdt>
  <w:p w14:paraId="523BF90D" w14:textId="77777777" w:rsidR="00D56E5B" w:rsidRDefault="00D56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E964" w14:textId="77777777" w:rsidR="00574F18" w:rsidRDefault="00574F18" w:rsidP="00D56E5B">
      <w:r>
        <w:separator/>
      </w:r>
    </w:p>
  </w:footnote>
  <w:footnote w:type="continuationSeparator" w:id="0">
    <w:p w14:paraId="5FF8AABC" w14:textId="77777777" w:rsidR="00574F18" w:rsidRDefault="00574F18" w:rsidP="00D5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A2"/>
    <w:rsid w:val="0000006E"/>
    <w:rsid w:val="00007355"/>
    <w:rsid w:val="00015310"/>
    <w:rsid w:val="00017915"/>
    <w:rsid w:val="0003036F"/>
    <w:rsid w:val="000312D4"/>
    <w:rsid w:val="00042CE3"/>
    <w:rsid w:val="00084DB9"/>
    <w:rsid w:val="00105FEC"/>
    <w:rsid w:val="00151974"/>
    <w:rsid w:val="00162A19"/>
    <w:rsid w:val="001B58F0"/>
    <w:rsid w:val="001C1EA4"/>
    <w:rsid w:val="001D3D05"/>
    <w:rsid w:val="001D4290"/>
    <w:rsid w:val="002007E8"/>
    <w:rsid w:val="0020200D"/>
    <w:rsid w:val="00266E3E"/>
    <w:rsid w:val="00286E1D"/>
    <w:rsid w:val="002957D7"/>
    <w:rsid w:val="00357EC7"/>
    <w:rsid w:val="00375407"/>
    <w:rsid w:val="003A2658"/>
    <w:rsid w:val="003A27B0"/>
    <w:rsid w:val="003A33FD"/>
    <w:rsid w:val="003C6C95"/>
    <w:rsid w:val="003E73D6"/>
    <w:rsid w:val="00410A4C"/>
    <w:rsid w:val="00447352"/>
    <w:rsid w:val="004A6919"/>
    <w:rsid w:val="004E31DF"/>
    <w:rsid w:val="004F633F"/>
    <w:rsid w:val="00501BAC"/>
    <w:rsid w:val="00504248"/>
    <w:rsid w:val="00535E6C"/>
    <w:rsid w:val="00574F18"/>
    <w:rsid w:val="00596013"/>
    <w:rsid w:val="005B524A"/>
    <w:rsid w:val="005C217F"/>
    <w:rsid w:val="005C2DED"/>
    <w:rsid w:val="005D3126"/>
    <w:rsid w:val="005F0886"/>
    <w:rsid w:val="00621EC1"/>
    <w:rsid w:val="006516E3"/>
    <w:rsid w:val="006559DD"/>
    <w:rsid w:val="006C78F7"/>
    <w:rsid w:val="006D0A12"/>
    <w:rsid w:val="006D5EF3"/>
    <w:rsid w:val="006F60D2"/>
    <w:rsid w:val="00702FDE"/>
    <w:rsid w:val="00780F02"/>
    <w:rsid w:val="007A0E21"/>
    <w:rsid w:val="007C693F"/>
    <w:rsid w:val="007E7366"/>
    <w:rsid w:val="00816609"/>
    <w:rsid w:val="0086568E"/>
    <w:rsid w:val="008A06FE"/>
    <w:rsid w:val="008B04F1"/>
    <w:rsid w:val="008B42E8"/>
    <w:rsid w:val="008C1895"/>
    <w:rsid w:val="008C4F62"/>
    <w:rsid w:val="008E0F28"/>
    <w:rsid w:val="008E6635"/>
    <w:rsid w:val="00920C02"/>
    <w:rsid w:val="00920FF8"/>
    <w:rsid w:val="00947192"/>
    <w:rsid w:val="00981217"/>
    <w:rsid w:val="009B29C6"/>
    <w:rsid w:val="009D3303"/>
    <w:rsid w:val="009E7722"/>
    <w:rsid w:val="009F74A1"/>
    <w:rsid w:val="00A20538"/>
    <w:rsid w:val="00A45FA2"/>
    <w:rsid w:val="00AB4C54"/>
    <w:rsid w:val="00AF6BBA"/>
    <w:rsid w:val="00B07202"/>
    <w:rsid w:val="00B64111"/>
    <w:rsid w:val="00B91DAB"/>
    <w:rsid w:val="00C16298"/>
    <w:rsid w:val="00C27072"/>
    <w:rsid w:val="00C529AF"/>
    <w:rsid w:val="00C61345"/>
    <w:rsid w:val="00C652E8"/>
    <w:rsid w:val="00C81412"/>
    <w:rsid w:val="00CA6987"/>
    <w:rsid w:val="00CB1F58"/>
    <w:rsid w:val="00D12FA0"/>
    <w:rsid w:val="00D20C0C"/>
    <w:rsid w:val="00D47563"/>
    <w:rsid w:val="00D56E5B"/>
    <w:rsid w:val="00D822CC"/>
    <w:rsid w:val="00DA30D7"/>
    <w:rsid w:val="00DA480A"/>
    <w:rsid w:val="00DB2959"/>
    <w:rsid w:val="00DB3A62"/>
    <w:rsid w:val="00E2534D"/>
    <w:rsid w:val="00E31CB1"/>
    <w:rsid w:val="00E4298B"/>
    <w:rsid w:val="00E97645"/>
    <w:rsid w:val="00F308E5"/>
    <w:rsid w:val="00F72E14"/>
    <w:rsid w:val="00F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8D70"/>
  <w15:chartTrackingRefBased/>
  <w15:docId w15:val="{BCFA4121-4E99-4C1A-9CBC-D873114E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4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56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5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56E5B"/>
  </w:style>
  <w:style w:type="paragraph" w:styleId="Header">
    <w:name w:val="header"/>
    <w:basedOn w:val="Normal"/>
    <w:link w:val="HeaderChar"/>
    <w:uiPriority w:val="99"/>
    <w:unhideWhenUsed/>
    <w:rsid w:val="00D56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5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1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D5C4A6-C7A2-B64F-878F-526E19904410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62758C-25C0-6E4E-A080-A761C14B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Ehrenzeller, Selina</dc:creator>
  <cp:keywords/>
  <dc:description/>
  <cp:lastModifiedBy>Mike Klompas</cp:lastModifiedBy>
  <cp:revision>13</cp:revision>
  <cp:lastPrinted>2023-06-21T19:24:00Z</cp:lastPrinted>
  <dcterms:created xsi:type="dcterms:W3CDTF">2023-06-30T19:02:00Z</dcterms:created>
  <dcterms:modified xsi:type="dcterms:W3CDTF">2023-08-28T15:39:00Z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documentId_5477</vt:lpwstr>
  </property>
  <property fmtid="{D5CDD505-2E9C-101B-9397-08002B2CF9AE}" pid="3" name="grammarly_documentContext">
    <vt:lpwstr>{"goals":[],"domain":"general","emotions":[],"dialect":"american"}</vt:lpwstr>
  </property>
</Properties>
</file>