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C7A8" w14:textId="3C9DADF5" w:rsidR="00F5094F" w:rsidRPr="00F5094F" w:rsidRDefault="00F5094F" w:rsidP="000153D3">
      <w:pPr>
        <w:spacing w:after="240" w:line="480" w:lineRule="auto"/>
        <w:rPr>
          <w:rFonts w:ascii="Times New Roman" w:hAnsi="Times New Roman" w:cs="Times New Roman"/>
          <w:u w:val="single"/>
        </w:rPr>
      </w:pPr>
      <w:r w:rsidRPr="00F5094F">
        <w:rPr>
          <w:rFonts w:ascii="Times New Roman" w:hAnsi="Times New Roman" w:cs="Times New Roman"/>
          <w:u w:val="single"/>
        </w:rPr>
        <w:t>Supplemental appendix</w:t>
      </w:r>
    </w:p>
    <w:p w14:paraId="6DF3D8C1" w14:textId="1CA2534F" w:rsidR="004D4AB2" w:rsidRDefault="004D4AB2" w:rsidP="000153D3">
      <w:pPr>
        <w:spacing w:line="480" w:lineRule="auto"/>
        <w:rPr>
          <w:rFonts w:ascii="Times New Roman" w:hAnsi="Times New Roman" w:cs="Times New Roman"/>
          <w:i/>
          <w:iCs/>
        </w:rPr>
      </w:pPr>
      <w:r>
        <w:rPr>
          <w:rFonts w:ascii="Times New Roman" w:hAnsi="Times New Roman" w:cs="Times New Roman"/>
          <w:i/>
          <w:iCs/>
        </w:rPr>
        <w:t xml:space="preserve">COVID-19 </w:t>
      </w:r>
      <w:proofErr w:type="gramStart"/>
      <w:r>
        <w:rPr>
          <w:rFonts w:ascii="Times New Roman" w:hAnsi="Times New Roman" w:cs="Times New Roman"/>
          <w:i/>
          <w:iCs/>
        </w:rPr>
        <w:t>testing</w:t>
      </w:r>
      <w:proofErr w:type="gramEnd"/>
      <w:r>
        <w:rPr>
          <w:rFonts w:ascii="Times New Roman" w:hAnsi="Times New Roman" w:cs="Times New Roman"/>
          <w:i/>
          <w:iCs/>
        </w:rPr>
        <w:t xml:space="preserve"> </w:t>
      </w:r>
    </w:p>
    <w:p w14:paraId="17D97183" w14:textId="1E62AA52" w:rsidR="004D4AB2" w:rsidRDefault="004D4AB2" w:rsidP="000153D3">
      <w:pPr>
        <w:spacing w:after="240" w:line="480" w:lineRule="auto"/>
        <w:ind w:firstLine="720"/>
        <w:rPr>
          <w:rFonts w:ascii="Times New Roman" w:hAnsi="Times New Roman" w:cs="Times New Roman"/>
        </w:rPr>
      </w:pPr>
      <w:r w:rsidRPr="00C22F5B">
        <w:rPr>
          <w:rFonts w:ascii="Times New Roman" w:hAnsi="Times New Roman" w:cs="Times New Roman"/>
        </w:rPr>
        <w:t xml:space="preserve">Active SARS-CoV-2 infection was defined as a new positive SARS-CoV-2 test within the 10 days preceding </w:t>
      </w:r>
      <w:r w:rsidR="00C37BA0">
        <w:rPr>
          <w:rFonts w:ascii="Times New Roman" w:hAnsi="Times New Roman" w:cs="Times New Roman"/>
        </w:rPr>
        <w:t>emergency department (</w:t>
      </w:r>
      <w:r w:rsidRPr="00C22F5B">
        <w:rPr>
          <w:rFonts w:ascii="Times New Roman" w:hAnsi="Times New Roman" w:cs="Times New Roman"/>
        </w:rPr>
        <w:t>ED</w:t>
      </w:r>
      <w:r w:rsidR="00C37BA0">
        <w:rPr>
          <w:rFonts w:ascii="Times New Roman" w:hAnsi="Times New Roman" w:cs="Times New Roman"/>
        </w:rPr>
        <w:t>)</w:t>
      </w:r>
      <w:r w:rsidRPr="00C22F5B">
        <w:rPr>
          <w:rFonts w:ascii="Times New Roman" w:hAnsi="Times New Roman" w:cs="Times New Roman"/>
        </w:rPr>
        <w:t xml:space="preserve"> presentation, without a prior positive test in the </w:t>
      </w:r>
      <w:r>
        <w:rPr>
          <w:rFonts w:ascii="Times New Roman" w:hAnsi="Times New Roman" w:cs="Times New Roman"/>
        </w:rPr>
        <w:t xml:space="preserve">preceding </w:t>
      </w:r>
      <w:r w:rsidRPr="00C22F5B">
        <w:rPr>
          <w:rFonts w:ascii="Times New Roman" w:hAnsi="Times New Roman" w:cs="Times New Roman"/>
        </w:rPr>
        <w:t xml:space="preserve">90 days. COVID-19 status at the time of the ED encounter through 14 days was verified using the electronic medical record. Nucleic acid amplification testing for SARS-CoV-2 in ED patients was performed on nasopharyngeal or mid-turbinate nasal specimens using U.S. Food and Drug Administration emergency use authorized platforms. </w:t>
      </w:r>
    </w:p>
    <w:p w14:paraId="53119DAB" w14:textId="384C2593" w:rsidR="004D4AB2" w:rsidRPr="004D4AB2" w:rsidRDefault="004D4AB2" w:rsidP="000153D3">
      <w:pPr>
        <w:spacing w:line="480" w:lineRule="auto"/>
        <w:rPr>
          <w:rFonts w:ascii="Times New Roman" w:hAnsi="Times New Roman" w:cs="Times New Roman"/>
          <w:i/>
          <w:iCs/>
        </w:rPr>
      </w:pPr>
      <w:r>
        <w:rPr>
          <w:rFonts w:ascii="Times New Roman" w:hAnsi="Times New Roman" w:cs="Times New Roman"/>
          <w:i/>
          <w:iCs/>
        </w:rPr>
        <w:t>Cleaning and disinfection protocols</w:t>
      </w:r>
    </w:p>
    <w:p w14:paraId="23814972" w14:textId="4228B8D7" w:rsidR="004D4AB2" w:rsidRPr="00C22F5B" w:rsidRDefault="004D4AB2" w:rsidP="000153D3">
      <w:pPr>
        <w:spacing w:after="240" w:line="480" w:lineRule="auto"/>
        <w:ind w:firstLine="720"/>
        <w:rPr>
          <w:rFonts w:ascii="Times New Roman" w:hAnsi="Times New Roman" w:cs="Times New Roman"/>
        </w:rPr>
      </w:pPr>
      <w:r>
        <w:rPr>
          <w:rFonts w:ascii="Times New Roman" w:hAnsi="Times New Roman" w:cs="Times New Roman"/>
        </w:rPr>
        <w:t>A</w:t>
      </w:r>
      <w:r w:rsidRPr="00C22F5B">
        <w:rPr>
          <w:rFonts w:ascii="Times New Roman" w:hAnsi="Times New Roman" w:cs="Times New Roman"/>
        </w:rPr>
        <w:t xml:space="preserve">ccessible surfaces and non-disposable medical equipment </w:t>
      </w:r>
      <w:r>
        <w:rPr>
          <w:rFonts w:ascii="Times New Roman" w:hAnsi="Times New Roman" w:cs="Times New Roman"/>
        </w:rPr>
        <w:t>were</w:t>
      </w:r>
      <w:r w:rsidRPr="00C22F5B">
        <w:rPr>
          <w:rFonts w:ascii="Times New Roman" w:hAnsi="Times New Roman" w:cs="Times New Roman"/>
        </w:rPr>
        <w:t xml:space="preserve"> cleaned and disinfected using a disinfectant effective against SARS-CoV-2 prior to the next occupant. Environmental samples collected from rooms where patients died or were discharged prior to </w:t>
      </w:r>
      <w:r w:rsidR="00881DA4">
        <w:rPr>
          <w:rFonts w:ascii="Times New Roman" w:hAnsi="Times New Roman" w:cs="Times New Roman"/>
        </w:rPr>
        <w:t xml:space="preserve">clinical </w:t>
      </w:r>
      <w:r w:rsidRPr="00C22F5B">
        <w:rPr>
          <w:rFonts w:ascii="Times New Roman" w:hAnsi="Times New Roman" w:cs="Times New Roman"/>
        </w:rPr>
        <w:t>SARS-CoV-2 testing were excluded from the analysis. The study protocol was approved by the Yale University Institutional Review Board (IRB) and the Yale Human Research Protection Program (IRB# 2000029221).</w:t>
      </w:r>
    </w:p>
    <w:p w14:paraId="187F0CF0" w14:textId="77777777" w:rsidR="004D4AB2" w:rsidRPr="00C22F5B" w:rsidRDefault="004D4AB2" w:rsidP="000153D3">
      <w:pPr>
        <w:spacing w:line="480" w:lineRule="auto"/>
        <w:rPr>
          <w:rFonts w:ascii="Times New Roman" w:hAnsi="Times New Roman" w:cs="Times New Roman"/>
          <w:i/>
          <w:iCs/>
        </w:rPr>
      </w:pPr>
      <w:r w:rsidRPr="00C22F5B">
        <w:rPr>
          <w:rFonts w:ascii="Times New Roman" w:hAnsi="Times New Roman" w:cs="Times New Roman"/>
          <w:i/>
          <w:iCs/>
        </w:rPr>
        <w:t xml:space="preserve">SARS-CoV-2 RNA and infectious SARS-CoV-2 detection </w:t>
      </w:r>
    </w:p>
    <w:p w14:paraId="5D200371" w14:textId="7F7388A0" w:rsidR="004D4AB2" w:rsidRPr="00C22F5B" w:rsidRDefault="00881DA4" w:rsidP="000153D3">
      <w:pPr>
        <w:spacing w:line="480" w:lineRule="auto"/>
        <w:ind w:firstLine="720"/>
        <w:rPr>
          <w:rFonts w:ascii="Times New Roman" w:hAnsi="Times New Roman" w:cs="Times New Roman"/>
        </w:rPr>
      </w:pPr>
      <w:r>
        <w:rPr>
          <w:rFonts w:ascii="Times New Roman" w:hAnsi="Times New Roman" w:cs="Times New Roman"/>
        </w:rPr>
        <w:t xml:space="preserve">Environmental swabs were taken from a convenience sample of patients during the week in daytime hours. </w:t>
      </w:r>
      <w:r w:rsidR="003F1ECB" w:rsidRPr="00C22F5B">
        <w:rPr>
          <w:rFonts w:ascii="Times New Roman" w:hAnsi="Times New Roman" w:cs="Times New Roman"/>
        </w:rPr>
        <w:t>Samples were collected using SANI-</w:t>
      </w:r>
      <w:proofErr w:type="spellStart"/>
      <w:r w:rsidR="003F1ECB" w:rsidRPr="00C22F5B">
        <w:rPr>
          <w:rFonts w:ascii="Times New Roman" w:hAnsi="Times New Roman" w:cs="Times New Roman"/>
        </w:rPr>
        <w:t>MacroSwabs</w:t>
      </w:r>
      <w:proofErr w:type="spellEnd"/>
      <w:r w:rsidR="003F1ECB" w:rsidRPr="00C22F5B">
        <w:rPr>
          <w:rFonts w:ascii="Times New Roman" w:hAnsi="Times New Roman" w:cs="Times New Roman"/>
        </w:rPr>
        <w:t xml:space="preserve"> (</w:t>
      </w:r>
      <w:proofErr w:type="spellStart"/>
      <w:r w:rsidR="003F1ECB" w:rsidRPr="00C22F5B">
        <w:rPr>
          <w:rFonts w:ascii="Times New Roman" w:hAnsi="Times New Roman" w:cs="Times New Roman"/>
        </w:rPr>
        <w:t>Sanigen</w:t>
      </w:r>
      <w:proofErr w:type="spellEnd"/>
      <w:r w:rsidR="003F1ECB" w:rsidRPr="00C22F5B">
        <w:rPr>
          <w:rFonts w:ascii="Times New Roman" w:hAnsi="Times New Roman" w:cs="Times New Roman"/>
        </w:rPr>
        <w:t xml:space="preserve"> Co., Ltd, Anyang-</w:t>
      </w:r>
      <w:proofErr w:type="spellStart"/>
      <w:r w:rsidR="003F1ECB" w:rsidRPr="00C22F5B">
        <w:rPr>
          <w:rFonts w:ascii="Times New Roman" w:hAnsi="Times New Roman" w:cs="Times New Roman"/>
        </w:rPr>
        <w:t>si</w:t>
      </w:r>
      <w:proofErr w:type="spellEnd"/>
      <w:r w:rsidR="003F1ECB" w:rsidRPr="00C22F5B">
        <w:rPr>
          <w:rFonts w:ascii="Times New Roman" w:hAnsi="Times New Roman" w:cs="Times New Roman"/>
        </w:rPr>
        <w:t>, Gyeonggi-do, South Korea) saturated with a viral transport medium containing no agents known to deactivate SARS-CoV-2.</w:t>
      </w:r>
      <w:r w:rsidR="003F1ECB">
        <w:rPr>
          <w:rFonts w:ascii="Times New Roman" w:hAnsi="Times New Roman" w:cs="Times New Roman"/>
          <w:vertAlign w:val="superscript"/>
        </w:rPr>
        <w:t xml:space="preserve">  </w:t>
      </w:r>
      <w:r w:rsidR="004D4AB2" w:rsidRPr="00C22F5B">
        <w:rPr>
          <w:rFonts w:ascii="Times New Roman" w:hAnsi="Times New Roman" w:cs="Times New Roman"/>
        </w:rPr>
        <w:t xml:space="preserve">Environmental swab elution and viral deactivation were conducted under biosafety-level 2+ conditions. Tissue culture work was conducted in the biosafety-level 3 laboratory facilities at Yale University. All laboratory protocols were approved </w:t>
      </w:r>
      <w:r w:rsidR="004D4AB2" w:rsidRPr="00C22F5B">
        <w:rPr>
          <w:rFonts w:ascii="Times New Roman" w:hAnsi="Times New Roman" w:cs="Times New Roman"/>
        </w:rPr>
        <w:lastRenderedPageBreak/>
        <w:t>by the Yale University Biological Safety Committee. Samples were stored at 4°C up to 72 hours or frozen at -80°C until processing. Swabs were eluted with 5 mL sterile phosphate buffered saline (PBS) and pulse vortexed for 2 minutes. One milliliter of swab eluate was aliquoted for RNA extraction using the Qiagen RNeasy Mini® RNA extraction kit (Qiagen, Hilden Germany). The remaining 4 mL eluate was frozen at -80°C for tissue culture of samples positive for SARS-CoV-2 RNA by reverse transcriptase quantitative PCR (RT-qPCR). RT-qPCR testing of environmental samples utilized the U.S. Centers for Disease Control (CDC) N1 primer/probe set.</w:t>
      </w:r>
      <w:r w:rsidR="000153D3" w:rsidRPr="000153D3">
        <w:rPr>
          <w:rFonts w:ascii="Times New Roman" w:hAnsi="Times New Roman" w:cs="Times New Roman"/>
          <w:vertAlign w:val="superscript"/>
        </w:rPr>
        <w:t>1</w:t>
      </w:r>
      <w:r w:rsidR="004D4AB2" w:rsidRPr="00C22F5B">
        <w:rPr>
          <w:rFonts w:ascii="Times New Roman" w:hAnsi="Times New Roman" w:cs="Times New Roman"/>
        </w:rPr>
        <w:t xml:space="preserve"> The CDC human RNase P (RP) extraction control primers were not utilized because the samples were not directly from humans.</w:t>
      </w:r>
      <w:r w:rsidR="00A91499" w:rsidRPr="00A91499">
        <w:rPr>
          <w:rFonts w:ascii="Times New Roman" w:hAnsi="Times New Roman" w:cs="Times New Roman"/>
        </w:rPr>
        <w:t xml:space="preserve"> </w:t>
      </w:r>
      <w:r w:rsidR="00A91499">
        <w:rPr>
          <w:rFonts w:ascii="Times New Roman" w:hAnsi="Times New Roman" w:cs="Times New Roman"/>
        </w:rPr>
        <w:t>RNA copies for environmental samples were determined by generating a standard curve for each RT-qPCR run utilizing C</w:t>
      </w:r>
      <w:r w:rsidR="00A91499" w:rsidRPr="00863EE5">
        <w:rPr>
          <w:rFonts w:ascii="Times New Roman" w:hAnsi="Times New Roman" w:cs="Times New Roman"/>
          <w:vertAlign w:val="subscript"/>
        </w:rPr>
        <w:t>t</w:t>
      </w:r>
      <w:r w:rsidR="00A91499">
        <w:rPr>
          <w:rFonts w:ascii="Times New Roman" w:hAnsi="Times New Roman" w:cs="Times New Roman"/>
        </w:rPr>
        <w:t xml:space="preserve"> values and known copy numbers of a SARS-CoV-2 RNA synthetic control (Twist Bioscience, San Francisco USA) at 10-fold serial dilutions ranging from 10</w:t>
      </w:r>
      <w:r w:rsidR="00A91499" w:rsidRPr="00863EE5">
        <w:rPr>
          <w:rFonts w:ascii="Times New Roman" w:hAnsi="Times New Roman" w:cs="Times New Roman"/>
          <w:vertAlign w:val="superscript"/>
        </w:rPr>
        <w:t>4</w:t>
      </w:r>
      <w:r w:rsidR="00A91499">
        <w:rPr>
          <w:rFonts w:ascii="Times New Roman" w:hAnsi="Times New Roman" w:cs="Times New Roman"/>
        </w:rPr>
        <w:t xml:space="preserve"> to 10</w:t>
      </w:r>
      <w:r w:rsidR="00A91499" w:rsidRPr="00863EE5">
        <w:rPr>
          <w:rFonts w:ascii="Times New Roman" w:hAnsi="Times New Roman" w:cs="Times New Roman"/>
          <w:vertAlign w:val="superscript"/>
        </w:rPr>
        <w:t>0</w:t>
      </w:r>
      <w:r w:rsidR="00A91499">
        <w:rPr>
          <w:rFonts w:ascii="Times New Roman" w:hAnsi="Times New Roman" w:cs="Times New Roman"/>
        </w:rPr>
        <w:t xml:space="preserve"> copies.</w:t>
      </w:r>
      <w:r>
        <w:rPr>
          <w:rFonts w:ascii="Times New Roman" w:hAnsi="Times New Roman" w:cs="Times New Roman"/>
        </w:rPr>
        <w:t xml:space="preserve"> The RT-qPCR assay used was previously validated to have a C</w:t>
      </w:r>
      <w:r w:rsidRPr="00191B60">
        <w:rPr>
          <w:rFonts w:ascii="Times New Roman" w:hAnsi="Times New Roman" w:cs="Times New Roman"/>
          <w:vertAlign w:val="subscript"/>
        </w:rPr>
        <w:t>t</w:t>
      </w:r>
      <w:r>
        <w:rPr>
          <w:rFonts w:ascii="Times New Roman" w:hAnsi="Times New Roman" w:cs="Times New Roman"/>
        </w:rPr>
        <w:t xml:space="preserve"> threshold less than 40 for positive samples.</w:t>
      </w:r>
    </w:p>
    <w:p w14:paraId="1720D19A" w14:textId="01F6F813" w:rsidR="000153D3" w:rsidRDefault="004D4AB2" w:rsidP="0096238A">
      <w:pPr>
        <w:spacing w:after="240" w:line="480" w:lineRule="auto"/>
        <w:rPr>
          <w:rFonts w:ascii="Times New Roman" w:hAnsi="Times New Roman" w:cs="Times New Roman"/>
          <w:i/>
          <w:iCs/>
        </w:rPr>
      </w:pPr>
      <w:r w:rsidRPr="00C22F5B">
        <w:rPr>
          <w:rFonts w:ascii="Times New Roman" w:hAnsi="Times New Roman" w:cs="Times New Roman"/>
        </w:rPr>
        <w:t xml:space="preserve">Samples testing positive for SARS-CoV-2 RNA were cultured using the remaining eluate. The eluate was passed through a 0.45 µL syringe filter and concentrated down to 200 µL using an </w:t>
      </w:r>
      <w:proofErr w:type="spellStart"/>
      <w:r w:rsidRPr="00C22F5B">
        <w:rPr>
          <w:rFonts w:ascii="Times New Roman" w:hAnsi="Times New Roman" w:cs="Times New Roman"/>
        </w:rPr>
        <w:t>Amicon</w:t>
      </w:r>
      <w:proofErr w:type="spellEnd"/>
      <w:r w:rsidRPr="00C22F5B">
        <w:rPr>
          <w:rFonts w:ascii="Times New Roman" w:hAnsi="Times New Roman" w:cs="Times New Roman"/>
        </w:rPr>
        <w:t xml:space="preserve"> Ultra-4 30 </w:t>
      </w:r>
      <w:proofErr w:type="spellStart"/>
      <w:r w:rsidRPr="00C22F5B">
        <w:rPr>
          <w:rFonts w:ascii="Times New Roman" w:hAnsi="Times New Roman" w:cs="Times New Roman"/>
        </w:rPr>
        <w:t>kDa</w:t>
      </w:r>
      <w:proofErr w:type="spellEnd"/>
      <w:r w:rsidRPr="00C22F5B">
        <w:rPr>
          <w:rFonts w:ascii="Times New Roman" w:hAnsi="Times New Roman" w:cs="Times New Roman"/>
        </w:rPr>
        <w:t xml:space="preserve"> </w:t>
      </w:r>
      <w:proofErr w:type="spellStart"/>
      <w:r w:rsidRPr="00C22F5B">
        <w:rPr>
          <w:rFonts w:ascii="Times New Roman" w:hAnsi="Times New Roman" w:cs="Times New Roman"/>
        </w:rPr>
        <w:t>Ultracel</w:t>
      </w:r>
      <w:proofErr w:type="spellEnd"/>
      <w:r w:rsidRPr="00C22F5B">
        <w:rPr>
          <w:rFonts w:ascii="Times New Roman" w:hAnsi="Times New Roman" w:cs="Times New Roman"/>
        </w:rPr>
        <w:t>-PL filter (Millipore Sigma, St. Louis, Missouri, United States), then inoculated onto T25 flasks of Vero E6 cells overexpressing TMPRSS2 and ACE2</w:t>
      </w:r>
      <w:r>
        <w:rPr>
          <w:rFonts w:ascii="Times New Roman" w:hAnsi="Times New Roman" w:cs="Times New Roman"/>
        </w:rPr>
        <w:t xml:space="preserve"> (gift from </w:t>
      </w:r>
      <w:r w:rsidRPr="00C22F5B">
        <w:rPr>
          <w:rFonts w:ascii="Times New Roman" w:hAnsi="Times New Roman" w:cs="Times New Roman"/>
        </w:rPr>
        <w:t>Barney Graham</w:t>
      </w:r>
      <w:r>
        <w:rPr>
          <w:rFonts w:ascii="Times New Roman" w:hAnsi="Times New Roman" w:cs="Times New Roman"/>
        </w:rPr>
        <w:t>, NIH)</w:t>
      </w:r>
      <w:r w:rsidRPr="00C22F5B">
        <w:rPr>
          <w:rFonts w:ascii="Times New Roman" w:hAnsi="Times New Roman" w:cs="Times New Roman"/>
        </w:rPr>
        <w:t xml:space="preserve">. </w:t>
      </w:r>
      <w:r w:rsidR="000153D3">
        <w:rPr>
          <w:rFonts w:ascii="Times New Roman" w:hAnsi="Times New Roman" w:cs="Times New Roman"/>
        </w:rPr>
        <w:t xml:space="preserve">Culture media </w:t>
      </w:r>
      <w:r w:rsidRPr="00C22F5B">
        <w:rPr>
          <w:rFonts w:ascii="Times New Roman" w:hAnsi="Times New Roman" w:cs="Times New Roman"/>
        </w:rPr>
        <w:t>aliquot</w:t>
      </w:r>
      <w:r w:rsidR="000153D3">
        <w:rPr>
          <w:rFonts w:ascii="Times New Roman" w:hAnsi="Times New Roman" w:cs="Times New Roman"/>
        </w:rPr>
        <w:t>s</w:t>
      </w:r>
      <w:r w:rsidRPr="00C22F5B">
        <w:rPr>
          <w:rFonts w:ascii="Times New Roman" w:hAnsi="Times New Roman" w:cs="Times New Roman"/>
        </w:rPr>
        <w:t xml:space="preserve"> </w:t>
      </w:r>
      <w:r w:rsidR="000153D3">
        <w:rPr>
          <w:rFonts w:ascii="Times New Roman" w:hAnsi="Times New Roman" w:cs="Times New Roman"/>
        </w:rPr>
        <w:t xml:space="preserve">were removed and </w:t>
      </w:r>
      <w:r w:rsidRPr="00C22F5B">
        <w:rPr>
          <w:rFonts w:ascii="Times New Roman" w:hAnsi="Times New Roman" w:cs="Times New Roman"/>
        </w:rPr>
        <w:t>placed in Buffer AVL (lysis buffer) (Qiagen, Hilden, Germany)</w:t>
      </w:r>
      <w:r w:rsidR="000153D3">
        <w:rPr>
          <w:rFonts w:ascii="Times New Roman" w:hAnsi="Times New Roman" w:cs="Times New Roman"/>
        </w:rPr>
        <w:t xml:space="preserve"> before incubation and </w:t>
      </w:r>
      <w:r w:rsidRPr="00C22F5B">
        <w:rPr>
          <w:rFonts w:ascii="Times New Roman" w:hAnsi="Times New Roman" w:cs="Times New Roman"/>
        </w:rPr>
        <w:t>at 4 days post infection</w:t>
      </w:r>
      <w:r w:rsidR="000153D3">
        <w:rPr>
          <w:rFonts w:ascii="Times New Roman" w:hAnsi="Times New Roman" w:cs="Times New Roman"/>
        </w:rPr>
        <w:t xml:space="preserve">, when they were also examined </w:t>
      </w:r>
      <w:r w:rsidRPr="00C22F5B">
        <w:rPr>
          <w:rFonts w:ascii="Times New Roman" w:hAnsi="Times New Roman" w:cs="Times New Roman"/>
        </w:rPr>
        <w:t xml:space="preserve">for cytopathic effect. Flasks were fixed with 4% paraformaldehyde and stained with a 0.05% crystal violet solution. RNA extraction from AVL buffer aliquots was performed using </w:t>
      </w:r>
      <w:proofErr w:type="spellStart"/>
      <w:r w:rsidRPr="00C22F5B">
        <w:rPr>
          <w:rFonts w:ascii="Times New Roman" w:hAnsi="Times New Roman" w:cs="Times New Roman"/>
        </w:rPr>
        <w:t>QIAamp</w:t>
      </w:r>
      <w:proofErr w:type="spellEnd"/>
      <w:r w:rsidRPr="00C22F5B">
        <w:rPr>
          <w:rFonts w:ascii="Times New Roman" w:hAnsi="Times New Roman" w:cs="Times New Roman"/>
        </w:rPr>
        <w:t xml:space="preserve"> viral RNA Mini kit (Qiagen, Hilden, Germany). </w:t>
      </w:r>
      <w:bookmarkStart w:id="0" w:name="_Hlk115906180"/>
      <w:r w:rsidR="00881DA4">
        <w:rPr>
          <w:rFonts w:ascii="Times New Roman" w:hAnsi="Times New Roman" w:cs="Times New Roman"/>
        </w:rPr>
        <w:t xml:space="preserve">The </w:t>
      </w:r>
      <w:r w:rsidR="00881DA4" w:rsidRPr="00C22F5B">
        <w:rPr>
          <w:rFonts w:ascii="Times New Roman" w:hAnsi="Times New Roman" w:cs="Times New Roman"/>
        </w:rPr>
        <w:t xml:space="preserve">culture </w:t>
      </w:r>
      <w:r w:rsidR="00881DA4">
        <w:rPr>
          <w:rFonts w:ascii="Times New Roman" w:hAnsi="Times New Roman" w:cs="Times New Roman"/>
        </w:rPr>
        <w:t xml:space="preserve">medium of the inoculated T25 flasks were tested by RT-qPCR prior to and following the 4-day incubation </w:t>
      </w:r>
      <w:r w:rsidR="00881DA4" w:rsidRPr="00C22F5B">
        <w:rPr>
          <w:rFonts w:ascii="Times New Roman" w:hAnsi="Times New Roman" w:cs="Times New Roman"/>
        </w:rPr>
        <w:lastRenderedPageBreak/>
        <w:t xml:space="preserve">to determine if there was </w:t>
      </w:r>
      <w:r w:rsidR="00881DA4">
        <w:rPr>
          <w:rFonts w:ascii="Times New Roman" w:hAnsi="Times New Roman" w:cs="Times New Roman"/>
        </w:rPr>
        <w:t>an increase in RNA copy number (determined by standard curve as described above)</w:t>
      </w:r>
      <w:r w:rsidR="00B033EF">
        <w:rPr>
          <w:rFonts w:ascii="Times New Roman" w:hAnsi="Times New Roman" w:cs="Times New Roman"/>
        </w:rPr>
        <w:t>.</w:t>
      </w:r>
    </w:p>
    <w:p w14:paraId="15934665" w14:textId="4EFB3B5A" w:rsidR="0005462A" w:rsidRPr="00C22F5B" w:rsidRDefault="0005462A" w:rsidP="000153D3">
      <w:pPr>
        <w:spacing w:line="480" w:lineRule="auto"/>
        <w:rPr>
          <w:rFonts w:ascii="Times New Roman" w:hAnsi="Times New Roman" w:cs="Times New Roman"/>
          <w:i/>
          <w:iCs/>
        </w:rPr>
      </w:pPr>
      <w:r w:rsidRPr="00C22F5B">
        <w:rPr>
          <w:rFonts w:ascii="Times New Roman" w:hAnsi="Times New Roman" w:cs="Times New Roman"/>
          <w:i/>
          <w:iCs/>
        </w:rPr>
        <w:t>COVID-19 status of previous occupant of sampled ED rooms</w:t>
      </w:r>
      <w:bookmarkEnd w:id="0"/>
    </w:p>
    <w:p w14:paraId="4E00533B" w14:textId="77777777" w:rsidR="0005462A" w:rsidRDefault="0005462A" w:rsidP="000153D3">
      <w:pPr>
        <w:spacing w:after="240" w:line="480" w:lineRule="auto"/>
        <w:rPr>
          <w:rFonts w:ascii="Times New Roman" w:hAnsi="Times New Roman" w:cs="Times New Roman"/>
        </w:rPr>
      </w:pPr>
      <w:r w:rsidRPr="00C22F5B">
        <w:rPr>
          <w:rFonts w:ascii="Times New Roman" w:hAnsi="Times New Roman" w:cs="Times New Roman"/>
        </w:rPr>
        <w:tab/>
      </w:r>
      <w:r>
        <w:rPr>
          <w:rFonts w:ascii="Times New Roman" w:hAnsi="Times New Roman" w:cs="Times New Roman"/>
        </w:rPr>
        <w:t>Medical records were reviewed to determine the COVID-19 status of the room occupant immediately prior to sampled rooms.</w:t>
      </w:r>
    </w:p>
    <w:p w14:paraId="4AF93921" w14:textId="77777777" w:rsidR="00060164" w:rsidRPr="00C22F5B" w:rsidRDefault="00060164" w:rsidP="000153D3">
      <w:pPr>
        <w:spacing w:line="480" w:lineRule="auto"/>
        <w:rPr>
          <w:rFonts w:ascii="Times New Roman" w:hAnsi="Times New Roman" w:cs="Times New Roman"/>
          <w:i/>
          <w:iCs/>
        </w:rPr>
      </w:pPr>
      <w:r w:rsidRPr="00C22F5B">
        <w:rPr>
          <w:rFonts w:ascii="Times New Roman" w:hAnsi="Times New Roman" w:cs="Times New Roman"/>
          <w:i/>
          <w:iCs/>
        </w:rPr>
        <w:t>Relationship between patient symptom presentation and ED surface SARS-CoV-2 contamination</w:t>
      </w:r>
    </w:p>
    <w:p w14:paraId="1885401C" w14:textId="038AC881" w:rsidR="00060164" w:rsidRDefault="00060164" w:rsidP="000153D3">
      <w:pPr>
        <w:spacing w:after="240" w:line="480" w:lineRule="auto"/>
        <w:ind w:firstLine="720"/>
        <w:rPr>
          <w:rFonts w:ascii="Times New Roman" w:hAnsi="Times New Roman" w:cs="Times New Roman"/>
        </w:rPr>
      </w:pPr>
      <w:r w:rsidRPr="00C22F5B">
        <w:rPr>
          <w:rFonts w:ascii="Times New Roman" w:hAnsi="Times New Roman" w:cs="Times New Roman"/>
        </w:rPr>
        <w:t xml:space="preserve">The electronic health record was used to determine </w:t>
      </w:r>
      <w:r>
        <w:rPr>
          <w:rFonts w:ascii="Times New Roman" w:hAnsi="Times New Roman" w:cs="Times New Roman"/>
        </w:rPr>
        <w:t xml:space="preserve">days </w:t>
      </w:r>
      <w:r w:rsidRPr="00C22F5B">
        <w:rPr>
          <w:rFonts w:ascii="Times New Roman" w:hAnsi="Times New Roman" w:cs="Times New Roman"/>
        </w:rPr>
        <w:t xml:space="preserve">since COVID-19 symptom onset and symptom severity for patients </w:t>
      </w:r>
      <w:r>
        <w:rPr>
          <w:rFonts w:ascii="Times New Roman" w:hAnsi="Times New Roman" w:cs="Times New Roman"/>
        </w:rPr>
        <w:t>positive</w:t>
      </w:r>
      <w:r w:rsidRPr="00C22F5B">
        <w:rPr>
          <w:rFonts w:ascii="Times New Roman" w:hAnsi="Times New Roman" w:cs="Times New Roman"/>
        </w:rPr>
        <w:t xml:space="preserve"> </w:t>
      </w:r>
      <w:r>
        <w:rPr>
          <w:rFonts w:ascii="Times New Roman" w:hAnsi="Times New Roman" w:cs="Times New Roman"/>
        </w:rPr>
        <w:t>during</w:t>
      </w:r>
      <w:r w:rsidRPr="00C22F5B">
        <w:rPr>
          <w:rFonts w:ascii="Times New Roman" w:hAnsi="Times New Roman" w:cs="Times New Roman"/>
        </w:rPr>
        <w:t xml:space="preserve"> </w:t>
      </w:r>
      <w:r>
        <w:rPr>
          <w:rFonts w:ascii="Times New Roman" w:hAnsi="Times New Roman" w:cs="Times New Roman"/>
        </w:rPr>
        <w:t>s</w:t>
      </w:r>
      <w:r w:rsidRPr="00C22F5B">
        <w:rPr>
          <w:rFonts w:ascii="Times New Roman" w:hAnsi="Times New Roman" w:cs="Times New Roman"/>
        </w:rPr>
        <w:t xml:space="preserve">ampling. </w:t>
      </w:r>
      <w:r w:rsidR="00E40FE5">
        <w:rPr>
          <w:rFonts w:ascii="Times New Roman" w:hAnsi="Times New Roman" w:cs="Times New Roman"/>
          <w:vertAlign w:val="superscript"/>
        </w:rPr>
        <w:t xml:space="preserve"> </w:t>
      </w:r>
      <w:r w:rsidR="00E40FE5">
        <w:rPr>
          <w:rFonts w:ascii="Times New Roman" w:hAnsi="Times New Roman" w:cs="Times New Roman"/>
        </w:rPr>
        <w:t>For all calculations on patient severity and days since symptom onset, only patients with confirmed COVID-19 were included in the analysis. The relationship of r</w:t>
      </w:r>
      <w:r w:rsidR="00E40FE5" w:rsidRPr="00C22F5B">
        <w:rPr>
          <w:rFonts w:ascii="Times New Roman" w:hAnsi="Times New Roman" w:cs="Times New Roman"/>
        </w:rPr>
        <w:t xml:space="preserve">oom contamination </w:t>
      </w:r>
      <w:r w:rsidR="00E40FE5">
        <w:rPr>
          <w:rFonts w:ascii="Times New Roman" w:hAnsi="Times New Roman" w:cs="Times New Roman"/>
        </w:rPr>
        <w:t>according to</w:t>
      </w:r>
      <w:r w:rsidR="00E40FE5" w:rsidRPr="00C22F5B">
        <w:rPr>
          <w:rFonts w:ascii="Times New Roman" w:hAnsi="Times New Roman" w:cs="Times New Roman"/>
        </w:rPr>
        <w:t xml:space="preserve"> COVID-19 severity or time since symptom onset was analyzed </w:t>
      </w:r>
      <w:r w:rsidR="00E40FE5">
        <w:rPr>
          <w:rFonts w:ascii="Times New Roman" w:hAnsi="Times New Roman" w:cs="Times New Roman"/>
        </w:rPr>
        <w:t xml:space="preserve">with the </w:t>
      </w:r>
      <w:r w:rsidR="00E40FE5" w:rsidRPr="00C22F5B">
        <w:rPr>
          <w:rFonts w:ascii="Times New Roman" w:hAnsi="Times New Roman" w:cs="Times New Roman"/>
        </w:rPr>
        <w:t xml:space="preserve">independent samples median test. </w:t>
      </w:r>
      <w:r w:rsidR="00E40FE5">
        <w:rPr>
          <w:rFonts w:ascii="Times New Roman" w:hAnsi="Times New Roman" w:cs="Times New Roman"/>
        </w:rPr>
        <w:t xml:space="preserve"> </w:t>
      </w:r>
    </w:p>
    <w:p w14:paraId="1C58C584" w14:textId="77777777" w:rsidR="00C92E67" w:rsidRPr="00C22F5B" w:rsidRDefault="00C92E67" w:rsidP="000153D3">
      <w:pPr>
        <w:spacing w:line="480" w:lineRule="auto"/>
        <w:rPr>
          <w:rFonts w:ascii="Times New Roman" w:hAnsi="Times New Roman" w:cs="Times New Roman"/>
          <w:i/>
          <w:iCs/>
        </w:rPr>
      </w:pPr>
      <w:r w:rsidRPr="00C22F5B">
        <w:rPr>
          <w:rFonts w:ascii="Times New Roman" w:hAnsi="Times New Roman" w:cs="Times New Roman"/>
          <w:i/>
          <w:iCs/>
        </w:rPr>
        <w:t>Statistical analysis</w:t>
      </w:r>
    </w:p>
    <w:p w14:paraId="521E9D13" w14:textId="42FF2306" w:rsidR="000153D3" w:rsidRDefault="00E40FE5" w:rsidP="00140A10">
      <w:pPr>
        <w:spacing w:after="240" w:line="480" w:lineRule="auto"/>
        <w:ind w:firstLine="720"/>
        <w:rPr>
          <w:rFonts w:ascii="Times New Roman" w:hAnsi="Times New Roman" w:cs="Times New Roman"/>
        </w:rPr>
      </w:pPr>
      <w:r>
        <w:rPr>
          <w:rFonts w:ascii="Times New Roman" w:hAnsi="Times New Roman" w:cs="Times New Roman"/>
        </w:rPr>
        <w:t>This study was designed as an exploratory observational design to determine SARS-CoV-2 surface contamination in various clinical settings. As this was performed in a pandemic setting with wide fluctuations in community incidence, this study was not powered to compare surface contamination by procedure type. Two hundred rooms were chosen to sample through estimation of resources allocated to the research team.</w:t>
      </w:r>
      <w:r w:rsidRPr="005952E0">
        <w:rPr>
          <w:rFonts w:ascii="Times New Roman" w:hAnsi="Times New Roman" w:cs="Times New Roman"/>
        </w:rPr>
        <w:t xml:space="preserve"> </w:t>
      </w:r>
      <w:r w:rsidRPr="00C22F5B">
        <w:rPr>
          <w:rFonts w:ascii="Times New Roman" w:hAnsi="Times New Roman" w:cs="Times New Roman"/>
        </w:rPr>
        <w:t>IBM SPSS version 28.0 was used for statistical analysis with a</w:t>
      </w:r>
      <w:r>
        <w:rPr>
          <w:rFonts w:ascii="Times New Roman" w:hAnsi="Times New Roman" w:cs="Times New Roman"/>
        </w:rPr>
        <w:t xml:space="preserve"> two-sided</w:t>
      </w:r>
      <w:r w:rsidRPr="00C22F5B">
        <w:rPr>
          <w:rFonts w:ascii="Times New Roman" w:hAnsi="Times New Roman" w:cs="Times New Roman"/>
        </w:rPr>
        <w:t xml:space="preserve"> p-value of &lt; 0.05 deemed significant.</w:t>
      </w:r>
      <w:r>
        <w:rPr>
          <w:rFonts w:ascii="Times New Roman" w:hAnsi="Times New Roman" w:cs="Times New Roman"/>
        </w:rPr>
        <w:t xml:space="preserve"> </w:t>
      </w:r>
    </w:p>
    <w:p w14:paraId="7D887F2E" w14:textId="1574933A" w:rsidR="000153D3" w:rsidRPr="000153D3" w:rsidRDefault="000153D3" w:rsidP="000153D3">
      <w:pPr>
        <w:spacing w:line="480" w:lineRule="auto"/>
        <w:rPr>
          <w:rFonts w:ascii="Times New Roman" w:hAnsi="Times New Roman" w:cs="Times New Roman"/>
          <w:i/>
          <w:iCs/>
        </w:rPr>
      </w:pPr>
      <w:r w:rsidRPr="000153D3">
        <w:rPr>
          <w:rFonts w:ascii="Times New Roman" w:hAnsi="Times New Roman" w:cs="Times New Roman"/>
          <w:i/>
          <w:iCs/>
        </w:rPr>
        <w:t>References</w:t>
      </w:r>
    </w:p>
    <w:p w14:paraId="3C9BB73B" w14:textId="34D4AE29" w:rsidR="000153D3" w:rsidRPr="000153D3" w:rsidRDefault="000153D3" w:rsidP="000153D3">
      <w:pPr>
        <w:pStyle w:val="ListParagraph"/>
        <w:numPr>
          <w:ilvl w:val="0"/>
          <w:numId w:val="1"/>
        </w:numPr>
        <w:spacing w:line="480" w:lineRule="auto"/>
        <w:rPr>
          <w:rFonts w:ascii="Times New Roman" w:hAnsi="Times New Roman" w:cs="Times New Roman"/>
        </w:rPr>
      </w:pPr>
      <w:r w:rsidRPr="000153D3">
        <w:rPr>
          <w:rFonts w:ascii="Times New Roman" w:hAnsi="Times New Roman" w:cs="Times New Roman"/>
        </w:rPr>
        <w:t xml:space="preserve">U.S. Centers for Disease Control and Prevention. Research Use Only 2019-Novel Coronavirus (2019-nCoV) Real-time RT-PCR Primers and Probes. Available at: </w:t>
      </w:r>
      <w:r w:rsidRPr="000153D3">
        <w:rPr>
          <w:rFonts w:ascii="Times New Roman" w:hAnsi="Times New Roman" w:cs="Times New Roman"/>
        </w:rPr>
        <w:lastRenderedPageBreak/>
        <w:t>https://www.cdc.gov/coronavirus/2019-ncov/lab/rt-pcr-panel-primer-probes.html. Accessed November 10</w:t>
      </w:r>
      <w:r w:rsidR="00082260">
        <w:rPr>
          <w:rFonts w:ascii="Times New Roman" w:hAnsi="Times New Roman" w:cs="Times New Roman"/>
        </w:rPr>
        <w:t>, 2022</w:t>
      </w:r>
      <w:r w:rsidRPr="000153D3">
        <w:rPr>
          <w:rFonts w:ascii="Times New Roman" w:hAnsi="Times New Roman" w:cs="Times New Roman"/>
        </w:rPr>
        <w:t>.</w:t>
      </w:r>
    </w:p>
    <w:p w14:paraId="7EF859DD" w14:textId="77777777" w:rsidR="00082260" w:rsidRDefault="00082260">
      <w:pPr>
        <w:spacing w:after="160" w:line="259" w:lineRule="auto"/>
        <w:rPr>
          <w:rFonts w:ascii="Times New Roman" w:hAnsi="Times New Roman" w:cs="Times New Roman"/>
        </w:rPr>
      </w:pPr>
      <w:r>
        <w:rPr>
          <w:rFonts w:ascii="Times New Roman" w:hAnsi="Times New Roman" w:cs="Times New Roman"/>
        </w:rPr>
        <w:br w:type="page"/>
      </w:r>
    </w:p>
    <w:p w14:paraId="6EAEB70C" w14:textId="2DAA7286" w:rsidR="00300A66" w:rsidRPr="00731EF7" w:rsidRDefault="00300A66" w:rsidP="00300A66">
      <w:pPr>
        <w:spacing w:line="480" w:lineRule="auto"/>
        <w:rPr>
          <w:rFonts w:ascii="Times New Roman" w:hAnsi="Times New Roman" w:cs="Times New Roman"/>
        </w:rPr>
      </w:pPr>
      <w:r>
        <w:rPr>
          <w:rFonts w:ascii="Times New Roman" w:hAnsi="Times New Roman" w:cs="Times New Roman"/>
        </w:rPr>
        <w:lastRenderedPageBreak/>
        <w:t>Supplemental Table 1</w:t>
      </w:r>
      <w:r w:rsidRPr="00731EF7">
        <w:rPr>
          <w:rFonts w:ascii="Times New Roman" w:hAnsi="Times New Roman" w:cs="Times New Roman"/>
        </w:rPr>
        <w:t>. Estimated RNA copies per 100 cm</w:t>
      </w:r>
      <w:r w:rsidRPr="00731EF7">
        <w:rPr>
          <w:rFonts w:ascii="Times New Roman" w:hAnsi="Times New Roman" w:cs="Times New Roman"/>
          <w:vertAlign w:val="superscript"/>
        </w:rPr>
        <w:t>2</w:t>
      </w:r>
      <w:r w:rsidRPr="00731EF7">
        <w:rPr>
          <w:rFonts w:ascii="Times New Roman" w:hAnsi="Times New Roman" w:cs="Times New Roman"/>
        </w:rPr>
        <w:t xml:space="preserve"> of swabbed surface area for each positive sample</w:t>
      </w:r>
      <w:r w:rsidR="000153D3">
        <w:rPr>
          <w:rFonts w:ascii="Times New Roman" w:hAnsi="Times New Roman" w:cs="Times New Roman"/>
        </w:rPr>
        <w:t>.</w:t>
      </w:r>
    </w:p>
    <w:tbl>
      <w:tblPr>
        <w:tblW w:w="9360" w:type="dxa"/>
        <w:tblBorders>
          <w:insideH w:val="single" w:sz="4" w:space="0" w:color="auto"/>
        </w:tblBorders>
        <w:tblLook w:val="04A0" w:firstRow="1" w:lastRow="0" w:firstColumn="1" w:lastColumn="0" w:noHBand="0" w:noVBand="1"/>
      </w:tblPr>
      <w:tblGrid>
        <w:gridCol w:w="1710"/>
        <w:gridCol w:w="1890"/>
        <w:gridCol w:w="2070"/>
        <w:gridCol w:w="2070"/>
        <w:gridCol w:w="1620"/>
      </w:tblGrid>
      <w:tr w:rsidR="00300A66" w:rsidRPr="008E55F8" w14:paraId="2D261BBB" w14:textId="77777777" w:rsidTr="00863EE5">
        <w:trPr>
          <w:trHeight w:val="500"/>
        </w:trPr>
        <w:tc>
          <w:tcPr>
            <w:tcW w:w="1710" w:type="dxa"/>
            <w:shd w:val="clear" w:color="auto" w:fill="auto"/>
            <w:noWrap/>
            <w:vAlign w:val="center"/>
            <w:hideMark/>
          </w:tcPr>
          <w:p w14:paraId="3FB131FC" w14:textId="77777777" w:rsidR="00300A66" w:rsidRPr="008E55F8" w:rsidRDefault="00300A66" w:rsidP="00863EE5">
            <w:pPr>
              <w:spacing w:line="480" w:lineRule="auto"/>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Surface</w:t>
            </w:r>
          </w:p>
        </w:tc>
        <w:tc>
          <w:tcPr>
            <w:tcW w:w="1890" w:type="dxa"/>
            <w:shd w:val="clear" w:color="auto" w:fill="auto"/>
            <w:noWrap/>
            <w:vAlign w:val="center"/>
            <w:hideMark/>
          </w:tcPr>
          <w:p w14:paraId="0BD7564F"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Patient COVID result</w:t>
            </w:r>
          </w:p>
        </w:tc>
        <w:tc>
          <w:tcPr>
            <w:tcW w:w="2070" w:type="dxa"/>
            <w:shd w:val="clear" w:color="auto" w:fill="auto"/>
            <w:noWrap/>
            <w:vAlign w:val="center"/>
            <w:hideMark/>
          </w:tcPr>
          <w:p w14:paraId="5F16CC4B"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Patient AGP* status</w:t>
            </w:r>
          </w:p>
        </w:tc>
        <w:tc>
          <w:tcPr>
            <w:tcW w:w="2070" w:type="dxa"/>
            <w:shd w:val="clear" w:color="auto" w:fill="auto"/>
            <w:noWrap/>
            <w:vAlign w:val="center"/>
            <w:hideMark/>
          </w:tcPr>
          <w:p w14:paraId="08A850E9"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RNA copies per 100 cm</w:t>
            </w:r>
            <w:r w:rsidRPr="008E55F8">
              <w:rPr>
                <w:rFonts w:ascii="Times New Roman" w:eastAsia="Times New Roman" w:hAnsi="Times New Roman" w:cs="Times New Roman"/>
                <w:b/>
                <w:bCs/>
                <w:color w:val="000000"/>
                <w:vertAlign w:val="superscript"/>
              </w:rPr>
              <w:t>2</w:t>
            </w:r>
          </w:p>
        </w:tc>
        <w:tc>
          <w:tcPr>
            <w:tcW w:w="1620" w:type="dxa"/>
          </w:tcPr>
          <w:p w14:paraId="3C34B131" w14:textId="77777777" w:rsidR="00300A66" w:rsidRDefault="00300A66" w:rsidP="00863EE5">
            <w:pPr>
              <w:spacing w:line="480" w:lineRule="auto"/>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 xml:space="preserve">RT-qPCR </w:t>
            </w:r>
          </w:p>
          <w:p w14:paraId="4C7E87A1" w14:textId="77777777" w:rsidR="00300A66" w:rsidRPr="008E55F8" w:rsidRDefault="00300A66" w:rsidP="00863EE5">
            <w:pPr>
              <w:spacing w:line="480" w:lineRule="auto"/>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C</w:t>
            </w:r>
            <w:r w:rsidRPr="008E55F8">
              <w:rPr>
                <w:rFonts w:ascii="Times New Roman" w:eastAsia="Times New Roman" w:hAnsi="Times New Roman" w:cs="Times New Roman"/>
                <w:b/>
                <w:bCs/>
                <w:color w:val="000000"/>
                <w:vertAlign w:val="subscript"/>
              </w:rPr>
              <w:t>t</w:t>
            </w:r>
            <w:r w:rsidRPr="008E55F8">
              <w:rPr>
                <w:rFonts w:ascii="Times New Roman" w:eastAsia="Times New Roman" w:hAnsi="Times New Roman" w:cs="Times New Roman"/>
                <w:b/>
                <w:bCs/>
                <w:color w:val="000000"/>
              </w:rPr>
              <w:t xml:space="preserve"> value</w:t>
            </w:r>
            <w:r>
              <w:rPr>
                <w:rFonts w:ascii="Times New Roman" w:eastAsia="Times New Roman" w:hAnsi="Times New Roman" w:cs="Times New Roman"/>
                <w:b/>
                <w:bCs/>
                <w:color w:val="000000"/>
              </w:rPr>
              <w:t>**</w:t>
            </w:r>
          </w:p>
        </w:tc>
      </w:tr>
      <w:tr w:rsidR="00300A66" w:rsidRPr="008E55F8" w14:paraId="6EBE3BA1" w14:textId="77777777" w:rsidTr="00863EE5">
        <w:trPr>
          <w:trHeight w:val="500"/>
        </w:trPr>
        <w:tc>
          <w:tcPr>
            <w:tcW w:w="1710" w:type="dxa"/>
            <w:shd w:val="clear" w:color="auto" w:fill="auto"/>
            <w:vAlign w:val="center"/>
          </w:tcPr>
          <w:p w14:paraId="2A02B285"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tcPr>
          <w:p w14:paraId="44876D23"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1A72A2DF"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tcPr>
          <w:p w14:paraId="3ADEFF9B"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686.6</w:t>
            </w:r>
          </w:p>
        </w:tc>
        <w:tc>
          <w:tcPr>
            <w:tcW w:w="1620" w:type="dxa"/>
            <w:vAlign w:val="center"/>
          </w:tcPr>
          <w:p w14:paraId="1800B8CC"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33.91</w:t>
            </w:r>
          </w:p>
        </w:tc>
      </w:tr>
      <w:tr w:rsidR="00300A66" w:rsidRPr="008E55F8" w14:paraId="2D7DA134" w14:textId="77777777" w:rsidTr="00863EE5">
        <w:trPr>
          <w:trHeight w:val="500"/>
        </w:trPr>
        <w:tc>
          <w:tcPr>
            <w:tcW w:w="1710" w:type="dxa"/>
            <w:shd w:val="clear" w:color="auto" w:fill="auto"/>
            <w:vAlign w:val="center"/>
          </w:tcPr>
          <w:p w14:paraId="1302814F"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Bedrail</w:t>
            </w:r>
          </w:p>
        </w:tc>
        <w:tc>
          <w:tcPr>
            <w:tcW w:w="1890" w:type="dxa"/>
            <w:shd w:val="clear" w:color="auto" w:fill="auto"/>
            <w:vAlign w:val="center"/>
          </w:tcPr>
          <w:p w14:paraId="622763E0"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 xml:space="preserve">Positive </w:t>
            </w:r>
            <w:r w:rsidRPr="008E55F8">
              <w:rPr>
                <w:rFonts w:ascii="Times New Roman" w:hAnsi="Times New Roman" w:cs="Times New Roman"/>
                <w:color w:val="000000"/>
                <w:shd w:val="clear" w:color="auto" w:fill="FFFFFF"/>
              </w:rPr>
              <w:t>‡</w:t>
            </w:r>
          </w:p>
        </w:tc>
        <w:tc>
          <w:tcPr>
            <w:tcW w:w="2070" w:type="dxa"/>
            <w:shd w:val="clear" w:color="C0C0C0" w:fill="FFFFFF"/>
            <w:noWrap/>
            <w:vAlign w:val="center"/>
          </w:tcPr>
          <w:p w14:paraId="1C2F80B6"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tcPr>
          <w:p w14:paraId="65699504"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538.1</w:t>
            </w:r>
          </w:p>
        </w:tc>
        <w:tc>
          <w:tcPr>
            <w:tcW w:w="1620" w:type="dxa"/>
            <w:vAlign w:val="center"/>
          </w:tcPr>
          <w:p w14:paraId="1E869E8F"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33.54</w:t>
            </w:r>
          </w:p>
        </w:tc>
      </w:tr>
      <w:tr w:rsidR="00300A66" w:rsidRPr="008E55F8" w14:paraId="36A3E6E5" w14:textId="77777777" w:rsidTr="00863EE5">
        <w:trPr>
          <w:trHeight w:val="500"/>
        </w:trPr>
        <w:tc>
          <w:tcPr>
            <w:tcW w:w="1710" w:type="dxa"/>
            <w:shd w:val="clear" w:color="auto" w:fill="auto"/>
            <w:vAlign w:val="center"/>
          </w:tcPr>
          <w:p w14:paraId="479E05C8"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Monitor</w:t>
            </w:r>
          </w:p>
        </w:tc>
        <w:tc>
          <w:tcPr>
            <w:tcW w:w="1890" w:type="dxa"/>
            <w:shd w:val="clear" w:color="auto" w:fill="auto"/>
            <w:vAlign w:val="center"/>
          </w:tcPr>
          <w:p w14:paraId="1450A4D9"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74D0CE7A"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tcPr>
          <w:p w14:paraId="098E20A0"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504.7</w:t>
            </w:r>
          </w:p>
        </w:tc>
        <w:tc>
          <w:tcPr>
            <w:tcW w:w="1620" w:type="dxa"/>
            <w:vAlign w:val="center"/>
          </w:tcPr>
          <w:p w14:paraId="2C8648CF"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33.07</w:t>
            </w:r>
          </w:p>
        </w:tc>
      </w:tr>
      <w:tr w:rsidR="00300A66" w:rsidRPr="008E55F8" w14:paraId="14424001" w14:textId="77777777" w:rsidTr="00863EE5">
        <w:trPr>
          <w:trHeight w:val="500"/>
        </w:trPr>
        <w:tc>
          <w:tcPr>
            <w:tcW w:w="1710" w:type="dxa"/>
            <w:shd w:val="clear" w:color="auto" w:fill="auto"/>
            <w:vAlign w:val="center"/>
            <w:hideMark/>
          </w:tcPr>
          <w:p w14:paraId="48DDB3C9"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hideMark/>
          </w:tcPr>
          <w:p w14:paraId="7C4702A1"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hideMark/>
          </w:tcPr>
          <w:p w14:paraId="4B3CC7CF"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hideMark/>
          </w:tcPr>
          <w:p w14:paraId="75CA2AA2"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163.6</w:t>
            </w:r>
          </w:p>
        </w:tc>
        <w:tc>
          <w:tcPr>
            <w:tcW w:w="1620" w:type="dxa"/>
            <w:vAlign w:val="center"/>
          </w:tcPr>
          <w:p w14:paraId="67D29245"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35.86</w:t>
            </w:r>
          </w:p>
        </w:tc>
      </w:tr>
      <w:tr w:rsidR="00300A66" w:rsidRPr="008E55F8" w14:paraId="22325368" w14:textId="77777777" w:rsidTr="00863EE5">
        <w:trPr>
          <w:trHeight w:val="500"/>
        </w:trPr>
        <w:tc>
          <w:tcPr>
            <w:tcW w:w="1710" w:type="dxa"/>
            <w:shd w:val="clear" w:color="auto" w:fill="auto"/>
            <w:vAlign w:val="center"/>
          </w:tcPr>
          <w:p w14:paraId="4C9E1F29"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Monitor</w:t>
            </w:r>
          </w:p>
        </w:tc>
        <w:tc>
          <w:tcPr>
            <w:tcW w:w="1890" w:type="dxa"/>
            <w:shd w:val="clear" w:color="auto" w:fill="auto"/>
            <w:vAlign w:val="center"/>
          </w:tcPr>
          <w:p w14:paraId="691E3598"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46FAEFEB"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23D2F333"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147.9</w:t>
            </w:r>
          </w:p>
        </w:tc>
        <w:tc>
          <w:tcPr>
            <w:tcW w:w="1620" w:type="dxa"/>
            <w:vAlign w:val="center"/>
          </w:tcPr>
          <w:p w14:paraId="6EC8A36C"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34.76</w:t>
            </w:r>
          </w:p>
        </w:tc>
      </w:tr>
      <w:tr w:rsidR="00300A66" w:rsidRPr="008E55F8" w14:paraId="17F9A4DC" w14:textId="77777777" w:rsidTr="00863EE5">
        <w:trPr>
          <w:trHeight w:val="500"/>
        </w:trPr>
        <w:tc>
          <w:tcPr>
            <w:tcW w:w="1710" w:type="dxa"/>
            <w:shd w:val="clear" w:color="auto" w:fill="auto"/>
            <w:vAlign w:val="center"/>
            <w:hideMark/>
          </w:tcPr>
          <w:p w14:paraId="7FB68948"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 xml:space="preserve">Bedrail </w:t>
            </w:r>
            <w:r w:rsidRPr="008E55F8">
              <w:rPr>
                <w:rFonts w:ascii="Times New Roman" w:hAnsi="Times New Roman" w:cs="Times New Roman"/>
                <w:color w:val="000000"/>
                <w:shd w:val="clear" w:color="auto" w:fill="FFFFFF"/>
              </w:rPr>
              <w:t>†</w:t>
            </w:r>
          </w:p>
        </w:tc>
        <w:tc>
          <w:tcPr>
            <w:tcW w:w="1890" w:type="dxa"/>
            <w:shd w:val="clear" w:color="auto" w:fill="auto"/>
            <w:vAlign w:val="center"/>
            <w:hideMark/>
          </w:tcPr>
          <w:p w14:paraId="18BD7A75"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auto" w:fill="auto"/>
            <w:noWrap/>
            <w:vAlign w:val="center"/>
            <w:hideMark/>
          </w:tcPr>
          <w:p w14:paraId="380F922D"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hideMark/>
          </w:tcPr>
          <w:p w14:paraId="4867A09D"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114.5</w:t>
            </w:r>
          </w:p>
        </w:tc>
        <w:tc>
          <w:tcPr>
            <w:tcW w:w="1620" w:type="dxa"/>
            <w:vAlign w:val="center"/>
          </w:tcPr>
          <w:p w14:paraId="4A897FD3"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35.67</w:t>
            </w:r>
          </w:p>
        </w:tc>
      </w:tr>
      <w:tr w:rsidR="00300A66" w:rsidRPr="008E55F8" w14:paraId="1B216ADC" w14:textId="77777777" w:rsidTr="00863EE5">
        <w:trPr>
          <w:trHeight w:val="500"/>
        </w:trPr>
        <w:tc>
          <w:tcPr>
            <w:tcW w:w="1710" w:type="dxa"/>
            <w:shd w:val="clear" w:color="auto" w:fill="auto"/>
            <w:vAlign w:val="center"/>
            <w:hideMark/>
          </w:tcPr>
          <w:p w14:paraId="5F365247"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hideMark/>
          </w:tcPr>
          <w:p w14:paraId="41FF5D23"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hideMark/>
          </w:tcPr>
          <w:p w14:paraId="7CA4DE67"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hideMark/>
          </w:tcPr>
          <w:p w14:paraId="5BF51BB0"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77.8</w:t>
            </w:r>
          </w:p>
        </w:tc>
        <w:tc>
          <w:tcPr>
            <w:tcW w:w="1620" w:type="dxa"/>
            <w:vAlign w:val="center"/>
          </w:tcPr>
          <w:p w14:paraId="65341BF5"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37.47</w:t>
            </w:r>
          </w:p>
        </w:tc>
      </w:tr>
      <w:tr w:rsidR="00300A66" w:rsidRPr="008E55F8" w14:paraId="081CFACA" w14:textId="77777777" w:rsidTr="00863EE5">
        <w:trPr>
          <w:trHeight w:val="500"/>
        </w:trPr>
        <w:tc>
          <w:tcPr>
            <w:tcW w:w="1710" w:type="dxa"/>
            <w:shd w:val="clear" w:color="auto" w:fill="auto"/>
            <w:vAlign w:val="center"/>
          </w:tcPr>
          <w:p w14:paraId="6C0D4021"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Bedrail</w:t>
            </w:r>
          </w:p>
        </w:tc>
        <w:tc>
          <w:tcPr>
            <w:tcW w:w="1890" w:type="dxa"/>
            <w:shd w:val="clear" w:color="auto" w:fill="auto"/>
            <w:vAlign w:val="center"/>
          </w:tcPr>
          <w:p w14:paraId="53621365"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748EE89F"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297F2149"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73.9</w:t>
            </w:r>
          </w:p>
        </w:tc>
        <w:tc>
          <w:tcPr>
            <w:tcW w:w="1620" w:type="dxa"/>
            <w:vAlign w:val="center"/>
          </w:tcPr>
          <w:p w14:paraId="0D2CBB60"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37.1</w:t>
            </w:r>
          </w:p>
        </w:tc>
      </w:tr>
      <w:tr w:rsidR="00300A66" w:rsidRPr="008E55F8" w14:paraId="405B97FF" w14:textId="77777777" w:rsidTr="00863EE5">
        <w:trPr>
          <w:trHeight w:val="500"/>
        </w:trPr>
        <w:tc>
          <w:tcPr>
            <w:tcW w:w="1710" w:type="dxa"/>
            <w:shd w:val="clear" w:color="auto" w:fill="auto"/>
            <w:vAlign w:val="center"/>
          </w:tcPr>
          <w:p w14:paraId="5ACDD19A"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tcPr>
          <w:p w14:paraId="24EEDFF5"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7B1279C4"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tcPr>
          <w:p w14:paraId="0ED64426"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71.7</w:t>
            </w:r>
          </w:p>
        </w:tc>
        <w:tc>
          <w:tcPr>
            <w:tcW w:w="1620" w:type="dxa"/>
            <w:vAlign w:val="center"/>
          </w:tcPr>
          <w:p w14:paraId="4D0127AB"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37.59</w:t>
            </w:r>
          </w:p>
        </w:tc>
      </w:tr>
      <w:tr w:rsidR="00300A66" w:rsidRPr="008E55F8" w14:paraId="799BE949" w14:textId="77777777" w:rsidTr="00863EE5">
        <w:trPr>
          <w:trHeight w:val="500"/>
        </w:trPr>
        <w:tc>
          <w:tcPr>
            <w:tcW w:w="1710" w:type="dxa"/>
            <w:shd w:val="clear" w:color="auto" w:fill="auto"/>
            <w:vAlign w:val="center"/>
            <w:hideMark/>
          </w:tcPr>
          <w:p w14:paraId="14E2F96A"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Equipment</w:t>
            </w:r>
          </w:p>
        </w:tc>
        <w:tc>
          <w:tcPr>
            <w:tcW w:w="1890" w:type="dxa"/>
            <w:shd w:val="clear" w:color="auto" w:fill="auto"/>
            <w:vAlign w:val="center"/>
            <w:hideMark/>
          </w:tcPr>
          <w:p w14:paraId="628720F0"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hideMark/>
          </w:tcPr>
          <w:p w14:paraId="75077153"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hideMark/>
          </w:tcPr>
          <w:p w14:paraId="39936AB3"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64.8</w:t>
            </w:r>
          </w:p>
        </w:tc>
        <w:tc>
          <w:tcPr>
            <w:tcW w:w="1620" w:type="dxa"/>
            <w:vAlign w:val="center"/>
          </w:tcPr>
          <w:p w14:paraId="67711E15"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36.85</w:t>
            </w:r>
          </w:p>
        </w:tc>
      </w:tr>
      <w:tr w:rsidR="00300A66" w:rsidRPr="008E55F8" w14:paraId="0B2EAA2E" w14:textId="77777777" w:rsidTr="00863EE5">
        <w:trPr>
          <w:trHeight w:val="500"/>
        </w:trPr>
        <w:tc>
          <w:tcPr>
            <w:tcW w:w="1710" w:type="dxa"/>
            <w:shd w:val="clear" w:color="auto" w:fill="auto"/>
            <w:vAlign w:val="center"/>
          </w:tcPr>
          <w:p w14:paraId="6D5197AB"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Bedrail</w:t>
            </w:r>
          </w:p>
        </w:tc>
        <w:tc>
          <w:tcPr>
            <w:tcW w:w="1890" w:type="dxa"/>
            <w:shd w:val="clear" w:color="auto" w:fill="auto"/>
            <w:vAlign w:val="center"/>
          </w:tcPr>
          <w:p w14:paraId="6E346897"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6B9D513A"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0D421F53"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59.0</w:t>
            </w:r>
          </w:p>
        </w:tc>
        <w:tc>
          <w:tcPr>
            <w:tcW w:w="1620" w:type="dxa"/>
            <w:vAlign w:val="center"/>
          </w:tcPr>
          <w:p w14:paraId="3CB8735E"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38.34</w:t>
            </w:r>
          </w:p>
        </w:tc>
      </w:tr>
      <w:tr w:rsidR="00300A66" w:rsidRPr="008E55F8" w14:paraId="2EA51C8B" w14:textId="77777777" w:rsidTr="00863EE5">
        <w:trPr>
          <w:trHeight w:val="500"/>
        </w:trPr>
        <w:tc>
          <w:tcPr>
            <w:tcW w:w="1710" w:type="dxa"/>
            <w:shd w:val="clear" w:color="auto" w:fill="auto"/>
            <w:vAlign w:val="center"/>
            <w:hideMark/>
          </w:tcPr>
          <w:p w14:paraId="18434FB3"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hideMark/>
          </w:tcPr>
          <w:p w14:paraId="69554736"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hideMark/>
          </w:tcPr>
          <w:p w14:paraId="0799E3DF"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hideMark/>
          </w:tcPr>
          <w:p w14:paraId="35C7A227"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50.8</w:t>
            </w:r>
          </w:p>
        </w:tc>
        <w:tc>
          <w:tcPr>
            <w:tcW w:w="1620" w:type="dxa"/>
            <w:vAlign w:val="center"/>
          </w:tcPr>
          <w:p w14:paraId="46A4783A"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36.54</w:t>
            </w:r>
          </w:p>
        </w:tc>
      </w:tr>
      <w:tr w:rsidR="00300A66" w:rsidRPr="008E55F8" w14:paraId="5779F3DF" w14:textId="77777777" w:rsidTr="00863EE5">
        <w:trPr>
          <w:trHeight w:val="500"/>
        </w:trPr>
        <w:tc>
          <w:tcPr>
            <w:tcW w:w="1710" w:type="dxa"/>
            <w:shd w:val="clear" w:color="auto" w:fill="auto"/>
            <w:vAlign w:val="center"/>
          </w:tcPr>
          <w:p w14:paraId="0F44C150"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Procedure light</w:t>
            </w:r>
          </w:p>
        </w:tc>
        <w:tc>
          <w:tcPr>
            <w:tcW w:w="1890" w:type="dxa"/>
            <w:shd w:val="clear" w:color="auto" w:fill="auto"/>
            <w:vAlign w:val="center"/>
          </w:tcPr>
          <w:p w14:paraId="5BB8D21C"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tcPr>
          <w:p w14:paraId="5C6150EA"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1C6A0B8F"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50.1</w:t>
            </w:r>
          </w:p>
        </w:tc>
        <w:tc>
          <w:tcPr>
            <w:tcW w:w="1620" w:type="dxa"/>
            <w:vAlign w:val="center"/>
          </w:tcPr>
          <w:p w14:paraId="2B4A2BAA"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36.00</w:t>
            </w:r>
          </w:p>
        </w:tc>
      </w:tr>
      <w:tr w:rsidR="00300A66" w:rsidRPr="008E55F8" w14:paraId="744E6C37" w14:textId="77777777" w:rsidTr="00863EE5">
        <w:trPr>
          <w:trHeight w:val="500"/>
        </w:trPr>
        <w:tc>
          <w:tcPr>
            <w:tcW w:w="1710" w:type="dxa"/>
            <w:shd w:val="clear" w:color="auto" w:fill="auto"/>
            <w:vAlign w:val="center"/>
          </w:tcPr>
          <w:p w14:paraId="7C8D870D"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Equipment</w:t>
            </w:r>
          </w:p>
        </w:tc>
        <w:tc>
          <w:tcPr>
            <w:tcW w:w="1890" w:type="dxa"/>
            <w:shd w:val="clear" w:color="auto" w:fill="auto"/>
            <w:vAlign w:val="center"/>
          </w:tcPr>
          <w:p w14:paraId="5C830425"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tcPr>
          <w:p w14:paraId="2942D430"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03D2F9A0"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46.8</w:t>
            </w:r>
          </w:p>
        </w:tc>
        <w:tc>
          <w:tcPr>
            <w:tcW w:w="1620" w:type="dxa"/>
            <w:vAlign w:val="center"/>
          </w:tcPr>
          <w:p w14:paraId="4FBF2DD7"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36.65</w:t>
            </w:r>
          </w:p>
        </w:tc>
      </w:tr>
      <w:tr w:rsidR="00300A66" w:rsidRPr="008E55F8" w14:paraId="5C680413" w14:textId="77777777" w:rsidTr="00863EE5">
        <w:trPr>
          <w:trHeight w:val="500"/>
        </w:trPr>
        <w:tc>
          <w:tcPr>
            <w:tcW w:w="1710" w:type="dxa"/>
            <w:shd w:val="clear" w:color="auto" w:fill="auto"/>
            <w:vAlign w:val="center"/>
          </w:tcPr>
          <w:p w14:paraId="7F9A7562"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Door</w:t>
            </w:r>
          </w:p>
        </w:tc>
        <w:tc>
          <w:tcPr>
            <w:tcW w:w="1890" w:type="dxa"/>
            <w:shd w:val="clear" w:color="auto" w:fill="auto"/>
            <w:vAlign w:val="center"/>
          </w:tcPr>
          <w:p w14:paraId="63963719"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tcPr>
          <w:p w14:paraId="14CC95B9"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0798934E"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39.4</w:t>
            </w:r>
          </w:p>
        </w:tc>
        <w:tc>
          <w:tcPr>
            <w:tcW w:w="1620" w:type="dxa"/>
            <w:vAlign w:val="center"/>
          </w:tcPr>
          <w:p w14:paraId="0357DA8D"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39.1</w:t>
            </w:r>
          </w:p>
        </w:tc>
      </w:tr>
      <w:tr w:rsidR="00300A66" w:rsidRPr="008E55F8" w14:paraId="0295DA66" w14:textId="77777777" w:rsidTr="00863EE5">
        <w:trPr>
          <w:trHeight w:val="500"/>
        </w:trPr>
        <w:tc>
          <w:tcPr>
            <w:tcW w:w="1710" w:type="dxa"/>
            <w:shd w:val="clear" w:color="auto" w:fill="auto"/>
            <w:vAlign w:val="center"/>
            <w:hideMark/>
          </w:tcPr>
          <w:p w14:paraId="1D71373A"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Monitor</w:t>
            </w:r>
          </w:p>
        </w:tc>
        <w:tc>
          <w:tcPr>
            <w:tcW w:w="1890" w:type="dxa"/>
            <w:shd w:val="clear" w:color="auto" w:fill="auto"/>
            <w:vAlign w:val="center"/>
            <w:hideMark/>
          </w:tcPr>
          <w:p w14:paraId="1B607C3F"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hideMark/>
          </w:tcPr>
          <w:p w14:paraId="5F8B3DFF"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hideMark/>
          </w:tcPr>
          <w:p w14:paraId="7BD659EB"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37.2</w:t>
            </w:r>
          </w:p>
        </w:tc>
        <w:tc>
          <w:tcPr>
            <w:tcW w:w="1620" w:type="dxa"/>
            <w:vAlign w:val="center"/>
          </w:tcPr>
          <w:p w14:paraId="694476FE"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38.49</w:t>
            </w:r>
          </w:p>
        </w:tc>
      </w:tr>
      <w:tr w:rsidR="00300A66" w:rsidRPr="008E55F8" w14:paraId="64ADE0E7" w14:textId="77777777" w:rsidTr="00863EE5">
        <w:trPr>
          <w:trHeight w:val="500"/>
        </w:trPr>
        <w:tc>
          <w:tcPr>
            <w:tcW w:w="1710" w:type="dxa"/>
            <w:shd w:val="clear" w:color="auto" w:fill="auto"/>
            <w:vAlign w:val="center"/>
          </w:tcPr>
          <w:p w14:paraId="49E832A7"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tcPr>
          <w:p w14:paraId="6BEC01F7"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581454A5"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tcPr>
          <w:p w14:paraId="1F0017C8"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36.6</w:t>
            </w:r>
          </w:p>
        </w:tc>
        <w:tc>
          <w:tcPr>
            <w:tcW w:w="1620" w:type="dxa"/>
            <w:vAlign w:val="center"/>
          </w:tcPr>
          <w:p w14:paraId="619D2554"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36.99</w:t>
            </w:r>
          </w:p>
        </w:tc>
      </w:tr>
      <w:tr w:rsidR="00300A66" w:rsidRPr="008E55F8" w14:paraId="00FEC96A" w14:textId="77777777" w:rsidTr="00863EE5">
        <w:trPr>
          <w:trHeight w:val="500"/>
        </w:trPr>
        <w:tc>
          <w:tcPr>
            <w:tcW w:w="1710" w:type="dxa"/>
            <w:shd w:val="clear" w:color="auto" w:fill="auto"/>
            <w:vAlign w:val="center"/>
          </w:tcPr>
          <w:p w14:paraId="7D99F281"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Door</w:t>
            </w:r>
          </w:p>
        </w:tc>
        <w:tc>
          <w:tcPr>
            <w:tcW w:w="1890" w:type="dxa"/>
            <w:shd w:val="clear" w:color="auto" w:fill="auto"/>
            <w:vAlign w:val="center"/>
          </w:tcPr>
          <w:p w14:paraId="15F930FB"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13D8D93D"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tcPr>
          <w:p w14:paraId="0112BAA7"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36.1</w:t>
            </w:r>
          </w:p>
        </w:tc>
        <w:tc>
          <w:tcPr>
            <w:tcW w:w="1620" w:type="dxa"/>
            <w:vAlign w:val="center"/>
          </w:tcPr>
          <w:p w14:paraId="468F42B4"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38.21</w:t>
            </w:r>
          </w:p>
        </w:tc>
      </w:tr>
      <w:tr w:rsidR="00300A66" w:rsidRPr="008E55F8" w14:paraId="27B3A6D7" w14:textId="77777777" w:rsidTr="00863EE5">
        <w:trPr>
          <w:trHeight w:val="500"/>
        </w:trPr>
        <w:tc>
          <w:tcPr>
            <w:tcW w:w="1710" w:type="dxa"/>
            <w:shd w:val="clear" w:color="auto" w:fill="auto"/>
            <w:vAlign w:val="center"/>
            <w:hideMark/>
          </w:tcPr>
          <w:p w14:paraId="4981942A"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Door</w:t>
            </w:r>
          </w:p>
        </w:tc>
        <w:tc>
          <w:tcPr>
            <w:tcW w:w="1890" w:type="dxa"/>
            <w:shd w:val="clear" w:color="auto" w:fill="auto"/>
            <w:vAlign w:val="center"/>
            <w:hideMark/>
          </w:tcPr>
          <w:p w14:paraId="0B1DF2FE"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hideMark/>
          </w:tcPr>
          <w:p w14:paraId="16FFB026"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hideMark/>
          </w:tcPr>
          <w:p w14:paraId="6A156C48"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32.3</w:t>
            </w:r>
          </w:p>
        </w:tc>
        <w:tc>
          <w:tcPr>
            <w:tcW w:w="1620" w:type="dxa"/>
            <w:vAlign w:val="center"/>
          </w:tcPr>
          <w:p w14:paraId="52E7F520"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37.63</w:t>
            </w:r>
          </w:p>
        </w:tc>
      </w:tr>
      <w:tr w:rsidR="00300A66" w:rsidRPr="008E55F8" w14:paraId="3AD9BAA4" w14:textId="77777777" w:rsidTr="00863EE5">
        <w:trPr>
          <w:trHeight w:val="500"/>
        </w:trPr>
        <w:tc>
          <w:tcPr>
            <w:tcW w:w="1710" w:type="dxa"/>
            <w:shd w:val="clear" w:color="auto" w:fill="auto"/>
            <w:vAlign w:val="center"/>
          </w:tcPr>
          <w:p w14:paraId="32145442"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lastRenderedPageBreak/>
              <w:t>Vent</w:t>
            </w:r>
          </w:p>
        </w:tc>
        <w:tc>
          <w:tcPr>
            <w:tcW w:w="1890" w:type="dxa"/>
            <w:shd w:val="clear" w:color="auto" w:fill="auto"/>
            <w:vAlign w:val="center"/>
          </w:tcPr>
          <w:p w14:paraId="50F12CC3"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4F4F04F0"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tcPr>
          <w:p w14:paraId="257D4BB2"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28.6</w:t>
            </w:r>
          </w:p>
        </w:tc>
        <w:tc>
          <w:tcPr>
            <w:tcW w:w="1620" w:type="dxa"/>
            <w:vAlign w:val="center"/>
          </w:tcPr>
          <w:p w14:paraId="52CDC3B4"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37.33</w:t>
            </w:r>
          </w:p>
        </w:tc>
      </w:tr>
      <w:tr w:rsidR="00300A66" w:rsidRPr="008E55F8" w14:paraId="04D1B994" w14:textId="77777777" w:rsidTr="00863EE5">
        <w:trPr>
          <w:trHeight w:val="500"/>
        </w:trPr>
        <w:tc>
          <w:tcPr>
            <w:tcW w:w="1710" w:type="dxa"/>
            <w:shd w:val="clear" w:color="auto" w:fill="auto"/>
            <w:vAlign w:val="center"/>
          </w:tcPr>
          <w:p w14:paraId="4DD9EEC8"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Equipment</w:t>
            </w:r>
          </w:p>
        </w:tc>
        <w:tc>
          <w:tcPr>
            <w:tcW w:w="1890" w:type="dxa"/>
            <w:shd w:val="clear" w:color="auto" w:fill="auto"/>
            <w:vAlign w:val="center"/>
          </w:tcPr>
          <w:p w14:paraId="3CAA5A41"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tcPr>
          <w:p w14:paraId="6E554328"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57FE43AD"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25.8</w:t>
            </w:r>
          </w:p>
        </w:tc>
        <w:tc>
          <w:tcPr>
            <w:tcW w:w="1620" w:type="dxa"/>
            <w:vAlign w:val="center"/>
          </w:tcPr>
          <w:p w14:paraId="50771E49"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39.28</w:t>
            </w:r>
          </w:p>
        </w:tc>
      </w:tr>
      <w:tr w:rsidR="00300A66" w:rsidRPr="008E55F8" w14:paraId="165C5FD8" w14:textId="77777777" w:rsidTr="00863EE5">
        <w:trPr>
          <w:trHeight w:val="500"/>
        </w:trPr>
        <w:tc>
          <w:tcPr>
            <w:tcW w:w="1710" w:type="dxa"/>
            <w:shd w:val="clear" w:color="auto" w:fill="auto"/>
            <w:vAlign w:val="center"/>
            <w:hideMark/>
          </w:tcPr>
          <w:p w14:paraId="7CC91B2F"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hideMark/>
          </w:tcPr>
          <w:p w14:paraId="4A24D1A9"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hideMark/>
          </w:tcPr>
          <w:p w14:paraId="018C1657"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hideMark/>
          </w:tcPr>
          <w:p w14:paraId="7641C831"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22.3</w:t>
            </w:r>
          </w:p>
        </w:tc>
        <w:tc>
          <w:tcPr>
            <w:tcW w:w="1620" w:type="dxa"/>
            <w:vAlign w:val="center"/>
          </w:tcPr>
          <w:p w14:paraId="54A9EFAB"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39.48</w:t>
            </w:r>
          </w:p>
        </w:tc>
      </w:tr>
      <w:tr w:rsidR="00300A66" w:rsidRPr="008E55F8" w14:paraId="08E5E366" w14:textId="77777777" w:rsidTr="00863EE5">
        <w:trPr>
          <w:trHeight w:val="500"/>
        </w:trPr>
        <w:tc>
          <w:tcPr>
            <w:tcW w:w="1710" w:type="dxa"/>
            <w:shd w:val="clear" w:color="auto" w:fill="auto"/>
            <w:vAlign w:val="center"/>
          </w:tcPr>
          <w:p w14:paraId="70D5AA72"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Monitor</w:t>
            </w:r>
          </w:p>
        </w:tc>
        <w:tc>
          <w:tcPr>
            <w:tcW w:w="1890" w:type="dxa"/>
            <w:shd w:val="clear" w:color="auto" w:fill="auto"/>
            <w:vAlign w:val="center"/>
          </w:tcPr>
          <w:p w14:paraId="4FF8D478"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tcPr>
          <w:p w14:paraId="17FBDF94"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34BCFE64"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22.2</w:t>
            </w:r>
          </w:p>
        </w:tc>
        <w:tc>
          <w:tcPr>
            <w:tcW w:w="1620" w:type="dxa"/>
            <w:vAlign w:val="center"/>
          </w:tcPr>
          <w:p w14:paraId="5178230F"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39.19</w:t>
            </w:r>
          </w:p>
        </w:tc>
      </w:tr>
      <w:tr w:rsidR="00300A66" w:rsidRPr="008E55F8" w14:paraId="0BA3A69B" w14:textId="77777777" w:rsidTr="00863EE5">
        <w:trPr>
          <w:trHeight w:val="500"/>
        </w:trPr>
        <w:tc>
          <w:tcPr>
            <w:tcW w:w="1710" w:type="dxa"/>
            <w:shd w:val="clear" w:color="auto" w:fill="auto"/>
            <w:vAlign w:val="center"/>
          </w:tcPr>
          <w:p w14:paraId="76517793"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Bedrail</w:t>
            </w:r>
          </w:p>
        </w:tc>
        <w:tc>
          <w:tcPr>
            <w:tcW w:w="1890" w:type="dxa"/>
            <w:shd w:val="clear" w:color="auto" w:fill="auto"/>
            <w:vAlign w:val="center"/>
          </w:tcPr>
          <w:p w14:paraId="2E653319"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tcPr>
          <w:p w14:paraId="7B6600BF"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1337A835"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18.2</w:t>
            </w:r>
          </w:p>
        </w:tc>
        <w:tc>
          <w:tcPr>
            <w:tcW w:w="1620" w:type="dxa"/>
            <w:vAlign w:val="center"/>
          </w:tcPr>
          <w:p w14:paraId="593CC6CE"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39.2</w:t>
            </w:r>
          </w:p>
        </w:tc>
      </w:tr>
      <w:tr w:rsidR="00300A66" w:rsidRPr="008E55F8" w14:paraId="3F071EFC" w14:textId="77777777" w:rsidTr="00863EE5">
        <w:trPr>
          <w:trHeight w:val="500"/>
        </w:trPr>
        <w:tc>
          <w:tcPr>
            <w:tcW w:w="1710" w:type="dxa"/>
            <w:shd w:val="clear" w:color="auto" w:fill="auto"/>
            <w:vAlign w:val="center"/>
          </w:tcPr>
          <w:p w14:paraId="203B2CA7"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Equipment</w:t>
            </w:r>
          </w:p>
        </w:tc>
        <w:tc>
          <w:tcPr>
            <w:tcW w:w="1890" w:type="dxa"/>
            <w:shd w:val="clear" w:color="auto" w:fill="auto"/>
            <w:vAlign w:val="center"/>
          </w:tcPr>
          <w:p w14:paraId="192CB9D1"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tcPr>
          <w:p w14:paraId="63E154C6"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567E2591"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15.9</w:t>
            </w:r>
          </w:p>
        </w:tc>
        <w:tc>
          <w:tcPr>
            <w:tcW w:w="1620" w:type="dxa"/>
            <w:vAlign w:val="center"/>
          </w:tcPr>
          <w:p w14:paraId="40740C42"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39.65</w:t>
            </w:r>
          </w:p>
        </w:tc>
      </w:tr>
      <w:tr w:rsidR="00300A66" w:rsidRPr="008E55F8" w14:paraId="3AAB2864" w14:textId="77777777" w:rsidTr="00863EE5">
        <w:trPr>
          <w:trHeight w:val="500"/>
        </w:trPr>
        <w:tc>
          <w:tcPr>
            <w:tcW w:w="1710" w:type="dxa"/>
            <w:shd w:val="clear" w:color="auto" w:fill="auto"/>
            <w:vAlign w:val="center"/>
          </w:tcPr>
          <w:p w14:paraId="0F3C8FAD"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tcPr>
          <w:p w14:paraId="2160A96E"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1450A2AD"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tcPr>
          <w:p w14:paraId="747D85C9"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14.9</w:t>
            </w:r>
          </w:p>
        </w:tc>
        <w:tc>
          <w:tcPr>
            <w:tcW w:w="1620" w:type="dxa"/>
            <w:vAlign w:val="center"/>
          </w:tcPr>
          <w:p w14:paraId="0E82600A"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38.23</w:t>
            </w:r>
          </w:p>
        </w:tc>
      </w:tr>
      <w:tr w:rsidR="00300A66" w:rsidRPr="008E55F8" w14:paraId="2E9FD1D9" w14:textId="77777777" w:rsidTr="00863EE5">
        <w:trPr>
          <w:trHeight w:val="500"/>
        </w:trPr>
        <w:tc>
          <w:tcPr>
            <w:tcW w:w="1710" w:type="dxa"/>
            <w:shd w:val="clear" w:color="auto" w:fill="auto"/>
            <w:vAlign w:val="center"/>
          </w:tcPr>
          <w:p w14:paraId="5339461D"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Bedrail</w:t>
            </w:r>
          </w:p>
        </w:tc>
        <w:tc>
          <w:tcPr>
            <w:tcW w:w="1890" w:type="dxa"/>
            <w:shd w:val="clear" w:color="auto" w:fill="auto"/>
            <w:vAlign w:val="center"/>
          </w:tcPr>
          <w:p w14:paraId="5743B2CE"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5B2F74BB"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tcPr>
          <w:p w14:paraId="469E195A"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13.5</w:t>
            </w:r>
          </w:p>
        </w:tc>
        <w:tc>
          <w:tcPr>
            <w:tcW w:w="1620" w:type="dxa"/>
            <w:vAlign w:val="center"/>
          </w:tcPr>
          <w:p w14:paraId="3A3F6F5B"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38.61</w:t>
            </w:r>
          </w:p>
        </w:tc>
      </w:tr>
      <w:tr w:rsidR="00300A66" w:rsidRPr="008E55F8" w14:paraId="5CF2B9B9" w14:textId="77777777" w:rsidTr="00863EE5">
        <w:trPr>
          <w:trHeight w:val="500"/>
        </w:trPr>
        <w:tc>
          <w:tcPr>
            <w:tcW w:w="1710" w:type="dxa"/>
            <w:shd w:val="clear" w:color="auto" w:fill="auto"/>
            <w:vAlign w:val="center"/>
          </w:tcPr>
          <w:p w14:paraId="444238DD"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Bedrail</w:t>
            </w:r>
          </w:p>
        </w:tc>
        <w:tc>
          <w:tcPr>
            <w:tcW w:w="1890" w:type="dxa"/>
            <w:shd w:val="clear" w:color="auto" w:fill="auto"/>
            <w:vAlign w:val="center"/>
          </w:tcPr>
          <w:p w14:paraId="3B8C579E"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120A205E"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tcPr>
          <w:p w14:paraId="29887311"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12.8</w:t>
            </w:r>
          </w:p>
        </w:tc>
        <w:tc>
          <w:tcPr>
            <w:tcW w:w="1620" w:type="dxa"/>
            <w:vAlign w:val="center"/>
          </w:tcPr>
          <w:p w14:paraId="72B32080"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38.68</w:t>
            </w:r>
          </w:p>
        </w:tc>
      </w:tr>
      <w:tr w:rsidR="00300A66" w:rsidRPr="008E55F8" w14:paraId="04B38F7C" w14:textId="77777777" w:rsidTr="00863EE5">
        <w:trPr>
          <w:trHeight w:val="500"/>
        </w:trPr>
        <w:tc>
          <w:tcPr>
            <w:tcW w:w="1710" w:type="dxa"/>
            <w:shd w:val="clear" w:color="auto" w:fill="auto"/>
            <w:vAlign w:val="center"/>
          </w:tcPr>
          <w:p w14:paraId="66CBC559"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Procedure light</w:t>
            </w:r>
          </w:p>
        </w:tc>
        <w:tc>
          <w:tcPr>
            <w:tcW w:w="1890" w:type="dxa"/>
            <w:shd w:val="clear" w:color="auto" w:fill="auto"/>
            <w:vAlign w:val="center"/>
          </w:tcPr>
          <w:p w14:paraId="325ECAB0"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tcPr>
          <w:p w14:paraId="7992963B"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079A3C8A"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11.9</w:t>
            </w:r>
          </w:p>
        </w:tc>
        <w:tc>
          <w:tcPr>
            <w:tcW w:w="1620" w:type="dxa"/>
            <w:vAlign w:val="center"/>
          </w:tcPr>
          <w:p w14:paraId="43112B36" w14:textId="77777777" w:rsidR="00300A66" w:rsidRPr="008E55F8" w:rsidRDefault="00300A66" w:rsidP="00863EE5">
            <w:pPr>
              <w:spacing w:line="480" w:lineRule="auto"/>
              <w:rPr>
                <w:rFonts w:ascii="Times New Roman" w:hAnsi="Times New Roman" w:cs="Times New Roman"/>
                <w:color w:val="000000"/>
              </w:rPr>
            </w:pPr>
            <w:r w:rsidRPr="008E55F8">
              <w:rPr>
                <w:rFonts w:ascii="Times New Roman" w:hAnsi="Times New Roman" w:cs="Times New Roman"/>
                <w:color w:val="000000"/>
              </w:rPr>
              <w:t>39.78</w:t>
            </w:r>
          </w:p>
        </w:tc>
      </w:tr>
      <w:tr w:rsidR="00300A66" w:rsidRPr="008E55F8" w14:paraId="0F7671AB" w14:textId="77777777" w:rsidTr="00863EE5">
        <w:trPr>
          <w:trHeight w:val="500"/>
        </w:trPr>
        <w:tc>
          <w:tcPr>
            <w:tcW w:w="1710" w:type="dxa"/>
            <w:shd w:val="clear" w:color="auto" w:fill="auto"/>
            <w:vAlign w:val="center"/>
            <w:hideMark/>
          </w:tcPr>
          <w:p w14:paraId="77944BDB"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hideMark/>
          </w:tcPr>
          <w:p w14:paraId="0F2EF929"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hideMark/>
          </w:tcPr>
          <w:p w14:paraId="18196341"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hideMark/>
          </w:tcPr>
          <w:p w14:paraId="2101616C"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9.6</w:t>
            </w:r>
          </w:p>
        </w:tc>
        <w:tc>
          <w:tcPr>
            <w:tcW w:w="1620" w:type="dxa"/>
            <w:vAlign w:val="center"/>
          </w:tcPr>
          <w:p w14:paraId="4D033789"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39.26</w:t>
            </w:r>
          </w:p>
        </w:tc>
      </w:tr>
      <w:tr w:rsidR="00300A66" w:rsidRPr="008E55F8" w14:paraId="6073BEE1" w14:textId="77777777" w:rsidTr="00863EE5">
        <w:trPr>
          <w:trHeight w:val="500"/>
        </w:trPr>
        <w:tc>
          <w:tcPr>
            <w:tcW w:w="1710" w:type="dxa"/>
            <w:shd w:val="clear" w:color="auto" w:fill="auto"/>
            <w:vAlign w:val="center"/>
          </w:tcPr>
          <w:p w14:paraId="4DF35A01"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tcPr>
          <w:p w14:paraId="0BD0AAA3"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tcPr>
          <w:p w14:paraId="5F2EF39F"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274514BF"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9.6</w:t>
            </w:r>
          </w:p>
        </w:tc>
        <w:tc>
          <w:tcPr>
            <w:tcW w:w="1620" w:type="dxa"/>
            <w:vAlign w:val="center"/>
          </w:tcPr>
          <w:p w14:paraId="2039B223"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38.12</w:t>
            </w:r>
          </w:p>
        </w:tc>
      </w:tr>
      <w:tr w:rsidR="00300A66" w:rsidRPr="008E55F8" w14:paraId="5201A08B" w14:textId="77777777" w:rsidTr="00863EE5">
        <w:trPr>
          <w:trHeight w:val="500"/>
        </w:trPr>
        <w:tc>
          <w:tcPr>
            <w:tcW w:w="1710" w:type="dxa"/>
            <w:shd w:val="clear" w:color="auto" w:fill="auto"/>
            <w:vAlign w:val="center"/>
            <w:hideMark/>
          </w:tcPr>
          <w:p w14:paraId="536EB998"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hideMark/>
          </w:tcPr>
          <w:p w14:paraId="59D2DFB9"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Negative</w:t>
            </w:r>
          </w:p>
        </w:tc>
        <w:tc>
          <w:tcPr>
            <w:tcW w:w="2070" w:type="dxa"/>
            <w:shd w:val="clear" w:color="C0C0C0" w:fill="FFFFFF"/>
            <w:noWrap/>
            <w:vAlign w:val="center"/>
            <w:hideMark/>
          </w:tcPr>
          <w:p w14:paraId="09DD9E71"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hideMark/>
          </w:tcPr>
          <w:p w14:paraId="16140D8D"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7.5</w:t>
            </w:r>
          </w:p>
        </w:tc>
        <w:tc>
          <w:tcPr>
            <w:tcW w:w="1620" w:type="dxa"/>
            <w:vAlign w:val="center"/>
          </w:tcPr>
          <w:p w14:paraId="1A588C0D"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38.49</w:t>
            </w:r>
          </w:p>
        </w:tc>
      </w:tr>
      <w:tr w:rsidR="00300A66" w:rsidRPr="008E55F8" w14:paraId="565B97AC" w14:textId="77777777" w:rsidTr="00863EE5">
        <w:trPr>
          <w:trHeight w:val="500"/>
        </w:trPr>
        <w:tc>
          <w:tcPr>
            <w:tcW w:w="1710" w:type="dxa"/>
            <w:shd w:val="clear" w:color="auto" w:fill="auto"/>
            <w:vAlign w:val="center"/>
          </w:tcPr>
          <w:p w14:paraId="2378DBD3"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Bedrail</w:t>
            </w:r>
          </w:p>
        </w:tc>
        <w:tc>
          <w:tcPr>
            <w:tcW w:w="1890" w:type="dxa"/>
            <w:shd w:val="clear" w:color="auto" w:fill="auto"/>
            <w:vAlign w:val="center"/>
          </w:tcPr>
          <w:p w14:paraId="6E95F3A2"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09B080B8"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5346D7DA"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7.4</w:t>
            </w:r>
          </w:p>
        </w:tc>
        <w:tc>
          <w:tcPr>
            <w:tcW w:w="1620" w:type="dxa"/>
            <w:vAlign w:val="center"/>
          </w:tcPr>
          <w:p w14:paraId="5FD3AB32"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39.45</w:t>
            </w:r>
          </w:p>
        </w:tc>
      </w:tr>
      <w:tr w:rsidR="00300A66" w:rsidRPr="008E55F8" w14:paraId="2A4EBAB0" w14:textId="77777777" w:rsidTr="00863EE5">
        <w:trPr>
          <w:trHeight w:val="500"/>
        </w:trPr>
        <w:tc>
          <w:tcPr>
            <w:tcW w:w="1710" w:type="dxa"/>
            <w:shd w:val="clear" w:color="auto" w:fill="auto"/>
            <w:vAlign w:val="center"/>
            <w:hideMark/>
          </w:tcPr>
          <w:p w14:paraId="12D67AA7"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Bedrail</w:t>
            </w:r>
          </w:p>
        </w:tc>
        <w:tc>
          <w:tcPr>
            <w:tcW w:w="1890" w:type="dxa"/>
            <w:shd w:val="clear" w:color="auto" w:fill="auto"/>
            <w:vAlign w:val="center"/>
            <w:hideMark/>
          </w:tcPr>
          <w:p w14:paraId="492C11FD"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hideMark/>
          </w:tcPr>
          <w:p w14:paraId="3ABAEF07"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hideMark/>
          </w:tcPr>
          <w:p w14:paraId="3070AA66"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6.4</w:t>
            </w:r>
          </w:p>
        </w:tc>
        <w:tc>
          <w:tcPr>
            <w:tcW w:w="1620" w:type="dxa"/>
            <w:vAlign w:val="center"/>
          </w:tcPr>
          <w:p w14:paraId="6D45D023"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39.64</w:t>
            </w:r>
          </w:p>
        </w:tc>
      </w:tr>
      <w:tr w:rsidR="00300A66" w:rsidRPr="008E55F8" w14:paraId="123EC667" w14:textId="77777777" w:rsidTr="00863EE5">
        <w:trPr>
          <w:trHeight w:val="500"/>
        </w:trPr>
        <w:tc>
          <w:tcPr>
            <w:tcW w:w="1710" w:type="dxa"/>
            <w:shd w:val="clear" w:color="auto" w:fill="auto"/>
            <w:vAlign w:val="center"/>
            <w:hideMark/>
          </w:tcPr>
          <w:p w14:paraId="295CC20A"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Vent</w:t>
            </w:r>
          </w:p>
        </w:tc>
        <w:tc>
          <w:tcPr>
            <w:tcW w:w="1890" w:type="dxa"/>
            <w:shd w:val="clear" w:color="auto" w:fill="auto"/>
            <w:vAlign w:val="center"/>
            <w:hideMark/>
          </w:tcPr>
          <w:p w14:paraId="668CB3C6"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hideMark/>
          </w:tcPr>
          <w:p w14:paraId="3ED9B156"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No AGP</w:t>
            </w:r>
          </w:p>
        </w:tc>
        <w:tc>
          <w:tcPr>
            <w:tcW w:w="2070" w:type="dxa"/>
            <w:shd w:val="clear" w:color="auto" w:fill="auto"/>
            <w:vAlign w:val="center"/>
            <w:hideMark/>
          </w:tcPr>
          <w:p w14:paraId="4074F421"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5.0</w:t>
            </w:r>
          </w:p>
        </w:tc>
        <w:tc>
          <w:tcPr>
            <w:tcW w:w="1620" w:type="dxa"/>
            <w:vAlign w:val="center"/>
          </w:tcPr>
          <w:p w14:paraId="61C65F31"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39.72</w:t>
            </w:r>
          </w:p>
        </w:tc>
      </w:tr>
      <w:tr w:rsidR="00300A66" w:rsidRPr="008E55F8" w14:paraId="6221D0DE" w14:textId="77777777" w:rsidTr="00863EE5">
        <w:trPr>
          <w:trHeight w:val="500"/>
        </w:trPr>
        <w:tc>
          <w:tcPr>
            <w:tcW w:w="1710" w:type="dxa"/>
            <w:shd w:val="clear" w:color="auto" w:fill="auto"/>
            <w:vAlign w:val="center"/>
          </w:tcPr>
          <w:p w14:paraId="0D4E0A9A"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eastAsia="Times New Roman" w:hAnsi="Times New Roman" w:cs="Times New Roman"/>
                <w:color w:val="000000"/>
              </w:rPr>
              <w:t>Bedrail</w:t>
            </w:r>
          </w:p>
        </w:tc>
        <w:tc>
          <w:tcPr>
            <w:tcW w:w="1890" w:type="dxa"/>
            <w:shd w:val="clear" w:color="auto" w:fill="auto"/>
            <w:vAlign w:val="center"/>
          </w:tcPr>
          <w:p w14:paraId="05F97DBB"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Positive</w:t>
            </w:r>
          </w:p>
        </w:tc>
        <w:tc>
          <w:tcPr>
            <w:tcW w:w="2070" w:type="dxa"/>
            <w:shd w:val="clear" w:color="C0C0C0" w:fill="FFFFFF"/>
            <w:noWrap/>
            <w:vAlign w:val="center"/>
          </w:tcPr>
          <w:p w14:paraId="4F5922DC" w14:textId="77777777" w:rsidR="00300A66" w:rsidRPr="008E55F8" w:rsidRDefault="00300A66" w:rsidP="00863EE5">
            <w:pPr>
              <w:spacing w:line="480" w:lineRule="auto"/>
              <w:jc w:val="center"/>
              <w:rPr>
                <w:rFonts w:ascii="Times New Roman" w:eastAsia="Times New Roman" w:hAnsi="Times New Roman" w:cs="Times New Roman"/>
                <w:b/>
                <w:bCs/>
                <w:color w:val="000000"/>
              </w:rPr>
            </w:pPr>
            <w:r w:rsidRPr="008E55F8">
              <w:rPr>
                <w:rFonts w:ascii="Times New Roman" w:eastAsia="Times New Roman" w:hAnsi="Times New Roman" w:cs="Times New Roman"/>
                <w:b/>
                <w:bCs/>
                <w:color w:val="000000"/>
              </w:rPr>
              <w:t>AGP</w:t>
            </w:r>
          </w:p>
        </w:tc>
        <w:tc>
          <w:tcPr>
            <w:tcW w:w="2070" w:type="dxa"/>
            <w:shd w:val="clear" w:color="auto" w:fill="auto"/>
            <w:vAlign w:val="center"/>
          </w:tcPr>
          <w:p w14:paraId="299B270B" w14:textId="77777777" w:rsidR="00300A66" w:rsidRPr="008E55F8" w:rsidRDefault="00300A66" w:rsidP="00863EE5">
            <w:pPr>
              <w:spacing w:line="480" w:lineRule="auto"/>
              <w:jc w:val="center"/>
              <w:rPr>
                <w:rFonts w:ascii="Times New Roman" w:eastAsia="Times New Roman" w:hAnsi="Times New Roman" w:cs="Times New Roman"/>
                <w:color w:val="000000"/>
              </w:rPr>
            </w:pPr>
            <w:r w:rsidRPr="008E55F8">
              <w:rPr>
                <w:rFonts w:ascii="Times New Roman" w:eastAsia="Times New Roman" w:hAnsi="Times New Roman" w:cs="Times New Roman"/>
                <w:color w:val="000000"/>
              </w:rPr>
              <w:t>4.7</w:t>
            </w:r>
          </w:p>
        </w:tc>
        <w:tc>
          <w:tcPr>
            <w:tcW w:w="1620" w:type="dxa"/>
            <w:vAlign w:val="center"/>
          </w:tcPr>
          <w:p w14:paraId="403591A9" w14:textId="77777777" w:rsidR="00300A66" w:rsidRPr="008E55F8" w:rsidRDefault="00300A66" w:rsidP="00863EE5">
            <w:pPr>
              <w:spacing w:line="480" w:lineRule="auto"/>
              <w:rPr>
                <w:rFonts w:ascii="Times New Roman" w:eastAsia="Times New Roman" w:hAnsi="Times New Roman" w:cs="Times New Roman"/>
                <w:color w:val="000000"/>
              </w:rPr>
            </w:pPr>
            <w:r w:rsidRPr="008E55F8">
              <w:rPr>
                <w:rFonts w:ascii="Times New Roman" w:hAnsi="Times New Roman" w:cs="Times New Roman"/>
                <w:color w:val="000000"/>
              </w:rPr>
              <w:t>39.86</w:t>
            </w:r>
          </w:p>
        </w:tc>
      </w:tr>
      <w:tr w:rsidR="00300A66" w:rsidRPr="008E55F8" w14:paraId="5A7C44CC" w14:textId="77777777" w:rsidTr="00863EE5">
        <w:trPr>
          <w:trHeight w:val="500"/>
        </w:trPr>
        <w:tc>
          <w:tcPr>
            <w:tcW w:w="1710" w:type="dxa"/>
            <w:shd w:val="clear" w:color="auto" w:fill="auto"/>
            <w:vAlign w:val="center"/>
          </w:tcPr>
          <w:p w14:paraId="4656B1A2" w14:textId="77777777" w:rsidR="00300A66" w:rsidRPr="008E55F8" w:rsidRDefault="00300A66" w:rsidP="00863EE5">
            <w:pPr>
              <w:spacing w:line="480" w:lineRule="auto"/>
              <w:rPr>
                <w:rFonts w:ascii="Times New Roman" w:eastAsia="Times New Roman" w:hAnsi="Times New Roman" w:cs="Times New Roman"/>
                <w:color w:val="000000"/>
              </w:rPr>
            </w:pPr>
          </w:p>
        </w:tc>
        <w:tc>
          <w:tcPr>
            <w:tcW w:w="1890" w:type="dxa"/>
            <w:shd w:val="clear" w:color="auto" w:fill="auto"/>
            <w:vAlign w:val="center"/>
          </w:tcPr>
          <w:p w14:paraId="06E97DA7" w14:textId="77777777" w:rsidR="00300A66" w:rsidRPr="008E55F8" w:rsidRDefault="00300A66" w:rsidP="00863EE5">
            <w:pPr>
              <w:spacing w:line="480" w:lineRule="auto"/>
              <w:jc w:val="center"/>
              <w:rPr>
                <w:rFonts w:ascii="Times New Roman" w:eastAsia="Times New Roman" w:hAnsi="Times New Roman" w:cs="Times New Roman"/>
                <w:color w:val="000000"/>
              </w:rPr>
            </w:pPr>
          </w:p>
        </w:tc>
        <w:tc>
          <w:tcPr>
            <w:tcW w:w="2070" w:type="dxa"/>
            <w:shd w:val="clear" w:color="C0C0C0" w:fill="FFFFFF"/>
            <w:noWrap/>
            <w:vAlign w:val="center"/>
          </w:tcPr>
          <w:p w14:paraId="4686356D" w14:textId="77777777" w:rsidR="00300A66" w:rsidRPr="008E55F8" w:rsidRDefault="00300A66" w:rsidP="00863EE5">
            <w:pPr>
              <w:spacing w:line="480" w:lineRule="auto"/>
              <w:jc w:val="center"/>
              <w:rPr>
                <w:rFonts w:ascii="Times New Roman" w:eastAsia="Times New Roman" w:hAnsi="Times New Roman" w:cs="Times New Roman"/>
                <w:b/>
                <w:bCs/>
                <w:color w:val="000000"/>
              </w:rPr>
            </w:pPr>
          </w:p>
        </w:tc>
        <w:tc>
          <w:tcPr>
            <w:tcW w:w="2070" w:type="dxa"/>
            <w:shd w:val="clear" w:color="auto" w:fill="auto"/>
            <w:vAlign w:val="center"/>
          </w:tcPr>
          <w:p w14:paraId="25BC748F" w14:textId="77777777" w:rsidR="00300A66" w:rsidRPr="008E55F8" w:rsidRDefault="00300A66" w:rsidP="00863EE5">
            <w:pPr>
              <w:spacing w:line="480" w:lineRule="auto"/>
              <w:jc w:val="center"/>
              <w:rPr>
                <w:rFonts w:ascii="Times New Roman" w:eastAsia="Times New Roman" w:hAnsi="Times New Roman" w:cs="Times New Roman"/>
                <w:color w:val="000000"/>
              </w:rPr>
            </w:pPr>
          </w:p>
        </w:tc>
        <w:tc>
          <w:tcPr>
            <w:tcW w:w="1620" w:type="dxa"/>
            <w:vAlign w:val="center"/>
          </w:tcPr>
          <w:p w14:paraId="49D0633F" w14:textId="77777777" w:rsidR="00300A66" w:rsidRPr="008E55F8" w:rsidRDefault="00300A66" w:rsidP="00863EE5">
            <w:pPr>
              <w:spacing w:line="480" w:lineRule="auto"/>
              <w:rPr>
                <w:rFonts w:ascii="Times New Roman" w:hAnsi="Times New Roman" w:cs="Times New Roman"/>
                <w:color w:val="000000"/>
              </w:rPr>
            </w:pPr>
          </w:p>
        </w:tc>
      </w:tr>
    </w:tbl>
    <w:p w14:paraId="6C6828F0" w14:textId="4B833296" w:rsidR="00300A66" w:rsidRPr="005B2E2C" w:rsidRDefault="00300A66" w:rsidP="00300A66">
      <w:pPr>
        <w:spacing w:line="480" w:lineRule="auto"/>
        <w:rPr>
          <w:rFonts w:ascii="Times New Roman" w:hAnsi="Times New Roman" w:cs="Times New Roman"/>
        </w:rPr>
      </w:pPr>
      <w:r w:rsidRPr="005B2E2C">
        <w:rPr>
          <w:rFonts w:ascii="Times New Roman" w:hAnsi="Times New Roman" w:cs="Times New Roman"/>
        </w:rPr>
        <w:t xml:space="preserve">* AGP: Aerosol-generating procedure; </w:t>
      </w:r>
      <w:r>
        <w:rPr>
          <w:rFonts w:ascii="Times New Roman" w:hAnsi="Times New Roman" w:cs="Times New Roman"/>
        </w:rPr>
        <w:t>**RT-qPCR C</w:t>
      </w:r>
      <w:r w:rsidRPr="008E55F8">
        <w:rPr>
          <w:rFonts w:ascii="Times New Roman" w:hAnsi="Times New Roman" w:cs="Times New Roman"/>
          <w:vertAlign w:val="subscript"/>
        </w:rPr>
        <w:t>t</w:t>
      </w:r>
      <w:r>
        <w:rPr>
          <w:rFonts w:ascii="Times New Roman" w:hAnsi="Times New Roman" w:cs="Times New Roman"/>
        </w:rPr>
        <w:t xml:space="preserve"> value is value for </w:t>
      </w:r>
      <w:r w:rsidR="000D32DF">
        <w:rPr>
          <w:rFonts w:ascii="Times New Roman" w:hAnsi="Times New Roman" w:cs="Times New Roman"/>
        </w:rPr>
        <w:t xml:space="preserve">whole </w:t>
      </w:r>
      <w:r>
        <w:rPr>
          <w:rFonts w:ascii="Times New Roman" w:hAnsi="Times New Roman" w:cs="Times New Roman"/>
        </w:rPr>
        <w:t>sample and not divided by sample surface area;</w:t>
      </w:r>
      <w:r w:rsidR="000D32DF">
        <w:rPr>
          <w:rFonts w:ascii="Times New Roman" w:hAnsi="Times New Roman" w:cs="Times New Roman"/>
        </w:rPr>
        <w:t xml:space="preserve"> </w:t>
      </w:r>
      <w:r w:rsidRPr="005B2E2C">
        <w:rPr>
          <w:rFonts w:ascii="Times New Roman" w:hAnsi="Times New Roman" w:cs="Times New Roman"/>
          <w:color w:val="000000"/>
          <w:shd w:val="clear" w:color="auto" w:fill="FFFFFF"/>
        </w:rPr>
        <w:t>†</w:t>
      </w:r>
      <w:r w:rsidRPr="005B2E2C">
        <w:rPr>
          <w:rFonts w:ascii="Times New Roman" w:hAnsi="Times New Roman" w:cs="Times New Roman"/>
        </w:rPr>
        <w:t xml:space="preserve"> Sample from which viable SARS-CoV-2 virus was recovered. </w:t>
      </w:r>
      <w:r w:rsidRPr="005B2E2C">
        <w:rPr>
          <w:rFonts w:ascii="Times New Roman" w:hAnsi="Times New Roman" w:cs="Times New Roman"/>
          <w:color w:val="000000"/>
          <w:shd w:val="clear" w:color="auto" w:fill="FFFFFF"/>
        </w:rPr>
        <w:t xml:space="preserve">‡ </w:t>
      </w:r>
      <w:r w:rsidRPr="005B2E2C">
        <w:rPr>
          <w:rFonts w:ascii="Times New Roman" w:hAnsi="Times New Roman" w:cs="Times New Roman"/>
        </w:rPr>
        <w:t>COVID-19-positive by self-report. Not tested at Yale New Haven Hospital.</w:t>
      </w:r>
    </w:p>
    <w:p w14:paraId="6ED0B42C" w14:textId="45DBBA96" w:rsidR="00312729" w:rsidRDefault="00312729" w:rsidP="00312729">
      <w:pPr>
        <w:spacing w:line="480" w:lineRule="auto"/>
        <w:rPr>
          <w:rFonts w:ascii="Arial" w:hAnsi="Arial" w:cs="Arial"/>
          <w:b/>
          <w:bCs/>
        </w:rPr>
      </w:pPr>
    </w:p>
    <w:p w14:paraId="395333EA" w14:textId="77777777" w:rsidR="00312729" w:rsidRDefault="00312729" w:rsidP="00312729">
      <w:pPr>
        <w:spacing w:line="480" w:lineRule="auto"/>
        <w:rPr>
          <w:rFonts w:ascii="Arial" w:hAnsi="Arial" w:cs="Arial"/>
          <w:b/>
          <w:bCs/>
        </w:rPr>
      </w:pPr>
    </w:p>
    <w:p w14:paraId="780894D6" w14:textId="093655C8" w:rsidR="00312729" w:rsidRDefault="00312729" w:rsidP="00312729">
      <w:pPr>
        <w:spacing w:line="480" w:lineRule="auto"/>
        <w:rPr>
          <w:rFonts w:ascii="Times New Roman" w:hAnsi="Times New Roman" w:cs="Times New Roman"/>
        </w:rPr>
      </w:pPr>
      <w:r w:rsidRPr="0096238A">
        <w:rPr>
          <w:rFonts w:ascii="Times New Roman" w:hAnsi="Times New Roman" w:cs="Times New Roman"/>
        </w:rPr>
        <w:lastRenderedPageBreak/>
        <w:t>Supplementary Figure 1A</w:t>
      </w:r>
      <w:r w:rsidR="00C37BA0" w:rsidRPr="0096238A">
        <w:rPr>
          <w:rFonts w:ascii="Times New Roman" w:hAnsi="Times New Roman" w:cs="Times New Roman"/>
        </w:rPr>
        <w:t xml:space="preserve">. </w:t>
      </w:r>
      <w:r w:rsidR="00C37BA0">
        <w:rPr>
          <w:rFonts w:ascii="Times New Roman" w:hAnsi="Times New Roman" w:cs="Times New Roman"/>
        </w:rPr>
        <w:t>Median number of days from symptom onset to emergency department presentation in rooms with or without detectable SARS-CoV-2 contamination.</w:t>
      </w:r>
      <w:r>
        <w:rPr>
          <w:noProof/>
        </w:rPr>
        <mc:AlternateContent>
          <mc:Choice Requires="cx1">
            <w:drawing>
              <wp:inline distT="0" distB="0" distL="0" distR="0" wp14:anchorId="0BDBBB19" wp14:editId="2BB32685">
                <wp:extent cx="5794218" cy="3530851"/>
                <wp:effectExtent l="0" t="0" r="10160" b="0"/>
                <wp:docPr id="602671985" name="Chart 1">
                  <a:extLst xmlns:a="http://schemas.openxmlformats.org/drawingml/2006/main">
                    <a:ext uri="{FF2B5EF4-FFF2-40B4-BE49-F238E27FC236}">
                      <a16:creationId xmlns:a16="http://schemas.microsoft.com/office/drawing/2014/main" id="{6237ADAD-F42C-C967-C292-D7D701015D8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inline>
            </w:drawing>
          </mc:Choice>
          <mc:Fallback>
            <w:drawing>
              <wp:inline distT="0" distB="0" distL="0" distR="0" wp14:anchorId="0BDBBB19" wp14:editId="2BB32685">
                <wp:extent cx="5794218" cy="3530851"/>
                <wp:effectExtent l="0" t="0" r="10160" b="0"/>
                <wp:docPr id="602671985" name="Chart 1">
                  <a:extLst xmlns:a="http://schemas.openxmlformats.org/drawingml/2006/main">
                    <a:ext uri="{FF2B5EF4-FFF2-40B4-BE49-F238E27FC236}">
                      <a16:creationId xmlns:a16="http://schemas.microsoft.com/office/drawing/2014/main" id="{6237ADAD-F42C-C967-C292-D7D701015D8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02671985" name="Chart 1">
                          <a:extLst>
                            <a:ext uri="{FF2B5EF4-FFF2-40B4-BE49-F238E27FC236}">
                              <a16:creationId xmlns:a16="http://schemas.microsoft.com/office/drawing/2014/main" id="{6237ADAD-F42C-C967-C292-D7D701015D81}"/>
                            </a:ext>
                          </a:extLst>
                        </pic:cNvPr>
                        <pic:cNvPicPr>
                          <a:picLocks noGrp="1" noRot="1" noChangeAspect="1" noMove="1" noResize="1" noEditPoints="1" noAdjustHandles="1" noChangeArrowheads="1" noChangeShapeType="1"/>
                        </pic:cNvPicPr>
                      </pic:nvPicPr>
                      <pic:blipFill>
                        <a:blip r:embed="rId8"/>
                        <a:stretch>
                          <a:fillRect/>
                        </a:stretch>
                      </pic:blipFill>
                      <pic:spPr>
                        <a:xfrm>
                          <a:off x="0" y="0"/>
                          <a:ext cx="5793740" cy="3530600"/>
                        </a:xfrm>
                        <a:prstGeom prst="rect">
                          <a:avLst/>
                        </a:prstGeom>
                      </pic:spPr>
                    </pic:pic>
                  </a:graphicData>
                </a:graphic>
              </wp:inline>
            </w:drawing>
          </mc:Fallback>
        </mc:AlternateContent>
      </w:r>
    </w:p>
    <w:p w14:paraId="3DCE2E26" w14:textId="397ACCAF" w:rsidR="00C37BA0" w:rsidRDefault="00C37BA0">
      <w:pPr>
        <w:spacing w:after="160" w:line="259" w:lineRule="auto"/>
        <w:rPr>
          <w:rFonts w:ascii="Times New Roman" w:hAnsi="Times New Roman" w:cs="Times New Roman"/>
        </w:rPr>
      </w:pPr>
      <w:r>
        <w:rPr>
          <w:rFonts w:ascii="Times New Roman" w:hAnsi="Times New Roman" w:cs="Times New Roman"/>
        </w:rPr>
        <w:br w:type="page"/>
      </w:r>
    </w:p>
    <w:p w14:paraId="685DB7F8" w14:textId="07A062A5" w:rsidR="00C37BA0" w:rsidRPr="0096238A" w:rsidRDefault="00C37BA0" w:rsidP="00C37BA0">
      <w:pPr>
        <w:spacing w:line="480" w:lineRule="auto"/>
        <w:rPr>
          <w:rFonts w:ascii="Times New Roman" w:hAnsi="Times New Roman" w:cs="Times New Roman"/>
        </w:rPr>
      </w:pPr>
      <w:r w:rsidRPr="0096238A">
        <w:rPr>
          <w:rFonts w:ascii="Times New Roman" w:hAnsi="Times New Roman" w:cs="Times New Roman"/>
        </w:rPr>
        <w:lastRenderedPageBreak/>
        <w:t xml:space="preserve">Supplementary Figure 1B. </w:t>
      </w:r>
      <w:r>
        <w:rPr>
          <w:rFonts w:ascii="Times New Roman" w:hAnsi="Times New Roman" w:cs="Times New Roman"/>
        </w:rPr>
        <w:t>M</w:t>
      </w:r>
      <w:r w:rsidRPr="00C37BA0">
        <w:rPr>
          <w:rFonts w:ascii="Times New Roman" w:hAnsi="Times New Roman" w:cs="Times New Roman"/>
        </w:rPr>
        <w:t xml:space="preserve">edian severity of patient illness on arrival in rooms with </w:t>
      </w:r>
      <w:r>
        <w:rPr>
          <w:rFonts w:ascii="Times New Roman" w:hAnsi="Times New Roman" w:cs="Times New Roman"/>
        </w:rPr>
        <w:t xml:space="preserve">or without </w:t>
      </w:r>
      <w:r w:rsidRPr="00C37BA0">
        <w:rPr>
          <w:rFonts w:ascii="Times New Roman" w:hAnsi="Times New Roman" w:cs="Times New Roman"/>
        </w:rPr>
        <w:t xml:space="preserve">detectable SARS-CoV-2 </w:t>
      </w:r>
      <w:r>
        <w:rPr>
          <w:rFonts w:ascii="Times New Roman" w:hAnsi="Times New Roman" w:cs="Times New Roman"/>
        </w:rPr>
        <w:t>environmental c</w:t>
      </w:r>
      <w:r w:rsidRPr="00C37BA0">
        <w:rPr>
          <w:rFonts w:ascii="Times New Roman" w:hAnsi="Times New Roman" w:cs="Times New Roman"/>
        </w:rPr>
        <w:t>ontamination</w:t>
      </w:r>
      <w:r>
        <w:rPr>
          <w:rFonts w:ascii="Times New Roman" w:hAnsi="Times New Roman" w:cs="Times New Roman"/>
        </w:rPr>
        <w:t>.</w:t>
      </w:r>
    </w:p>
    <w:p w14:paraId="13C97F1F" w14:textId="341E857B" w:rsidR="00312729" w:rsidRPr="00312729" w:rsidRDefault="00312729" w:rsidP="00312729">
      <w:pPr>
        <w:spacing w:line="480" w:lineRule="auto"/>
        <w:rPr>
          <w:rFonts w:ascii="Arial" w:hAnsi="Arial" w:cs="Arial"/>
        </w:rPr>
      </w:pPr>
      <w:r>
        <w:rPr>
          <w:noProof/>
        </w:rPr>
        <mc:AlternateContent>
          <mc:Choice Requires="cx1">
            <w:drawing>
              <wp:inline distT="0" distB="0" distL="0" distR="0" wp14:anchorId="11F38286" wp14:editId="12D995DC">
                <wp:extent cx="5794218" cy="3630440"/>
                <wp:effectExtent l="0" t="0" r="10160" b="1905"/>
                <wp:docPr id="757393326" name="Chart 1">
                  <a:extLst xmlns:a="http://schemas.openxmlformats.org/drawingml/2006/main">
                    <a:ext uri="{FF2B5EF4-FFF2-40B4-BE49-F238E27FC236}">
                      <a16:creationId xmlns:a16="http://schemas.microsoft.com/office/drawing/2014/main" id="{99ABFDD0-B872-F65F-E220-BC539BB43B3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inline>
            </w:drawing>
          </mc:Choice>
          <mc:Fallback>
            <w:drawing>
              <wp:inline distT="0" distB="0" distL="0" distR="0" wp14:anchorId="11F38286" wp14:editId="12D995DC">
                <wp:extent cx="5794218" cy="3630440"/>
                <wp:effectExtent l="0" t="0" r="10160" b="1905"/>
                <wp:docPr id="757393326" name="Chart 1">
                  <a:extLst xmlns:a="http://schemas.openxmlformats.org/drawingml/2006/main">
                    <a:ext uri="{FF2B5EF4-FFF2-40B4-BE49-F238E27FC236}">
                      <a16:creationId xmlns:a16="http://schemas.microsoft.com/office/drawing/2014/main" id="{99ABFDD0-B872-F65F-E220-BC539BB43B3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57393326" name="Chart 1">
                          <a:extLst>
                            <a:ext uri="{FF2B5EF4-FFF2-40B4-BE49-F238E27FC236}">
                              <a16:creationId xmlns:a16="http://schemas.microsoft.com/office/drawing/2014/main" id="{99ABFDD0-B872-F65F-E220-BC539BB43B3D}"/>
                            </a:ext>
                          </a:extLst>
                        </pic:cNvPr>
                        <pic:cNvPicPr>
                          <a:picLocks noGrp="1" noRot="1" noChangeAspect="1" noMove="1" noResize="1" noEditPoints="1" noAdjustHandles="1" noChangeArrowheads="1" noChangeShapeType="1"/>
                        </pic:cNvPicPr>
                      </pic:nvPicPr>
                      <pic:blipFill>
                        <a:blip r:embed="rId10"/>
                        <a:stretch>
                          <a:fillRect/>
                        </a:stretch>
                      </pic:blipFill>
                      <pic:spPr>
                        <a:xfrm>
                          <a:off x="0" y="0"/>
                          <a:ext cx="5793740" cy="3630295"/>
                        </a:xfrm>
                        <a:prstGeom prst="rect">
                          <a:avLst/>
                        </a:prstGeom>
                      </pic:spPr>
                    </pic:pic>
                  </a:graphicData>
                </a:graphic>
              </wp:inline>
            </w:drawing>
          </mc:Fallback>
        </mc:AlternateContent>
      </w:r>
    </w:p>
    <w:sectPr w:rsidR="00312729" w:rsidRPr="0031272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7CF9" w14:textId="77777777" w:rsidR="009F6E67" w:rsidRDefault="009F6E67">
      <w:r>
        <w:separator/>
      </w:r>
    </w:p>
  </w:endnote>
  <w:endnote w:type="continuationSeparator" w:id="0">
    <w:p w14:paraId="7F179B7C" w14:textId="77777777" w:rsidR="009F6E67" w:rsidRDefault="009F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798262"/>
      <w:docPartObj>
        <w:docPartGallery w:val="Page Numbers (Bottom of Page)"/>
        <w:docPartUnique/>
      </w:docPartObj>
    </w:sdtPr>
    <w:sdtEndPr>
      <w:rPr>
        <w:noProof/>
      </w:rPr>
    </w:sdtEndPr>
    <w:sdtContent>
      <w:p w14:paraId="166138C5" w14:textId="77777777" w:rsidR="006C147A" w:rsidRDefault="00000000" w:rsidP="006C14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CB98B0" w14:textId="77777777" w:rsidR="00706B2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80BD" w14:textId="77777777" w:rsidR="009F6E67" w:rsidRDefault="009F6E67">
      <w:r>
        <w:separator/>
      </w:r>
    </w:p>
  </w:footnote>
  <w:footnote w:type="continuationSeparator" w:id="0">
    <w:p w14:paraId="413DE5EE" w14:textId="77777777" w:rsidR="009F6E67" w:rsidRDefault="009F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8BB"/>
    <w:multiLevelType w:val="hybridMultilevel"/>
    <w:tmpl w:val="73E2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12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1A"/>
    <w:rsid w:val="000153D3"/>
    <w:rsid w:val="0005462A"/>
    <w:rsid w:val="00060164"/>
    <w:rsid w:val="00060E50"/>
    <w:rsid w:val="00061198"/>
    <w:rsid w:val="00082260"/>
    <w:rsid w:val="000D32DF"/>
    <w:rsid w:val="0013751A"/>
    <w:rsid w:val="00140A10"/>
    <w:rsid w:val="00276112"/>
    <w:rsid w:val="002D6805"/>
    <w:rsid w:val="00300A66"/>
    <w:rsid w:val="00312729"/>
    <w:rsid w:val="003E1CB0"/>
    <w:rsid w:val="003E45A0"/>
    <w:rsid w:val="003F1ECB"/>
    <w:rsid w:val="004450F2"/>
    <w:rsid w:val="00497CA9"/>
    <w:rsid w:val="004D4AB2"/>
    <w:rsid w:val="004E00EC"/>
    <w:rsid w:val="004E63BF"/>
    <w:rsid w:val="00527109"/>
    <w:rsid w:val="0055360E"/>
    <w:rsid w:val="00565D44"/>
    <w:rsid w:val="00592A8F"/>
    <w:rsid w:val="00593304"/>
    <w:rsid w:val="005D78D7"/>
    <w:rsid w:val="005F53C8"/>
    <w:rsid w:val="0063418F"/>
    <w:rsid w:val="00686C45"/>
    <w:rsid w:val="007461C9"/>
    <w:rsid w:val="007929C1"/>
    <w:rsid w:val="00881DA4"/>
    <w:rsid w:val="008A6AE9"/>
    <w:rsid w:val="009065D1"/>
    <w:rsid w:val="00955828"/>
    <w:rsid w:val="0096238A"/>
    <w:rsid w:val="00980278"/>
    <w:rsid w:val="009F6E67"/>
    <w:rsid w:val="00A91499"/>
    <w:rsid w:val="00AC1C19"/>
    <w:rsid w:val="00AF18BC"/>
    <w:rsid w:val="00B033EF"/>
    <w:rsid w:val="00B1133C"/>
    <w:rsid w:val="00B536CF"/>
    <w:rsid w:val="00B83EE8"/>
    <w:rsid w:val="00BB675C"/>
    <w:rsid w:val="00C0612E"/>
    <w:rsid w:val="00C27FE2"/>
    <w:rsid w:val="00C37BA0"/>
    <w:rsid w:val="00C51F2C"/>
    <w:rsid w:val="00C53626"/>
    <w:rsid w:val="00C55BD2"/>
    <w:rsid w:val="00C92E67"/>
    <w:rsid w:val="00CE101A"/>
    <w:rsid w:val="00D61993"/>
    <w:rsid w:val="00D6312C"/>
    <w:rsid w:val="00D73575"/>
    <w:rsid w:val="00DD0079"/>
    <w:rsid w:val="00E40FE5"/>
    <w:rsid w:val="00EC5908"/>
    <w:rsid w:val="00EE5D48"/>
    <w:rsid w:val="00F5094F"/>
    <w:rsid w:val="00F8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FC3B"/>
  <w15:chartTrackingRefBased/>
  <w15:docId w15:val="{53341A4D-B375-4534-B219-EB8D8859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2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6312C"/>
    <w:pPr>
      <w:tabs>
        <w:tab w:val="center" w:pos="4680"/>
        <w:tab w:val="right" w:pos="9360"/>
      </w:tabs>
    </w:pPr>
  </w:style>
  <w:style w:type="character" w:customStyle="1" w:styleId="FooterChar">
    <w:name w:val="Footer Char"/>
    <w:basedOn w:val="DefaultParagraphFont"/>
    <w:link w:val="Footer"/>
    <w:uiPriority w:val="99"/>
    <w:rsid w:val="00D6312C"/>
    <w:rPr>
      <w:sz w:val="24"/>
      <w:szCs w:val="24"/>
    </w:rPr>
  </w:style>
  <w:style w:type="paragraph" w:styleId="ListParagraph">
    <w:name w:val="List Paragraph"/>
    <w:basedOn w:val="Normal"/>
    <w:uiPriority w:val="34"/>
    <w:qFormat/>
    <w:rsid w:val="000153D3"/>
    <w:pPr>
      <w:ind w:left="720"/>
      <w:contextualSpacing/>
    </w:pPr>
  </w:style>
  <w:style w:type="character" w:styleId="Hyperlink">
    <w:name w:val="Hyperlink"/>
    <w:basedOn w:val="DefaultParagraphFont"/>
    <w:uiPriority w:val="99"/>
    <w:unhideWhenUsed/>
    <w:rsid w:val="000153D3"/>
    <w:rPr>
      <w:color w:val="0563C1" w:themeColor="hyperlink"/>
      <w:u w:val="single"/>
    </w:rPr>
  </w:style>
  <w:style w:type="character" w:styleId="UnresolvedMention">
    <w:name w:val="Unresolved Mention"/>
    <w:basedOn w:val="DefaultParagraphFont"/>
    <w:uiPriority w:val="99"/>
    <w:semiHidden/>
    <w:unhideWhenUsed/>
    <w:rsid w:val="000153D3"/>
    <w:rPr>
      <w:color w:val="605E5C"/>
      <w:shd w:val="clear" w:color="auto" w:fill="E1DFDD"/>
    </w:rPr>
  </w:style>
  <w:style w:type="paragraph" w:styleId="Revision">
    <w:name w:val="Revision"/>
    <w:hidden/>
    <w:uiPriority w:val="99"/>
    <w:semiHidden/>
    <w:rsid w:val="00881DA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microsoft.com/office/2014/relationships/chartEx" Target="charts/chart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4/relationships/chartEx" Target="charts/chartEx2.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Users\scr47\Desktop\Ongoing%20Research%20Projects\ED%20Surface%20contamination\COVID%20room%20surface%20data%20-%20cleaned.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Users\scr47\Desktop\Ongoing%20Research%20Projects\ED%20Surface%20contamination\COVID%20room%20surface%20data%20-%20cleaned.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Sheet1!$B$21:$B$84</cx:f>
        <cx:lvl ptCount="64" formatCode="General">
          <cx:pt idx="0">14</cx:pt>
          <cx:pt idx="1">21</cx:pt>
          <cx:pt idx="2">6</cx:pt>
          <cx:pt idx="3">5</cx:pt>
          <cx:pt idx="4">5</cx:pt>
          <cx:pt idx="5">10</cx:pt>
          <cx:pt idx="6">1</cx:pt>
          <cx:pt idx="7">6</cx:pt>
          <cx:pt idx="9">8</cx:pt>
          <cx:pt idx="10">1</cx:pt>
          <cx:pt idx="11">3</cx:pt>
          <cx:pt idx="12">6</cx:pt>
          <cx:pt idx="13">12</cx:pt>
          <cx:pt idx="14">8</cx:pt>
          <cx:pt idx="15">2</cx:pt>
          <cx:pt idx="16">5</cx:pt>
          <cx:pt idx="17">6</cx:pt>
          <cx:pt idx="18">13</cx:pt>
          <cx:pt idx="19">4</cx:pt>
          <cx:pt idx="20">7</cx:pt>
          <cx:pt idx="21">0</cx:pt>
          <cx:pt idx="22">14</cx:pt>
          <cx:pt idx="23">8</cx:pt>
          <cx:pt idx="24">2</cx:pt>
          <cx:pt idx="25">2</cx:pt>
          <cx:pt idx="26">7</cx:pt>
          <cx:pt idx="27">10</cx:pt>
          <cx:pt idx="28">8</cx:pt>
          <cx:pt idx="29">3</cx:pt>
          <cx:pt idx="30">14</cx:pt>
          <cx:pt idx="31">17</cx:pt>
          <cx:pt idx="32">4</cx:pt>
          <cx:pt idx="33">7</cx:pt>
          <cx:pt idx="34">2</cx:pt>
          <cx:pt idx="35">4</cx:pt>
          <cx:pt idx="36">3</cx:pt>
          <cx:pt idx="37">2</cx:pt>
          <cx:pt idx="38">7</cx:pt>
          <cx:pt idx="39">1</cx:pt>
          <cx:pt idx="40">12</cx:pt>
          <cx:pt idx="41">4</cx:pt>
          <cx:pt idx="42">14</cx:pt>
          <cx:pt idx="43">7</cx:pt>
          <cx:pt idx="44">7</cx:pt>
          <cx:pt idx="45">8</cx:pt>
          <cx:pt idx="46">1</cx:pt>
          <cx:pt idx="47">5</cx:pt>
          <cx:pt idx="48">7</cx:pt>
          <cx:pt idx="49">10</cx:pt>
          <cx:pt idx="50">7</cx:pt>
          <cx:pt idx="51">7</cx:pt>
          <cx:pt idx="52">3</cx:pt>
          <cx:pt idx="53">1</cx:pt>
          <cx:pt idx="54">2</cx:pt>
          <cx:pt idx="55">8</cx:pt>
          <cx:pt idx="56">10</cx:pt>
          <cx:pt idx="57">1</cx:pt>
          <cx:pt idx="58">8</cx:pt>
          <cx:pt idx="59">9</cx:pt>
          <cx:pt idx="60">14</cx:pt>
          <cx:pt idx="61">10</cx:pt>
          <cx:pt idx="62">3</cx:pt>
          <cx:pt idx="63">5</cx:pt>
        </cx:lvl>
      </cx:numDim>
    </cx:data>
    <cx:data id="1">
      <cx:numDim type="val">
        <cx:f>Sheet1!$B$2:$B$20</cx:f>
        <cx:lvl ptCount="19" formatCode="General">
          <cx:pt idx="0">4</cx:pt>
          <cx:pt idx="1">7</cx:pt>
          <cx:pt idx="2">2</cx:pt>
          <cx:pt idx="3">8</cx:pt>
          <cx:pt idx="4">7</cx:pt>
          <cx:pt idx="5">3</cx:pt>
          <cx:pt idx="6">3</cx:pt>
          <cx:pt idx="7">9</cx:pt>
          <cx:pt idx="8">3</cx:pt>
          <cx:pt idx="9">1</cx:pt>
          <cx:pt idx="10">5</cx:pt>
          <cx:pt idx="11">9</cx:pt>
          <cx:pt idx="12">4</cx:pt>
          <cx:pt idx="13">8</cx:pt>
          <cx:pt idx="14">3</cx:pt>
          <cx:pt idx="15">7</cx:pt>
          <cx:pt idx="16">3</cx:pt>
          <cx:pt idx="17">3</cx:pt>
          <cx:pt idx="18">7</cx:pt>
        </cx:lvl>
      </cx:numDim>
    </cx:data>
  </cx:chartData>
  <cx:chart>
    <cx:title pos="t" align="ctr" overlay="0">
      <cx:tx>
        <cx:txData>
          <cx:v>Room positivity by days since symptom onset</cx:v>
        </cx:txData>
      </cx:tx>
      <cx:txPr>
        <a:bodyPr spcFirstLastPara="1" vertOverflow="ellipsis" horzOverflow="overflow" wrap="square" lIns="0" tIns="0" rIns="0" bIns="0" anchor="ctr" anchorCtr="1"/>
        <a:lstStyle/>
        <a:p>
          <a:pPr algn="ctr" rtl="0">
            <a:defRPr sz="1600" baseline="0"/>
          </a:pPr>
          <a:r>
            <a:rPr lang="en-US" sz="1600" b="0" i="0" u="none" strike="noStrike" baseline="0">
              <a:solidFill>
                <a:sysClr val="windowText" lastClr="000000">
                  <a:lumMod val="65000"/>
                  <a:lumOff val="35000"/>
                </a:sysClr>
              </a:solidFill>
              <a:latin typeface="Calibri" panose="020F0502020204030204"/>
            </a:rPr>
            <a:t>Room positivity by days since symptom onset</a:t>
          </a:r>
        </a:p>
      </cx:txPr>
    </cx:title>
    <cx:plotArea>
      <cx:plotAreaRegion>
        <cx:series layoutId="boxWhisker" uniqueId="{C43F5D21-5362-C647-B764-444FB440DB34}">
          <cx:tx>
            <cx:txData>
              <cx:f/>
              <cx:v>Negative</cx:v>
            </cx:txData>
          </cx:tx>
          <cx:dataId val="0"/>
          <cx:layoutPr>
            <cx:statistics quartileMethod="exclusive"/>
          </cx:layoutPr>
        </cx:series>
        <cx:series layoutId="boxWhisker" uniqueId="{00000003-0F8C-7540-9B67-4AFE168B12EB}">
          <cx:tx>
            <cx:txData>
              <cx:f/>
              <cx:v>Positive</cx:v>
            </cx:txData>
          </cx:tx>
          <cx:dataId val="1"/>
          <cx:layoutPr>
            <cx:statistics quartileMethod="exclusive"/>
          </cx:layoutPr>
        </cx:series>
      </cx:plotAreaRegion>
      <cx:axis id="0" hidden="1">
        <cx:catScaling gapWidth="1"/>
        <cx:tickLabels/>
      </cx:axis>
      <cx:axis id="1">
        <cx:valScaling/>
        <cx:title>
          <cx:tx>
            <cx:txData>
              <cx:v>Days since symptoms onset</cx:v>
            </cx:txData>
          </cx:tx>
          <cx:txPr>
            <a:bodyPr spcFirstLastPara="1" vertOverflow="ellipsis" horzOverflow="overflow" wrap="square" lIns="0" tIns="0" rIns="0" bIns="0" anchor="ctr" anchorCtr="1"/>
            <a:lstStyle/>
            <a:p>
              <a:pPr algn="ctr" rtl="0">
                <a:defRPr/>
              </a:pPr>
              <a:r>
                <a:rPr lang="en-US" sz="1600" b="0" i="0" u="none" strike="noStrike" baseline="0">
                  <a:solidFill>
                    <a:sysClr val="windowText" lastClr="000000">
                      <a:lumMod val="65000"/>
                      <a:lumOff val="35000"/>
                    </a:sysClr>
                  </a:solidFill>
                  <a:latin typeface="Calibri" panose="020F0502020204030204"/>
                </a:rPr>
                <a:t>Days since symptoms onset</a:t>
              </a:r>
            </a:p>
          </cx:txPr>
        </cx:title>
        <cx:majorGridlines/>
        <cx:tickLabels/>
        <cx:txPr>
          <a:bodyPr spcFirstLastPara="1" vertOverflow="ellipsis" horzOverflow="overflow" wrap="square" lIns="0" tIns="0" rIns="0" bIns="0" anchor="ctr" anchorCtr="1"/>
          <a:lstStyle/>
          <a:p>
            <a:pPr algn="ctr" rtl="0">
              <a:defRPr sz="1600" baseline="0"/>
            </a:pPr>
            <a:endParaRPr lang="en-US" sz="1600" b="0" i="0" u="none" strike="noStrike" baseline="0">
              <a:solidFill>
                <a:sysClr val="windowText" lastClr="000000">
                  <a:lumMod val="65000"/>
                  <a:lumOff val="35000"/>
                </a:sysClr>
              </a:solidFill>
              <a:latin typeface="Calibri" panose="020F0502020204030204"/>
            </a:endParaRPr>
          </a:p>
        </cx:txPr>
      </cx:axis>
    </cx:plotArea>
    <cx:legend pos="b" align="ctr" overlay="0">
      <cx:txPr>
        <a:bodyPr spcFirstLastPara="1" vertOverflow="ellipsis" horzOverflow="overflow" wrap="square" lIns="0" tIns="0" rIns="0" bIns="0" anchor="ctr" anchorCtr="1"/>
        <a:lstStyle/>
        <a:p>
          <a:pPr algn="ctr" rtl="0">
            <a:defRPr/>
          </a:pPr>
          <a:endParaRPr lang="en-US" sz="1600" b="0" i="0" u="none" strike="noStrike" baseline="0">
            <a:solidFill>
              <a:sysClr val="windowText" lastClr="000000">
                <a:lumMod val="65000"/>
                <a:lumOff val="35000"/>
              </a:sysClr>
            </a:solidFill>
            <a:latin typeface="Calibri" panose="020F0502020204030204"/>
          </a:endParaRPr>
        </a:p>
      </cx:txPr>
    </cx:legend>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Sheet1!$A$21:$A$84</cx:f>
        <cx:lvl ptCount="64" formatCode="General">
          <cx:pt idx="0">6</cx:pt>
          <cx:pt idx="1">6</cx:pt>
          <cx:pt idx="2">6</cx:pt>
          <cx:pt idx="3">6</cx:pt>
          <cx:pt idx="4">6</cx:pt>
          <cx:pt idx="5">6</cx:pt>
          <cx:pt idx="6">6</cx:pt>
          <cx:pt idx="7">7</cx:pt>
          <cx:pt idx="8">8</cx:pt>
          <cx:pt idx="9">6</cx:pt>
          <cx:pt idx="10">5</cx:pt>
          <cx:pt idx="11">4</cx:pt>
          <cx:pt idx="12">6</cx:pt>
          <cx:pt idx="13">6</cx:pt>
          <cx:pt idx="14">6</cx:pt>
          <cx:pt idx="15">6</cx:pt>
          <cx:pt idx="16">6</cx:pt>
          <cx:pt idx="17">6</cx:pt>
          <cx:pt idx="18">6</cx:pt>
          <cx:pt idx="19">6</cx:pt>
          <cx:pt idx="20">5</cx:pt>
          <cx:pt idx="21">6</cx:pt>
          <cx:pt idx="22">5</cx:pt>
          <cx:pt idx="23">4</cx:pt>
          <cx:pt idx="24">6</cx:pt>
          <cx:pt idx="25">2</cx:pt>
          <cx:pt idx="26">4</cx:pt>
          <cx:pt idx="27">6</cx:pt>
          <cx:pt idx="28">5</cx:pt>
          <cx:pt idx="29">7</cx:pt>
          <cx:pt idx="30">4</cx:pt>
          <cx:pt idx="31">2</cx:pt>
          <cx:pt idx="32">6</cx:pt>
          <cx:pt idx="33">1</cx:pt>
          <cx:pt idx="34">6</cx:pt>
          <cx:pt idx="35">5</cx:pt>
          <cx:pt idx="36">2</cx:pt>
          <cx:pt idx="37">4</cx:pt>
          <cx:pt idx="38">5</cx:pt>
          <cx:pt idx="39">3</cx:pt>
          <cx:pt idx="40">6</cx:pt>
          <cx:pt idx="41">6</cx:pt>
          <cx:pt idx="42">6</cx:pt>
          <cx:pt idx="43">5</cx:pt>
          <cx:pt idx="44">4</cx:pt>
          <cx:pt idx="45">5</cx:pt>
          <cx:pt idx="46">6</cx:pt>
          <cx:pt idx="47">2</cx:pt>
          <cx:pt idx="48">4</cx:pt>
          <cx:pt idx="49">5</cx:pt>
          <cx:pt idx="50">5</cx:pt>
          <cx:pt idx="51">6</cx:pt>
          <cx:pt idx="52">5</cx:pt>
          <cx:pt idx="53">3</cx:pt>
          <cx:pt idx="54">5</cx:pt>
          <cx:pt idx="55">2</cx:pt>
          <cx:pt idx="56">5</cx:pt>
          <cx:pt idx="57">7</cx:pt>
          <cx:pt idx="58">6</cx:pt>
          <cx:pt idx="59">4</cx:pt>
          <cx:pt idx="60">6</cx:pt>
          <cx:pt idx="61">5</cx:pt>
          <cx:pt idx="62">6</cx:pt>
          <cx:pt idx="63">5</cx:pt>
        </cx:lvl>
      </cx:numDim>
    </cx:data>
    <cx:data id="1">
      <cx:numDim type="val">
        <cx:f>Sheet1!$A$2:$A$20</cx:f>
        <cx:lvl ptCount="19" formatCode="General">
          <cx:pt idx="0">6</cx:pt>
          <cx:pt idx="1">6</cx:pt>
          <cx:pt idx="2">5</cx:pt>
          <cx:pt idx="3">4</cx:pt>
          <cx:pt idx="4">5</cx:pt>
          <cx:pt idx="5">6</cx:pt>
          <cx:pt idx="6">5</cx:pt>
          <cx:pt idx="7">5</cx:pt>
          <cx:pt idx="8">1</cx:pt>
          <cx:pt idx="9">1</cx:pt>
          <cx:pt idx="10">2</cx:pt>
          <cx:pt idx="11">4</cx:pt>
          <cx:pt idx="12">2</cx:pt>
          <cx:pt idx="13">2</cx:pt>
          <cx:pt idx="14">3</cx:pt>
          <cx:pt idx="15">6</cx:pt>
          <cx:pt idx="16">6</cx:pt>
          <cx:pt idx="17">6</cx:pt>
          <cx:pt idx="18">6</cx:pt>
        </cx:lvl>
      </cx:numDim>
    </cx:data>
  </cx:chartData>
  <cx:chart>
    <cx:title pos="t" align="ctr" overlay="0">
      <cx:tx>
        <cx:txData>
          <cx:v>Room positivity by clinical severity</cx:v>
        </cx:txData>
      </cx:tx>
      <cx:txPr>
        <a:bodyPr spcFirstLastPara="1" vertOverflow="ellipsis" horzOverflow="overflow" wrap="square" lIns="0" tIns="0" rIns="0" bIns="0" anchor="ctr" anchorCtr="1"/>
        <a:lstStyle/>
        <a:p>
          <a:pPr algn="ctr" rtl="0">
            <a:defRPr sz="1600" baseline="0"/>
          </a:pPr>
          <a:r>
            <a:rPr lang="en-US" sz="1600" b="0" i="0" u="none" strike="noStrike" baseline="0">
              <a:solidFill>
                <a:sysClr val="windowText" lastClr="000000">
                  <a:lumMod val="65000"/>
                  <a:lumOff val="35000"/>
                </a:sysClr>
              </a:solidFill>
              <a:latin typeface="Calibri" panose="020F0502020204030204"/>
            </a:rPr>
            <a:t>Room positivity by clinical severity</a:t>
          </a:r>
        </a:p>
      </cx:txPr>
    </cx:title>
    <cx:plotArea>
      <cx:plotAreaRegion>
        <cx:series layoutId="boxWhisker" uniqueId="{B888C72E-C4E8-C04A-B10F-0CEB1C8C896A}">
          <cx:tx>
            <cx:txData>
              <cx:f/>
              <cx:v>Negative</cx:v>
            </cx:txData>
          </cx:tx>
          <cx:dataId val="0"/>
          <cx:layoutPr>
            <cx:visibility meanLine="0" meanMarker="1" nonoutliers="0" outliers="1"/>
            <cx:statistics quartileMethod="exclusive"/>
          </cx:layoutPr>
        </cx:series>
        <cx:series layoutId="boxWhisker" uniqueId="{00000001-2E1F-834F-BC9F-D702D6F91C88}">
          <cx:tx>
            <cx:txData>
              <cx:f/>
              <cx:v>Positive</cx:v>
            </cx:txData>
          </cx:tx>
          <cx:dataId val="1"/>
          <cx:layoutPr>
            <cx:statistics quartileMethod="exclusive"/>
          </cx:layoutPr>
        </cx:series>
      </cx:plotAreaRegion>
      <cx:axis id="0" hidden="1">
        <cx:catScaling gapWidth="1"/>
        <cx:tickLabels/>
        <cx:txPr>
          <a:bodyPr vertOverflow="overflow" horzOverflow="overflow" wrap="square" lIns="0" tIns="0" rIns="0" bIns="0"/>
          <a:lstStyle/>
          <a:p>
            <a:pPr algn="ctr" rtl="0">
              <a:defRPr sz="1600" b="0" i="0" baseline="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US" sz="1600" baseline="0"/>
          </a:p>
        </cx:txPr>
      </cx:axis>
      <cx:axis id="1">
        <cx:valScaling/>
        <cx:title>
          <cx:tx>
            <cx:txData>
              <cx:v>COVID-19 Severity Index</cx:v>
            </cx:txData>
          </cx:tx>
          <cx:txPr>
            <a:bodyPr spcFirstLastPara="1" vertOverflow="ellipsis" horzOverflow="overflow" wrap="square" lIns="0" tIns="0" rIns="0" bIns="0" anchor="ctr" anchorCtr="1"/>
            <a:lstStyle/>
            <a:p>
              <a:pPr algn="ctr" rtl="0">
                <a:defRPr/>
              </a:pPr>
              <a:r>
                <a:rPr lang="en-US" sz="1600" b="0" i="0" u="none" strike="noStrike" baseline="0">
                  <a:solidFill>
                    <a:sysClr val="windowText" lastClr="000000">
                      <a:lumMod val="65000"/>
                      <a:lumOff val="35000"/>
                    </a:sysClr>
                  </a:solidFill>
                  <a:latin typeface="Calibri" panose="020F0502020204030204"/>
                </a:rPr>
                <a:t>COVID-19 Severity Index</a:t>
              </a:r>
            </a:p>
          </cx:txPr>
        </cx:title>
        <cx:majorGridlines/>
        <cx:tickLabels/>
        <cx:txPr>
          <a:bodyPr spcFirstLastPara="1" vertOverflow="ellipsis" horzOverflow="overflow" wrap="square" lIns="0" tIns="0" rIns="0" bIns="0" anchor="ctr" anchorCtr="1"/>
          <a:lstStyle/>
          <a:p>
            <a:pPr algn="ctr" rtl="0">
              <a:defRPr sz="1600" baseline="0"/>
            </a:pPr>
            <a:endParaRPr lang="en-US" sz="1600" b="0" i="0" u="none" strike="noStrike" baseline="0">
              <a:solidFill>
                <a:sysClr val="windowText" lastClr="000000">
                  <a:lumMod val="65000"/>
                  <a:lumOff val="35000"/>
                </a:sysClr>
              </a:solidFill>
              <a:latin typeface="Calibri" panose="020F0502020204030204"/>
            </a:endParaRPr>
          </a:p>
        </cx:txPr>
      </cx:axis>
    </cx:plotArea>
    <cx:legend pos="b" align="ctr" overlay="0">
      <cx:txPr>
        <a:bodyPr spcFirstLastPara="1" vertOverflow="ellipsis" horzOverflow="overflow" wrap="square" lIns="0" tIns="0" rIns="0" bIns="0" anchor="ctr" anchorCtr="1"/>
        <a:lstStyle/>
        <a:p>
          <a:pPr algn="ctr" rtl="0">
            <a:defRPr sz="1600" baseline="0"/>
          </a:pPr>
          <a:endParaRPr lang="en-US" sz="1600" b="0" i="0" u="none" strike="noStrike" baseline="0">
            <a:solidFill>
              <a:sysClr val="windowText" lastClr="000000">
                <a:lumMod val="65000"/>
                <a:lumOff val="35000"/>
              </a:sysClr>
            </a:solidFill>
            <a:latin typeface="Calibri" panose="020F0502020204030204"/>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Windy</dc:creator>
  <cp:keywords/>
  <dc:description/>
  <cp:lastModifiedBy>Tanner, Windy</cp:lastModifiedBy>
  <cp:revision>2</cp:revision>
  <dcterms:created xsi:type="dcterms:W3CDTF">2023-06-15T04:50:00Z</dcterms:created>
  <dcterms:modified xsi:type="dcterms:W3CDTF">2023-06-15T04:50:00Z</dcterms:modified>
</cp:coreProperties>
</file>