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7AEF" w14:textId="77777777" w:rsidR="00FE5C3D" w:rsidRDefault="00FE5C3D" w:rsidP="00FE5C3D">
      <w:pPr>
        <w:pStyle w:val="Heading1"/>
      </w:pPr>
      <w:r>
        <w:t>Supplemental Figures: One-Way Sensitivity Analysis for Clinical Outcomes</w:t>
      </w:r>
    </w:p>
    <w:p w14:paraId="44632340" w14:textId="77777777" w:rsidR="00FE5C3D" w:rsidRDefault="00FE5C3D" w:rsidP="00FE5C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noProof/>
        </w:rPr>
        <w:drawing>
          <wp:inline distT="0" distB="0" distL="0" distR="0" wp14:anchorId="38B12721" wp14:editId="7F36DEEC">
            <wp:extent cx="5943600" cy="1981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E3B2449-0E19-B8E9-525C-46795A63B0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A4C34FA" w14:textId="77777777" w:rsidR="00FE5C3D" w:rsidRDefault="00FE5C3D" w:rsidP="00FE5C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noProof/>
        </w:rPr>
        <w:drawing>
          <wp:inline distT="0" distB="0" distL="0" distR="0" wp14:anchorId="7712FDF0" wp14:editId="2EA4EA48">
            <wp:extent cx="5953125" cy="2647950"/>
            <wp:effectExtent l="0" t="0" r="952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D82D120-2943-8BCB-F162-49EB8BA8B5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0E1CA2A" w14:textId="65974CDC" w:rsidR="005D7130" w:rsidRPr="00FE5C3D" w:rsidRDefault="00FE5C3D" w:rsidP="00FE5C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noProof/>
        </w:rPr>
        <w:drawing>
          <wp:inline distT="0" distB="0" distL="0" distR="0" wp14:anchorId="07BC9D02" wp14:editId="69E008D3">
            <wp:extent cx="5981700" cy="240982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7251864-67A4-D31B-315C-CD69D042F3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D7130" w:rsidRPr="00FE5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3D"/>
    <w:rsid w:val="00684A6C"/>
    <w:rsid w:val="00B13844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30E9"/>
  <w15:chartTrackingRefBased/>
  <w15:docId w15:val="{D75A6178-ED5C-48EE-AC9F-F9B0D65D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C3D"/>
  </w:style>
  <w:style w:type="paragraph" w:styleId="Heading1">
    <w:name w:val="heading 1"/>
    <w:basedOn w:val="Normal"/>
    <w:next w:val="Normal"/>
    <w:link w:val="Heading1Char"/>
    <w:uiPriority w:val="9"/>
    <w:qFormat/>
    <w:rsid w:val="00FE5C3D"/>
    <w:pPr>
      <w:spacing w:line="480" w:lineRule="auto"/>
      <w:outlineLvl w:val="0"/>
    </w:pPr>
    <w:rPr>
      <w:rFonts w:ascii="Times New Roman" w:hAnsi="Times New Roman" w:cs="Times New Roman"/>
      <w:b/>
      <w:bCs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C3D"/>
    <w:rPr>
      <w:rFonts w:ascii="Times New Roman" w:hAnsi="Times New Roman" w:cs="Times New Roman"/>
      <w:b/>
      <w:bCs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hia9\EconoMedRx%20Dropbox\Cynthia%20G\My%20files\Projects\Dental%20PPX%20Cost%20Analysis\Dental%20Model%20v6%20-%20Sensitivity%20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hia9\EconoMedRx%20Dropbox\Cynthia%20G\My%20files\Projects\Dental%20PPX%20Cost%20Analysis\Dental%20Model%20v6%20-%20Sensitivity%20Analysi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hia9\EconoMedRx%20Dropbox\Cynthia%20G\My%20files\Projects\Dental%20PPX%20Cost%20Analysis\Dental%20Model%20v6%20-%20Sensitivity%20Analysi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One-Way Sensitivity Analysis: </a:t>
            </a:r>
            <a:r>
              <a:rPr lang="en-US" baseline="0"/>
              <a:t>CDI Cases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bg1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'Sensitivity analysis CDI'!$J$2:$J$7</c:f>
              <c:strCache>
                <c:ptCount val="6"/>
                <c:pt idx="0">
                  <c:v>% Dental Visits, With Abx Prescribed</c:v>
                </c:pt>
                <c:pt idx="1">
                  <c:v>% Inappropriate, with dental visits</c:v>
                </c:pt>
                <c:pt idx="2">
                  <c:v>% With Dental Visits</c:v>
                </c:pt>
                <c:pt idx="3">
                  <c:v>Drug distribution, Cephalexin</c:v>
                </c:pt>
                <c:pt idx="4">
                  <c:v>Drug distribution, Amoxicillin</c:v>
                </c:pt>
                <c:pt idx="5">
                  <c:v>Drug distribution, Clindamycin</c:v>
                </c:pt>
              </c:strCache>
            </c:strRef>
          </c:cat>
          <c:val>
            <c:numRef>
              <c:f>'Sensitivity analysis CDI'!$K$2:$K$7</c:f>
              <c:numCache>
                <c:formatCode>0</c:formatCode>
                <c:ptCount val="6"/>
                <c:pt idx="0">
                  <c:v>707.37067040191153</c:v>
                </c:pt>
                <c:pt idx="1">
                  <c:v>449.21020671456569</c:v>
                </c:pt>
                <c:pt idx="2">
                  <c:v>614.08366674836293</c:v>
                </c:pt>
                <c:pt idx="3">
                  <c:v>735.07687914655321</c:v>
                </c:pt>
                <c:pt idx="4">
                  <c:v>744.47752874266382</c:v>
                </c:pt>
                <c:pt idx="5">
                  <c:v>753.57478157550361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D4-470F-B256-4BB5FFF75360}"/>
            </c:ext>
          </c:extLst>
        </c:ser>
        <c:ser>
          <c:idx val="1"/>
          <c:order val="1"/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'Sensitivity analysis CDI'!$J$2:$J$7</c:f>
              <c:strCache>
                <c:ptCount val="6"/>
                <c:pt idx="0">
                  <c:v>% Dental Visits, With Abx Prescribed</c:v>
                </c:pt>
                <c:pt idx="1">
                  <c:v>% Inappropriate, with dental visits</c:v>
                </c:pt>
                <c:pt idx="2">
                  <c:v>% With Dental Visits</c:v>
                </c:pt>
                <c:pt idx="3">
                  <c:v>Drug distribution, Cephalexin</c:v>
                </c:pt>
                <c:pt idx="4">
                  <c:v>Drug distribution, Amoxicillin</c:v>
                </c:pt>
                <c:pt idx="5">
                  <c:v>Drug distribution, Clindamycin</c:v>
                </c:pt>
              </c:strCache>
            </c:strRef>
          </c:cat>
          <c:val>
            <c:numRef>
              <c:f>'Sensitivity analysis CDI'!$L$2:$L$7</c:f>
              <c:numCache>
                <c:formatCode>0</c:formatCode>
                <c:ptCount val="6"/>
                <c:pt idx="0">
                  <c:v>501.01158774155795</c:v>
                </c:pt>
                <c:pt idx="1">
                  <c:v>371.06809448611665</c:v>
                </c:pt>
                <c:pt idx="2">
                  <c:v>307.04183337418135</c:v>
                </c:pt>
                <c:pt idx="3">
                  <c:v>54.70568448587801</c:v>
                </c:pt>
                <c:pt idx="4">
                  <c:v>46.254109385579568</c:v>
                </c:pt>
                <c:pt idx="5">
                  <c:v>26.40903879519999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D4-470F-B256-4BB5FFF75360}"/>
            </c:ext>
          </c:extLst>
        </c:ser>
        <c:ser>
          <c:idx val="2"/>
          <c:order val="2"/>
          <c:spPr>
            <a:solidFill>
              <a:schemeClr val="bg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'Sensitivity analysis CDI'!$J$2:$J$7</c:f>
              <c:strCache>
                <c:ptCount val="6"/>
                <c:pt idx="0">
                  <c:v>% Dental Visits, With Abx Prescribed</c:v>
                </c:pt>
                <c:pt idx="1">
                  <c:v>% Inappropriate, with dental visits</c:v>
                </c:pt>
                <c:pt idx="2">
                  <c:v>% With Dental Visits</c:v>
                </c:pt>
                <c:pt idx="3">
                  <c:v>Drug distribution, Cephalexin</c:v>
                </c:pt>
                <c:pt idx="4">
                  <c:v>Drug distribution, Amoxicillin</c:v>
                </c:pt>
                <c:pt idx="5">
                  <c:v>Drug distribution, Clindamycin</c:v>
                </c:pt>
              </c:strCache>
            </c:strRef>
          </c:cat>
          <c:val>
            <c:numRef>
              <c:f>'Sensitivity analysis CDI'!$M$2:$M$7</c:f>
              <c:numCache>
                <c:formatCode>0</c:formatCode>
                <c:ptCount val="6"/>
                <c:pt idx="0">
                  <c:v>1208.3822581434695</c:v>
                </c:pt>
                <c:pt idx="1">
                  <c:v>820.27830120068234</c:v>
                </c:pt>
                <c:pt idx="2">
                  <c:v>921.12550012254428</c:v>
                </c:pt>
                <c:pt idx="3">
                  <c:v>789.78256363243122</c:v>
                </c:pt>
                <c:pt idx="4">
                  <c:v>790.73163812824339</c:v>
                </c:pt>
                <c:pt idx="5">
                  <c:v>779.9838203707036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D4-470F-B256-4BB5FFF753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726203008"/>
        <c:axId val="846606608"/>
      </c:barChart>
      <c:catAx>
        <c:axId val="7262030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6606608"/>
        <c:crosses val="autoZero"/>
        <c:auto val="1"/>
        <c:lblAlgn val="ctr"/>
        <c:lblOffset val="100"/>
        <c:noMultiLvlLbl val="0"/>
      </c:catAx>
      <c:valAx>
        <c:axId val="846606608"/>
        <c:scaling>
          <c:orientation val="minMax"/>
          <c:max val="20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620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One-Way Sensitivity Analysis: </a:t>
            </a:r>
            <a:r>
              <a:rPr lang="en-US" sz="1400"/>
              <a:t>Anaphylaxis Cases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noFill/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'Sensitivity analysis anaphalysi'!$J$2:$J$9</c:f>
              <c:strCache>
                <c:ptCount val="8"/>
                <c:pt idx="0">
                  <c:v>% Dental Visits, With Abx Prescribed</c:v>
                </c:pt>
                <c:pt idx="1">
                  <c:v>% Inappropriate, with dental visits</c:v>
                </c:pt>
                <c:pt idx="2">
                  <c:v>Anaphylaxis Risk, Clindamycin</c:v>
                </c:pt>
                <c:pt idx="3">
                  <c:v>% With Dental Visits</c:v>
                </c:pt>
                <c:pt idx="4">
                  <c:v>Anaphylaxis Risk, Amoxicillin</c:v>
                </c:pt>
                <c:pt idx="5">
                  <c:v>Drug distribution, Clindamycin</c:v>
                </c:pt>
                <c:pt idx="6">
                  <c:v>Drug distribution, Amoxicillin</c:v>
                </c:pt>
                <c:pt idx="7">
                  <c:v>Drug distribution, Cephalexin</c:v>
                </c:pt>
              </c:strCache>
            </c:strRef>
          </c:cat>
          <c:val>
            <c:numRef>
              <c:f>'Sensitivity analysis anaphalysi'!$K$2:$K$9</c:f>
              <c:numCache>
                <c:formatCode>0</c:formatCode>
                <c:ptCount val="8"/>
                <c:pt idx="0">
                  <c:v>94.683443785579982</c:v>
                </c:pt>
                <c:pt idx="1">
                  <c:v>60.127979763708908</c:v>
                </c:pt>
                <c:pt idx="2">
                  <c:v>57.398858023828261</c:v>
                </c:pt>
                <c:pt idx="3">
                  <c:v>82.196730473961594</c:v>
                </c:pt>
                <c:pt idx="4">
                  <c:v>92.093647400736032</c:v>
                </c:pt>
                <c:pt idx="5">
                  <c:v>98.704116381204813</c:v>
                </c:pt>
                <c:pt idx="6">
                  <c:v>100.55912229283042</c:v>
                </c:pt>
                <c:pt idx="7">
                  <c:v>102.40665662403858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43-4F09-8691-93E92490E993}"/>
            </c:ext>
          </c:extLst>
        </c:ser>
        <c:ser>
          <c:idx val="1"/>
          <c:order val="1"/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'Sensitivity analysis anaphalysi'!$J$2:$J$9</c:f>
              <c:strCache>
                <c:ptCount val="8"/>
                <c:pt idx="0">
                  <c:v>% Dental Visits, With Abx Prescribed</c:v>
                </c:pt>
                <c:pt idx="1">
                  <c:v>% Inappropriate, with dental visits</c:v>
                </c:pt>
                <c:pt idx="2">
                  <c:v>Anaphylaxis Risk, Clindamycin</c:v>
                </c:pt>
                <c:pt idx="3">
                  <c:v>% With Dental Visits</c:v>
                </c:pt>
                <c:pt idx="4">
                  <c:v>Anaphylaxis Risk, Amoxicillin</c:v>
                </c:pt>
                <c:pt idx="5">
                  <c:v>Drug distribution, Clindamycin</c:v>
                </c:pt>
                <c:pt idx="6">
                  <c:v>Drug distribution, Amoxicillin</c:v>
                </c:pt>
                <c:pt idx="7">
                  <c:v>Drug distribution, Cephalexin</c:v>
                </c:pt>
              </c:strCache>
            </c:strRef>
          </c:cat>
          <c:val>
            <c:numRef>
              <c:f>'Sensitivity analysis anaphalysi'!$L$2:$L$9</c:f>
              <c:numCache>
                <c:formatCode>0</c:formatCode>
                <c:ptCount val="8"/>
                <c:pt idx="0">
                  <c:v>67.061732255451119</c:v>
                </c:pt>
                <c:pt idx="1">
                  <c:v>49.668450410781361</c:v>
                </c:pt>
                <c:pt idx="2">
                  <c:v>47.706938972438415</c:v>
                </c:pt>
                <c:pt idx="3">
                  <c:v>41.098365236980797</c:v>
                </c:pt>
                <c:pt idx="4">
                  <c:v>21.30453138343195</c:v>
                </c:pt>
                <c:pt idx="5">
                  <c:v>7.6080879270535036</c:v>
                </c:pt>
                <c:pt idx="6">
                  <c:v>3.165415227737256</c:v>
                </c:pt>
                <c:pt idx="7">
                  <c:v>0.67851293682684855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43-4F09-8691-93E92490E993}"/>
            </c:ext>
          </c:extLst>
        </c:ser>
        <c:ser>
          <c:idx val="2"/>
          <c:order val="2"/>
          <c:spPr>
            <a:noFill/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'Sensitivity analysis anaphalysi'!$J$2:$J$9</c:f>
              <c:strCache>
                <c:ptCount val="8"/>
                <c:pt idx="0">
                  <c:v>% Dental Visits, With Abx Prescribed</c:v>
                </c:pt>
                <c:pt idx="1">
                  <c:v>% Inappropriate, with dental visits</c:v>
                </c:pt>
                <c:pt idx="2">
                  <c:v>Anaphylaxis Risk, Clindamycin</c:v>
                </c:pt>
                <c:pt idx="3">
                  <c:v>% With Dental Visits</c:v>
                </c:pt>
                <c:pt idx="4">
                  <c:v>Anaphylaxis Risk, Amoxicillin</c:v>
                </c:pt>
                <c:pt idx="5">
                  <c:v>Drug distribution, Clindamycin</c:v>
                </c:pt>
                <c:pt idx="6">
                  <c:v>Drug distribution, Amoxicillin</c:v>
                </c:pt>
                <c:pt idx="7">
                  <c:v>Drug distribution, Cephalexin</c:v>
                </c:pt>
              </c:strCache>
            </c:strRef>
          </c:cat>
          <c:val>
            <c:numRef>
              <c:f>'Sensitivity analysis anaphalysi'!$M$2:$M$9</c:f>
              <c:numCache>
                <c:formatCode>0</c:formatCode>
                <c:ptCount val="8"/>
                <c:pt idx="0">
                  <c:v>161.7451760410311</c:v>
                </c:pt>
                <c:pt idx="1">
                  <c:v>109.79643017449027</c:v>
                </c:pt>
                <c:pt idx="2">
                  <c:v>105.10579699626668</c:v>
                </c:pt>
                <c:pt idx="3">
                  <c:v>123.29509571094239</c:v>
                </c:pt>
                <c:pt idx="4">
                  <c:v>113.39817878416798</c:v>
                </c:pt>
                <c:pt idx="5">
                  <c:v>106.31220430825832</c:v>
                </c:pt>
                <c:pt idx="6">
                  <c:v>103.72453752056768</c:v>
                </c:pt>
                <c:pt idx="7">
                  <c:v>103.08516956086542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43-4F09-8691-93E92490E9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5495312"/>
        <c:axId val="797319743"/>
      </c:barChart>
      <c:catAx>
        <c:axId val="7254953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7319743"/>
        <c:crosses val="autoZero"/>
        <c:auto val="1"/>
        <c:lblAlgn val="ctr"/>
        <c:lblOffset val="100"/>
        <c:noMultiLvlLbl val="0"/>
      </c:catAx>
      <c:valAx>
        <c:axId val="797319743"/>
        <c:scaling>
          <c:orientation val="minMax"/>
          <c:max val="25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549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One-Way Sensitivity Analysis: Endocarditis Cases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bg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'Sensitivity endocarditis'!$J$2:$J$6</c:f>
              <c:strCache>
                <c:ptCount val="5"/>
                <c:pt idx="0">
                  <c:v>% Dental Visits, With Abx Prescribed</c:v>
                </c:pt>
                <c:pt idx="1">
                  <c:v>% Inappropriate, with dental visits</c:v>
                </c:pt>
                <c:pt idx="2">
                  <c:v>% With Dental Visits</c:v>
                </c:pt>
                <c:pt idx="3">
                  <c:v>Risk, Endocarditis, No known PCCs, no ppx</c:v>
                </c:pt>
                <c:pt idx="4">
                  <c:v>Risk, Endocarditis, No known PCCs, ppx</c:v>
                </c:pt>
              </c:strCache>
            </c:strRef>
          </c:cat>
          <c:val>
            <c:numRef>
              <c:f>'Sensitivity endocarditis'!$K$2:$K$6</c:f>
              <c:numCache>
                <c:formatCode>0.0</c:formatCode>
                <c:ptCount val="5"/>
                <c:pt idx="0">
                  <c:v>2.9720214920388495</c:v>
                </c:pt>
                <c:pt idx="1">
                  <c:v>1.8873589825831367</c:v>
                </c:pt>
                <c:pt idx="2">
                  <c:v>2.580075668742662</c:v>
                </c:pt>
                <c:pt idx="3">
                  <c:v>2.9858418633476345</c:v>
                </c:pt>
                <c:pt idx="4">
                  <c:v>3.0574695660202682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97-4917-B233-97A74904B965}"/>
            </c:ext>
          </c:extLst>
        </c:ser>
        <c:ser>
          <c:idx val="1"/>
          <c:order val="1"/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'Sensitivity endocarditis'!$J$2:$J$6</c:f>
              <c:strCache>
                <c:ptCount val="5"/>
                <c:pt idx="0">
                  <c:v>% Dental Visits, With Abx Prescribed</c:v>
                </c:pt>
                <c:pt idx="1">
                  <c:v>% Inappropriate, with dental visits</c:v>
                </c:pt>
                <c:pt idx="2">
                  <c:v>% With Dental Visits</c:v>
                </c:pt>
                <c:pt idx="3">
                  <c:v>Risk, Endocarditis, No known PCCs, no ppx</c:v>
                </c:pt>
                <c:pt idx="4">
                  <c:v>Risk, Endocarditis, No known PCCs, ppx</c:v>
                </c:pt>
              </c:strCache>
            </c:strRef>
          </c:cat>
          <c:val>
            <c:numRef>
              <c:f>'Sensitivity endocarditis'!$L$2:$L$6</c:f>
              <c:numCache>
                <c:formatCode>0.0</c:formatCode>
                <c:ptCount val="5"/>
                <c:pt idx="0">
                  <c:v>2.1050027500891328</c:v>
                </c:pt>
                <c:pt idx="1">
                  <c:v>1.5590444981215337</c:v>
                </c:pt>
                <c:pt idx="2">
                  <c:v>1.2900378343713301</c:v>
                </c:pt>
                <c:pt idx="3">
                  <c:v>0.78221202619592667</c:v>
                </c:pt>
                <c:pt idx="4">
                  <c:v>0.24148827654370875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97-4917-B233-97A74904B965}"/>
            </c:ext>
          </c:extLst>
        </c:ser>
        <c:ser>
          <c:idx val="2"/>
          <c:order val="2"/>
          <c:spPr>
            <a:solidFill>
              <a:schemeClr val="bg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'Sensitivity endocarditis'!$J$2:$J$6</c:f>
              <c:strCache>
                <c:ptCount val="5"/>
                <c:pt idx="0">
                  <c:v>% Dental Visits, With Abx Prescribed</c:v>
                </c:pt>
                <c:pt idx="1">
                  <c:v>% Inappropriate, with dental visits</c:v>
                </c:pt>
                <c:pt idx="2">
                  <c:v>% With Dental Visits</c:v>
                </c:pt>
                <c:pt idx="3">
                  <c:v>Risk, Endocarditis, No known PCCs, no ppx</c:v>
                </c:pt>
                <c:pt idx="4">
                  <c:v>Risk, Endocarditis, No known PCCs, ppx</c:v>
                </c:pt>
              </c:strCache>
            </c:strRef>
          </c:cat>
          <c:val>
            <c:numRef>
              <c:f>'Sensitivity endocarditis'!$M$2:$M$6</c:f>
              <c:numCache>
                <c:formatCode>0.0</c:formatCode>
                <c:ptCount val="5"/>
                <c:pt idx="0">
                  <c:v>5.0770242421279823</c:v>
                </c:pt>
                <c:pt idx="1">
                  <c:v>3.4464034807046704</c:v>
                </c:pt>
                <c:pt idx="2">
                  <c:v>3.8701135031139922</c:v>
                </c:pt>
                <c:pt idx="3">
                  <c:v>3.7680538895435611</c:v>
                </c:pt>
                <c:pt idx="4">
                  <c:v>3.2989578425639769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97-4917-B233-97A74904B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9566336"/>
        <c:axId val="613357216"/>
      </c:barChart>
      <c:catAx>
        <c:axId val="4995663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357216"/>
        <c:crosses val="autoZero"/>
        <c:auto val="1"/>
        <c:lblAlgn val="ctr"/>
        <c:lblOffset val="100"/>
        <c:noMultiLvlLbl val="0"/>
      </c:catAx>
      <c:valAx>
        <c:axId val="61335721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56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Gong</dc:creator>
  <cp:keywords/>
  <dc:description/>
  <cp:lastModifiedBy>Cynthia Gong</cp:lastModifiedBy>
  <cp:revision>1</cp:revision>
  <dcterms:created xsi:type="dcterms:W3CDTF">2023-03-01T23:44:00Z</dcterms:created>
  <dcterms:modified xsi:type="dcterms:W3CDTF">2023-03-01T23:44:00Z</dcterms:modified>
</cp:coreProperties>
</file>