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EDD35" w14:textId="1406A32D" w:rsidR="00C82256" w:rsidRPr="00727D23" w:rsidRDefault="00C82256">
      <w:pPr>
        <w:rPr>
          <w:rFonts w:cs="Times New Roman"/>
          <w:b/>
          <w:bCs/>
          <w:sz w:val="28"/>
          <w:szCs w:val="24"/>
        </w:rPr>
      </w:pPr>
      <w:r w:rsidRPr="00727D23">
        <w:rPr>
          <w:rFonts w:cs="Times New Roman"/>
          <w:b/>
          <w:bCs/>
          <w:sz w:val="28"/>
          <w:szCs w:val="24"/>
        </w:rPr>
        <w:t>Supplementary Information for Census Block Group Clustering</w:t>
      </w:r>
    </w:p>
    <w:p w14:paraId="1361FADD" w14:textId="55890983" w:rsidR="00E5307E" w:rsidRPr="00727D23" w:rsidRDefault="00E5307E">
      <w:pPr>
        <w:rPr>
          <w:rFonts w:cs="Times New Roman"/>
          <w:b/>
          <w:bCs/>
          <w:sz w:val="28"/>
          <w:szCs w:val="24"/>
        </w:rPr>
      </w:pPr>
      <w:r w:rsidRPr="00727D23">
        <w:rPr>
          <w:rFonts w:cs="Times New Roman"/>
          <w:b/>
          <w:bCs/>
          <w:sz w:val="28"/>
          <w:szCs w:val="24"/>
        </w:rPr>
        <w:t>Methods</w:t>
      </w:r>
    </w:p>
    <w:p w14:paraId="772358FF" w14:textId="79548F95" w:rsidR="00CA3A66" w:rsidRPr="00727D23" w:rsidRDefault="007D7C05">
      <w:pPr>
        <w:rPr>
          <w:rFonts w:cs="Times New Roman"/>
          <w:b/>
          <w:bCs/>
        </w:rPr>
      </w:pPr>
      <w:r w:rsidRPr="00727D23">
        <w:rPr>
          <w:rFonts w:cs="Times New Roman"/>
          <w:b/>
          <w:bCs/>
        </w:rPr>
        <w:t>Data source</w:t>
      </w:r>
    </w:p>
    <w:p w14:paraId="6F1B0C45" w14:textId="18CD6AA5" w:rsidR="00C05D3E" w:rsidRPr="002A1888" w:rsidRDefault="00F57189" w:rsidP="00C05D3E">
      <w:pPr>
        <w:rPr>
          <w:rFonts w:cs="Times New Roman"/>
          <w:szCs w:val="24"/>
        </w:rPr>
      </w:pPr>
      <w:r w:rsidRPr="002A1888">
        <w:rPr>
          <w:rFonts w:cs="Times New Roman"/>
          <w:szCs w:val="24"/>
        </w:rPr>
        <w:t xml:space="preserve">Our </w:t>
      </w:r>
      <w:r w:rsidR="00BC4F42" w:rsidRPr="002A1888">
        <w:rPr>
          <w:rFonts w:cs="Times New Roman"/>
          <w:szCs w:val="24"/>
        </w:rPr>
        <w:t xml:space="preserve">community </w:t>
      </w:r>
      <w:r w:rsidRPr="002A1888">
        <w:rPr>
          <w:rFonts w:cs="Times New Roman"/>
          <w:szCs w:val="24"/>
        </w:rPr>
        <w:t>network</w:t>
      </w:r>
      <w:r w:rsidR="00E5307E" w:rsidRPr="002A1888">
        <w:rPr>
          <w:rFonts w:cs="Times New Roman"/>
          <w:szCs w:val="24"/>
        </w:rPr>
        <w:t xml:space="preserve">s </w:t>
      </w:r>
      <w:r w:rsidR="00C82256" w:rsidRPr="002A1888">
        <w:rPr>
          <w:rFonts w:cs="Times New Roman"/>
          <w:szCs w:val="24"/>
        </w:rPr>
        <w:t>we</w:t>
      </w:r>
      <w:r w:rsidR="00E5307E" w:rsidRPr="002A1888">
        <w:rPr>
          <w:rFonts w:cs="Times New Roman"/>
          <w:szCs w:val="24"/>
        </w:rPr>
        <w:t xml:space="preserve">re </w:t>
      </w:r>
      <w:r w:rsidR="00F2413E" w:rsidRPr="002A1888">
        <w:rPr>
          <w:rFonts w:cs="Times New Roman"/>
          <w:szCs w:val="24"/>
        </w:rPr>
        <w:t xml:space="preserve">developed using </w:t>
      </w:r>
      <w:r w:rsidR="00232F54" w:rsidRPr="002A1888">
        <w:rPr>
          <w:rFonts w:cs="Times New Roman"/>
          <w:szCs w:val="24"/>
        </w:rPr>
        <w:t>movement</w:t>
      </w:r>
      <w:r w:rsidRPr="002A1888">
        <w:rPr>
          <w:rFonts w:cs="Times New Roman"/>
          <w:szCs w:val="24"/>
        </w:rPr>
        <w:t xml:space="preserve"> data from SafeGraph</w:t>
      </w:r>
      <w:r w:rsidR="002A1888" w:rsidRPr="002A1888">
        <w:rPr>
          <w:rFonts w:cs="Times New Roman"/>
          <w:szCs w:val="24"/>
        </w:rPr>
        <w:t xml:space="preserve"> (</w:t>
      </w:r>
      <w:hyperlink r:id="rId10" w:history="1">
        <w:r w:rsidR="002A1888" w:rsidRPr="002A1888">
          <w:rPr>
            <w:rStyle w:val="cf01"/>
            <w:rFonts w:ascii="Times New Roman" w:hAnsi="Times New Roman" w:cs="Times New Roman"/>
            <w:color w:val="0000FF"/>
            <w:sz w:val="24"/>
            <w:szCs w:val="24"/>
            <w:u w:val="single"/>
          </w:rPr>
          <w:t>www.safegraph.com</w:t>
        </w:r>
      </w:hyperlink>
      <w:r w:rsidR="002A1888" w:rsidRPr="002A1888">
        <w:rPr>
          <w:rFonts w:cs="Times New Roman"/>
          <w:szCs w:val="24"/>
        </w:rPr>
        <w:t>)</w:t>
      </w:r>
      <w:r w:rsidRPr="002A1888">
        <w:rPr>
          <w:rFonts w:cs="Times New Roman"/>
          <w:szCs w:val="24"/>
        </w:rPr>
        <w:t>, a data company that aggregates anonymized location data from million</w:t>
      </w:r>
      <w:r w:rsidR="00BF3BD1" w:rsidRPr="002A1888">
        <w:rPr>
          <w:rFonts w:cs="Times New Roman"/>
          <w:szCs w:val="24"/>
        </w:rPr>
        <w:t>s of</w:t>
      </w:r>
      <w:r w:rsidRPr="002A1888">
        <w:rPr>
          <w:rFonts w:cs="Times New Roman"/>
          <w:szCs w:val="24"/>
        </w:rPr>
        <w:t xml:space="preserve"> mobile devices to provide insights about movement patterns. SafeGraph collects </w:t>
      </w:r>
      <w:r w:rsidR="00232F54" w:rsidRPr="002A1888">
        <w:rPr>
          <w:rFonts w:cs="Times New Roman"/>
          <w:szCs w:val="24"/>
        </w:rPr>
        <w:t xml:space="preserve">hourly </w:t>
      </w:r>
      <w:r w:rsidRPr="002A1888">
        <w:rPr>
          <w:rFonts w:cs="Times New Roman"/>
          <w:szCs w:val="24"/>
        </w:rPr>
        <w:t xml:space="preserve">data of visits to </w:t>
      </w:r>
      <w:r w:rsidR="00DE15F1" w:rsidRPr="002A1888">
        <w:rPr>
          <w:rFonts w:cs="Times New Roman"/>
          <w:szCs w:val="24"/>
        </w:rPr>
        <w:t xml:space="preserve">millions of </w:t>
      </w:r>
      <w:r w:rsidRPr="002A1888">
        <w:rPr>
          <w:rFonts w:cs="Times New Roman"/>
          <w:szCs w:val="24"/>
        </w:rPr>
        <w:t>points of interest (POIs)</w:t>
      </w:r>
      <w:r w:rsidR="00DE15F1" w:rsidRPr="002A1888">
        <w:rPr>
          <w:rFonts w:cs="Times New Roman"/>
          <w:szCs w:val="24"/>
        </w:rPr>
        <w:t xml:space="preserve"> across the US</w:t>
      </w:r>
      <w:r w:rsidRPr="002A1888">
        <w:rPr>
          <w:rFonts w:cs="Times New Roman"/>
          <w:szCs w:val="24"/>
        </w:rPr>
        <w:t xml:space="preserve">, which include different types of businesses and establishments, such as retail stores, restaurants, </w:t>
      </w:r>
      <w:r w:rsidR="004318C0" w:rsidRPr="002A1888">
        <w:rPr>
          <w:rFonts w:cs="Times New Roman"/>
          <w:szCs w:val="24"/>
        </w:rPr>
        <w:t xml:space="preserve">schools, healthcare facilities, etc. </w:t>
      </w:r>
      <w:r w:rsidR="00232F54" w:rsidRPr="002A1888">
        <w:rPr>
          <w:rFonts w:cs="Times New Roman"/>
          <w:szCs w:val="24"/>
        </w:rPr>
        <w:t>The visit dataset includes details such as the number of visits</w:t>
      </w:r>
      <w:r w:rsidR="00BF3BD1" w:rsidRPr="002A1888">
        <w:rPr>
          <w:rFonts w:cs="Times New Roman"/>
          <w:szCs w:val="24"/>
        </w:rPr>
        <w:t xml:space="preserve"> aggregated by the </w:t>
      </w:r>
      <w:r w:rsidR="00232F54" w:rsidRPr="002A1888">
        <w:rPr>
          <w:rFonts w:cs="Times New Roman"/>
          <w:szCs w:val="24"/>
        </w:rPr>
        <w:t>home census block groups (CBGs)</w:t>
      </w:r>
      <w:r w:rsidR="00BF3BD1" w:rsidRPr="002A1888">
        <w:rPr>
          <w:rFonts w:cs="Times New Roman"/>
          <w:szCs w:val="24"/>
        </w:rPr>
        <w:t xml:space="preserve"> of the visitors.</w:t>
      </w:r>
      <w:r w:rsidR="00C05D3E" w:rsidRPr="002A1888">
        <w:rPr>
          <w:rFonts w:cs="Times New Roman"/>
          <w:szCs w:val="24"/>
        </w:rPr>
        <w:t xml:space="preserve"> SafeGraph data have been used in different studies to investigate movement patterns</w:t>
      </w:r>
      <w:r w:rsidR="00B168C6">
        <w:rPr>
          <w:rFonts w:cs="Times New Roman"/>
          <w:szCs w:val="24"/>
        </w:rPr>
        <w:t>,</w:t>
      </w:r>
      <w:r w:rsidR="00C05D3E" w:rsidRPr="002A1888">
        <w:rPr>
          <w:rFonts w:cs="Times New Roman"/>
          <w:szCs w:val="24"/>
        </w:rPr>
        <w:fldChar w:fldCharType="begin" w:fldLock="1"/>
      </w:r>
      <w:r w:rsidR="00273FA1" w:rsidRPr="002A1888">
        <w:rPr>
          <w:rFonts w:cs="Times New Roman"/>
          <w:szCs w:val="24"/>
        </w:rPr>
        <w:instrText>ADDIN CSL_CITATION {"citationItems":[{"id":"ITEM-1","itemData":{"DOI":"10.1257/PANDP.20181031","ISSN":"2574-0768","abstract":"We estimate a model of consumer choices over restaurants using data from several thousand anonymous mobile phone users. Restaurants have latent characteristics (whose distribution may depend on restaurant observables) that affect consumers' mean utility as well as willingness to travel to the restaurant, while each user has distinct preferences for these latent characteristics. We analyze how consumers reallocate their demand after a restaurant closes to nearby restaurants versus more distant restaurants, comparing our predictions to actual outcomes. We also address counterfactual questions such as what type of restaurant would attract the most consumers in a given location.","author":[{"dropping-particle":"","family":"Athey","given":"Susan","non-dropping-particle":"","parse-names":false,"suffix":""},{"dropping-particle":"","family":"Blei","given":"David","non-dropping-particle":"","parse-names":false,"suffix":""},{"dropping-particle":"","family":"Donnelly","given":"Robert","non-dropping-particle":"","parse-names":false,"suffix":""},{"dropping-particle":"","family":"Ruiz","given":"Francisco","non-dropping-particle":"","parse-names":false,"suffix":""},{"dropping-particle":"","family":"Schmidt","given":"Tobias","non-dropping-particle":"","parse-names":false,"suffix":""}],"container-title":"AEA Papers and Proceedings","id":"ITEM-1","issued":{"date-parts":[["2018","5","1"]]},"page":"64-67","publisher":"American Economic Association","title":"Estimating Heterogeneous Consumer Preferences for Restaurants and Travel Time Using Mobile Location Data","type":"article-journal","volume":"108"},"uris":["http://www.mendeley.com/documents/?uuid=5ce7ef35-fbaf-3d03-a038-b7aa71279b75"]},{"id":"ITEM-2","itemData":{"DOI":"10.1126/SCIENCE.AAQ1433","ISSN":"10959203","PMID":"29853686","abstract":"Research on growing American political polarization and antipathy primarily studies public institutions and political processes, ignoring private effects, including strained family ties. Using anonymized smartphone-location data and precinct-level voting, we show that Thanksgiving dinners attended by residents from opposing-party precincts were 30 to 50 minutes shorter than same-party dinners. This decline from a mean of 257 minutes survives extensive spatial and demographic controls. Reductions in the duration of Thanksgiving dinner in 2016 tripled for travelers from media markets with heavy political advertising—an effect not observed in 2015—implying a relationship to election-related behavior. Effects appear asymmetric: Although fewer Democratic-precinct residents traveled in 2016 than in 2015, Republican-precinct residents shortened their Thanksgiving dinners by more minutes in response to political differences. Nationwide, 34 million hours of cross-partisan Thanksgiving dinner discourse were lost in 2016 owing to partisan effects.","author":[{"dropping-particle":"","family":"Keith Chen","given":"M.","non-dropping-particle":"","parse-names":false,"suffix":""},{"dropping-particle":"","family":"Rohla","given":"Ryne","non-dropping-particle":"","parse-names":false,"suffix":""}],"container-title":"Science","id":"ITEM-2","issue":"6392","issued":{"date-parts":[["2018","6","1"]]},"page":"1020-1024","publisher":"American Association for the Advancement of Science","title":"The effect of partisanship and political advertising on close family ties","type":"article-journal","volume":"360"},"uris":["http://www.mendeley.com/documents/?uuid=24edd0c3-3e92-3f74-89c3-6262d81b5745"]}],"mendeley":{"formattedCitation":"&lt;sup&gt;1,2&lt;/sup&gt;","plainTextFormattedCitation":"1,2","previouslyFormattedCitation":"[1,2]"},"properties":{"noteIndex":0},"schema":"https://github.com/citation-style-language/schema/raw/master/csl-citation.json"}</w:instrText>
      </w:r>
      <w:r w:rsidR="00C05D3E" w:rsidRPr="002A1888">
        <w:rPr>
          <w:rFonts w:cs="Times New Roman"/>
          <w:szCs w:val="24"/>
        </w:rPr>
        <w:fldChar w:fldCharType="separate"/>
      </w:r>
      <w:r w:rsidR="00273FA1" w:rsidRPr="002A1888">
        <w:rPr>
          <w:rFonts w:cs="Times New Roman"/>
          <w:noProof/>
          <w:szCs w:val="24"/>
          <w:vertAlign w:val="superscript"/>
        </w:rPr>
        <w:t>1,2</w:t>
      </w:r>
      <w:r w:rsidR="00C05D3E" w:rsidRPr="002A1888">
        <w:rPr>
          <w:rFonts w:cs="Times New Roman"/>
          <w:szCs w:val="24"/>
        </w:rPr>
        <w:fldChar w:fldCharType="end"/>
      </w:r>
      <w:r w:rsidR="00C05D3E" w:rsidRPr="002A1888">
        <w:rPr>
          <w:rFonts w:cs="Times New Roman"/>
          <w:szCs w:val="24"/>
        </w:rPr>
        <w:t xml:space="preserve"> especially transmission of COVID-19 in communities</w:t>
      </w:r>
      <w:r w:rsidR="00B168C6">
        <w:rPr>
          <w:rFonts w:cs="Times New Roman"/>
          <w:szCs w:val="24"/>
        </w:rPr>
        <w:t>.</w:t>
      </w:r>
      <w:r w:rsidR="00A17036" w:rsidRPr="002A1888">
        <w:rPr>
          <w:rFonts w:cs="Times New Roman"/>
          <w:szCs w:val="24"/>
        </w:rPr>
        <w:fldChar w:fldCharType="begin" w:fldLock="1"/>
      </w:r>
      <w:r w:rsidR="00273FA1" w:rsidRPr="002A1888">
        <w:rPr>
          <w:rFonts w:cs="Times New Roman"/>
          <w:szCs w:val="24"/>
        </w:rPr>
        <w:instrText>ADDIN CSL_CITATION {"citationItems":[{"id":"ITEM-1","itemData":{"DOI":"10.1038/s41586-020-2923-3","ISSN":"1476-4687","PMID":"33171481","abstract":"The coronavirus disease 2019 (COVID-19) pandemic markedly changed human mobility patterns, necessitating epidemiological models that can capture the effects of these changes in mobility on the spread of severe acute respiratory syndrome coronavirus 2 (SARS-CoV-2)1. Here we introduce a metapopulation susceptible–exposed–infectious–removed (SEIR) model that integrates fine-grained, dynamic mobility networks to simulate the spread of SARS-CoV-2 in ten of the largest US metropolitan areas. Our mobility networks are derived from mobile phone data and map the hourly movements of 98&amp;nbsp;million people from neighbourhoods (or census block groups) to points of interest such as restaurants and religious establishments, connecting 56,945 census block groups to 552,758 points of interest with 5.4&amp;nbsp;billion hourly edges. We show that by integrating these networks, a relatively simple SEIR model can accurately fit the real case trajectory, despite substantial changes in the behaviour of the population over time. Our model predicts that a small minority of ‘superspreader’ points of interest account for a large majority of the infections, and that restricting the maximum occupancy at each point of interest is more effective than uniformly reducing mobility. Our model also correctly predicts higher infection rates among disadvantaged racial and socioeconomic groups2–8 solely as the result of differences in mobility: we find that disadvantaged groups have not been able to reduce their mobility as sharply, and that the points of interest that they visit are more crowded and are therefore associated with higher risk. By capturing who is infected at which locations, our model supports detailed analyses that can inform more-effective and equitable policy responses to COVID-19. An epidemiological model that integrates fine-grained mobility networks illuminates mobility-related mechanisms that contribute to higher infection rates among disadvantaged socioeconomic and racial groups, and finds that restricting maximum occupancy at locations is especially effective for curbing infections.","author":[{"dropping-particle":"","family":"Chang","given":"Serina","non-dropping-particle":"","parse-names":false,"suffix":""},{"dropping-particle":"","family":"Pierson","given":"Emma","non-dropping-particle":"","parse-names":false,"suffix":""},{"dropping-particle":"","family":"Koh","given":"Pang Wei","non-dropping-particle":"","parse-names":false,"suffix":""},{"dropping-particle":"","family":"Gerardin","given":"Jaline","non-dropping-particle":"","parse-names":false,"suffix":""},{"dropping-particle":"","family":"Redbird","given":"Beth","non-dropping-particle":"","parse-names":false,"suffix":""},{"dropping-particle":"","family":"Grusky","given":"David","non-dropping-particle":"","parse-names":false,"suffix":""},{"dropping-particle":"","family":"Leskovec","given":"Jure","non-dropping-particle":"","parse-names":false,"suffix":""}],"container-title":"Nature 2020 589:7840","id":"ITEM-1","issue":"7840","issued":{"date-parts":[["2020","11","10"]]},"page":"82-87","publisher":"Nature Publishing Group","title":"Mobility network models of COVID-19 explain inequities and inform reopening","type":"article-journal","volume":"589"},"uris":["http://www.mendeley.com/documents/?uuid=6c7d3f38-1f59-311f-8234-95853d0a8764"]},{"id":"ITEM-2","itemData":{"DOI":"10.1073/PNAS.2008025117","ISSN":"10916490","PMID":"32522870","abstract":"To prevent the spread of coronavirus disease 2019 (COVID-19), some types of public spaces have been shut down while others remain open. These decisions constitute a judgment about the relative dang...","author":[{"dropping-particle":"","family":"Benzell","given":"Seth G.","non-dropping-particle":"","parse-names":false,"suffix":""},{"dropping-particle":"","family":"Collis","given":"Avinash","non-dropping-particle":"","parse-names":false,"suffix":""},{"dropping-particle":"","family":"Nicolaides","given":"Christos","non-dropping-particle":"","parse-names":false,"suffix":""}],"container-title":"Proceedings of the National Academy of Sciences","id":"ITEM-2","issue":"26","issued":{"date-parts":[["2020","6","30"]]},"page":"14642-14644","publisher":"National Academy of Sciences","title":"Rationing social contact during the COVID-19 pandemic: Transmission risk and social benefits of US locations","type":"article-journal","volume":"117"},"uris":["http://www.mendeley.com/documents/?uuid=fcfd2557-0959-338b-927d-dc6b5589dd5f"]}],"mendeley":{"formattedCitation":"&lt;sup&gt;3,4&lt;/sup&gt;","plainTextFormattedCitation":"3,4","previouslyFormattedCitation":"[3,4]"},"properties":{"noteIndex":0},"schema":"https://github.com/citation-style-language/schema/raw/master/csl-citation.json"}</w:instrText>
      </w:r>
      <w:r w:rsidR="00A17036" w:rsidRPr="002A1888">
        <w:rPr>
          <w:rFonts w:cs="Times New Roman"/>
          <w:szCs w:val="24"/>
        </w:rPr>
        <w:fldChar w:fldCharType="separate"/>
      </w:r>
      <w:r w:rsidR="00273FA1" w:rsidRPr="002A1888">
        <w:rPr>
          <w:rFonts w:cs="Times New Roman"/>
          <w:noProof/>
          <w:szCs w:val="24"/>
          <w:vertAlign w:val="superscript"/>
        </w:rPr>
        <w:t>3,4</w:t>
      </w:r>
      <w:r w:rsidR="00A17036" w:rsidRPr="002A1888">
        <w:rPr>
          <w:rFonts w:cs="Times New Roman"/>
          <w:szCs w:val="24"/>
        </w:rPr>
        <w:fldChar w:fldCharType="end"/>
      </w:r>
    </w:p>
    <w:p w14:paraId="7D1D303D" w14:textId="3B765A05" w:rsidR="00F2413E" w:rsidRPr="00727D23" w:rsidRDefault="001E3832" w:rsidP="001E3832">
      <w:pPr>
        <w:rPr>
          <w:rFonts w:cs="Times New Roman"/>
          <w:b/>
          <w:bCs/>
        </w:rPr>
      </w:pPr>
      <w:r w:rsidRPr="00727D23">
        <w:rPr>
          <w:rFonts w:cs="Times New Roman"/>
          <w:b/>
          <w:bCs/>
        </w:rPr>
        <w:t xml:space="preserve">Community </w:t>
      </w:r>
      <w:r w:rsidR="00F2413E" w:rsidRPr="00727D23">
        <w:rPr>
          <w:rFonts w:cs="Times New Roman"/>
          <w:b/>
          <w:bCs/>
        </w:rPr>
        <w:t>networks</w:t>
      </w:r>
    </w:p>
    <w:p w14:paraId="6E1C189B" w14:textId="5557F801" w:rsidR="0015472A" w:rsidRPr="00727D23" w:rsidRDefault="00BC4F42" w:rsidP="00F57189">
      <w:pPr>
        <w:rPr>
          <w:rFonts w:cs="Times New Roman"/>
        </w:rPr>
      </w:pPr>
      <w:r w:rsidRPr="00727D23">
        <w:rPr>
          <w:rFonts w:cs="Times New Roman"/>
        </w:rPr>
        <w:t xml:space="preserve">Using SafeGraph movement data, a set of </w:t>
      </w:r>
      <w:r w:rsidR="001E3832" w:rsidRPr="00727D23">
        <w:rPr>
          <w:rFonts w:cs="Times New Roman"/>
        </w:rPr>
        <w:t xml:space="preserve">community </w:t>
      </w:r>
      <w:r w:rsidRPr="00727D23">
        <w:rPr>
          <w:rFonts w:cs="Times New Roman"/>
        </w:rPr>
        <w:t>network</w:t>
      </w:r>
      <w:r w:rsidR="0015472A" w:rsidRPr="00727D23">
        <w:rPr>
          <w:rFonts w:cs="Times New Roman"/>
        </w:rPr>
        <w:t>s</w:t>
      </w:r>
      <w:r w:rsidRPr="00727D23">
        <w:rPr>
          <w:rFonts w:cs="Times New Roman"/>
        </w:rPr>
        <w:t xml:space="preserve"> were constructed to </w:t>
      </w:r>
      <w:r w:rsidR="0015472A" w:rsidRPr="00727D23">
        <w:rPr>
          <w:rFonts w:cs="Times New Roman"/>
        </w:rPr>
        <w:t>discover</w:t>
      </w:r>
      <w:r w:rsidRPr="00727D23">
        <w:rPr>
          <w:rFonts w:cs="Times New Roman"/>
        </w:rPr>
        <w:t xml:space="preserve"> the</w:t>
      </w:r>
      <w:r w:rsidR="0015472A" w:rsidRPr="00727D23">
        <w:rPr>
          <w:rFonts w:cs="Times New Roman"/>
        </w:rPr>
        <w:t xml:space="preserve"> structure and</w:t>
      </w:r>
      <w:r w:rsidRPr="00727D23">
        <w:rPr>
          <w:rFonts w:cs="Times New Roman"/>
        </w:rPr>
        <w:t xml:space="preserve"> patterns of connectedness in the population</w:t>
      </w:r>
      <w:r w:rsidR="0015472A" w:rsidRPr="00727D23">
        <w:rPr>
          <w:rFonts w:cs="Times New Roman"/>
        </w:rPr>
        <w:t xml:space="preserve">. </w:t>
      </w:r>
    </w:p>
    <w:p w14:paraId="6F33F9C9" w14:textId="22BBFD5B" w:rsidR="0015472A" w:rsidRPr="00727D23" w:rsidRDefault="0015472A" w:rsidP="00F57189">
      <w:pPr>
        <w:rPr>
          <w:rFonts w:cs="Times New Roman"/>
          <w:i/>
          <w:iCs/>
        </w:rPr>
      </w:pPr>
      <w:r w:rsidRPr="00727D23">
        <w:rPr>
          <w:rFonts w:cs="Times New Roman"/>
          <w:i/>
          <w:iCs/>
        </w:rPr>
        <w:t>1. Data preparation</w:t>
      </w:r>
    </w:p>
    <w:p w14:paraId="1877DA57" w14:textId="05817B63" w:rsidR="00C56E34" w:rsidRPr="00727D23" w:rsidRDefault="00DE15F1" w:rsidP="00047245">
      <w:pPr>
        <w:rPr>
          <w:rFonts w:cs="Times New Roman"/>
        </w:rPr>
      </w:pPr>
      <w:r w:rsidRPr="00727D23">
        <w:rPr>
          <w:rFonts w:cs="Times New Roman"/>
        </w:rPr>
        <w:t xml:space="preserve">As the spatial scope of this study </w:t>
      </w:r>
      <w:r w:rsidR="00C82256" w:rsidRPr="00727D23">
        <w:rPr>
          <w:rFonts w:cs="Times New Roman"/>
        </w:rPr>
        <w:t>wa</w:t>
      </w:r>
      <w:r w:rsidRPr="00727D23">
        <w:rPr>
          <w:rFonts w:cs="Times New Roman"/>
        </w:rPr>
        <w:t>s the</w:t>
      </w:r>
      <w:r w:rsidR="00EE1DD5" w:rsidRPr="00727D23">
        <w:rPr>
          <w:rFonts w:cs="Times New Roman"/>
        </w:rPr>
        <w:t xml:space="preserve"> Johns Hopkins Health System catchment area within the</w:t>
      </w:r>
      <w:r w:rsidRPr="00727D23">
        <w:rPr>
          <w:rFonts w:cs="Times New Roman"/>
        </w:rPr>
        <w:t xml:space="preserve"> Maryland-DC </w:t>
      </w:r>
      <w:r w:rsidR="00EE1DD5" w:rsidRPr="00727D23">
        <w:rPr>
          <w:rFonts w:cs="Times New Roman"/>
        </w:rPr>
        <w:t>region</w:t>
      </w:r>
      <w:r w:rsidRPr="00727D23">
        <w:rPr>
          <w:rFonts w:cs="Times New Roman"/>
        </w:rPr>
        <w:t xml:space="preserve">, the data was filtered for the POIs and CBGs </w:t>
      </w:r>
      <w:r w:rsidR="00C56E34" w:rsidRPr="00727D23">
        <w:rPr>
          <w:rFonts w:cs="Times New Roman"/>
        </w:rPr>
        <w:t>within</w:t>
      </w:r>
      <w:r w:rsidRPr="00727D23">
        <w:rPr>
          <w:rFonts w:cs="Times New Roman"/>
        </w:rPr>
        <w:t xml:space="preserve"> the study area. </w:t>
      </w:r>
      <w:r w:rsidR="00C82256" w:rsidRPr="00727D23">
        <w:rPr>
          <w:rFonts w:cs="Times New Roman"/>
        </w:rPr>
        <w:t>F</w:t>
      </w:r>
      <w:r w:rsidR="00047245" w:rsidRPr="00727D23">
        <w:rPr>
          <w:rFonts w:cs="Times New Roman"/>
        </w:rPr>
        <w:t>or privacy</w:t>
      </w:r>
      <w:r w:rsidR="00C82256" w:rsidRPr="00727D23">
        <w:rPr>
          <w:rFonts w:cs="Times New Roman"/>
        </w:rPr>
        <w:t xml:space="preserve"> reasons</w:t>
      </w:r>
      <w:r w:rsidR="00047245" w:rsidRPr="00727D23">
        <w:rPr>
          <w:rFonts w:cs="Times New Roman"/>
        </w:rPr>
        <w:t xml:space="preserve">, SafeGraph excludes CBGs for which fewer than five cellphone devices are registered. </w:t>
      </w:r>
      <w:r w:rsidR="00C56E34" w:rsidRPr="00727D23">
        <w:rPr>
          <w:rFonts w:cs="Times New Roman"/>
        </w:rPr>
        <w:t>Furthermore, while SafeGraph categorizes POIs into more than 400 categories, to enable cross-category analyses, we aggregat</w:t>
      </w:r>
      <w:r w:rsidR="00C82256" w:rsidRPr="00727D23">
        <w:rPr>
          <w:rFonts w:cs="Times New Roman"/>
        </w:rPr>
        <w:t>ed</w:t>
      </w:r>
      <w:r w:rsidR="00C56E34" w:rsidRPr="00727D23">
        <w:rPr>
          <w:rFonts w:cs="Times New Roman"/>
        </w:rPr>
        <w:t xml:space="preserve"> sub-categories and certain top-categories of SafeGraph</w:t>
      </w:r>
      <w:r w:rsidR="00C82256" w:rsidRPr="00727D23">
        <w:rPr>
          <w:rFonts w:cs="Times New Roman"/>
        </w:rPr>
        <w:t xml:space="preserve"> into the following nine categories:</w:t>
      </w:r>
      <w:r w:rsidR="007572D5" w:rsidRPr="00727D23">
        <w:rPr>
          <w:rFonts w:cs="Times New Roman"/>
        </w:rPr>
        <w:t xml:space="preserve"> Retail, Parks, Religious, School, Health, Restaurants, Bars, Other, and Unknown. For this study, w</w:t>
      </w:r>
      <w:r w:rsidR="00C56E34" w:rsidRPr="00727D23">
        <w:rPr>
          <w:rFonts w:cs="Times New Roman"/>
        </w:rPr>
        <w:t xml:space="preserve">e excluded the Health POIs as we are interested in movements outside of </w:t>
      </w:r>
      <w:r w:rsidR="007572D5" w:rsidRPr="00727D23">
        <w:rPr>
          <w:rFonts w:cs="Times New Roman"/>
        </w:rPr>
        <w:t xml:space="preserve">the </w:t>
      </w:r>
      <w:r w:rsidR="00C56E34" w:rsidRPr="00727D23">
        <w:rPr>
          <w:rFonts w:cs="Times New Roman"/>
        </w:rPr>
        <w:t>healthcare facilities.</w:t>
      </w:r>
      <w:r w:rsidR="00C82256" w:rsidRPr="00727D23">
        <w:rPr>
          <w:rFonts w:cs="Times New Roman"/>
        </w:rPr>
        <w:t xml:space="preserve"> </w:t>
      </w:r>
      <w:r w:rsidR="00C56E34" w:rsidRPr="00727D23">
        <w:rPr>
          <w:rFonts w:cs="Times New Roman"/>
        </w:rPr>
        <w:t>Overall, we analyzed visits to 112,207 POIs in 5852 CBGs within the Maryland-DC area</w:t>
      </w:r>
      <w:r w:rsidR="00EB4549" w:rsidRPr="00727D23">
        <w:rPr>
          <w:rFonts w:cs="Times New Roman"/>
        </w:rPr>
        <w:t xml:space="preserve"> from </w:t>
      </w:r>
      <w:bookmarkStart w:id="0" w:name="_Hlk121847007"/>
      <w:r w:rsidR="00EB4549" w:rsidRPr="00727D23">
        <w:rPr>
          <w:rFonts w:cs="Times New Roman"/>
        </w:rPr>
        <w:t>January 2019 to March 2021</w:t>
      </w:r>
      <w:bookmarkEnd w:id="0"/>
      <w:r w:rsidR="00EB4549" w:rsidRPr="00727D23">
        <w:rPr>
          <w:rFonts w:cs="Times New Roman"/>
        </w:rPr>
        <w:t>.</w:t>
      </w:r>
    </w:p>
    <w:p w14:paraId="544CE547" w14:textId="543207D9" w:rsidR="00CA6C29" w:rsidRPr="00727D23" w:rsidRDefault="00CA6C29" w:rsidP="00DE15F1">
      <w:pPr>
        <w:rPr>
          <w:rFonts w:cs="Times New Roman"/>
          <w:i/>
          <w:iCs/>
        </w:rPr>
      </w:pPr>
      <w:r w:rsidRPr="00727D23">
        <w:rPr>
          <w:rFonts w:cs="Times New Roman"/>
          <w:i/>
          <w:iCs/>
        </w:rPr>
        <w:t>2. Weekly flow matrices</w:t>
      </w:r>
    </w:p>
    <w:p w14:paraId="396813E3" w14:textId="1EDF3FA5" w:rsidR="001B1EEA" w:rsidRPr="00727D23" w:rsidRDefault="001B1EEA" w:rsidP="00232F54">
      <w:pPr>
        <w:rPr>
          <w:rFonts w:cs="Times New Roman"/>
        </w:rPr>
      </w:pPr>
      <w:r w:rsidRPr="00727D23">
        <w:rPr>
          <w:rFonts w:cs="Times New Roman"/>
        </w:rPr>
        <w:t xml:space="preserve">We used SafeGraph Weekly Places Patterns datasets to calculate </w:t>
      </w:r>
      <w:r w:rsidR="00206858" w:rsidRPr="00727D23">
        <w:rPr>
          <w:rFonts w:cs="Times New Roman"/>
        </w:rPr>
        <w:t xml:space="preserve">the </w:t>
      </w:r>
      <w:r w:rsidRPr="00727D23">
        <w:rPr>
          <w:rFonts w:cs="Times New Roman"/>
        </w:rPr>
        <w:t xml:space="preserve">weekly flow between all pairs of CBGs in the study area. This dataset contains </w:t>
      </w:r>
      <w:r w:rsidR="00B168C6">
        <w:rPr>
          <w:rFonts w:cs="Times New Roman"/>
        </w:rPr>
        <w:t xml:space="preserve">the </w:t>
      </w:r>
      <w:r w:rsidRPr="00727D23">
        <w:rPr>
          <w:rFonts w:cs="Times New Roman"/>
        </w:rPr>
        <w:t>weekly number of visits for each POI and the home CBGs of the visitors. Using the CBG</w:t>
      </w:r>
      <w:r w:rsidR="004E767F" w:rsidRPr="00727D23">
        <w:rPr>
          <w:rFonts w:cs="Times New Roman"/>
        </w:rPr>
        <w:t>s</w:t>
      </w:r>
      <w:r w:rsidRPr="00727D23">
        <w:rPr>
          <w:rFonts w:cs="Times New Roman"/>
        </w:rPr>
        <w:t xml:space="preserve"> of POI</w:t>
      </w:r>
      <w:r w:rsidR="004E767F" w:rsidRPr="00727D23">
        <w:rPr>
          <w:rFonts w:cs="Times New Roman"/>
        </w:rPr>
        <w:t>s</w:t>
      </w:r>
      <w:r w:rsidRPr="00727D23">
        <w:rPr>
          <w:rFonts w:cs="Times New Roman"/>
        </w:rPr>
        <w:t xml:space="preserve"> as destination</w:t>
      </w:r>
      <w:r w:rsidR="004E767F" w:rsidRPr="00727D23">
        <w:rPr>
          <w:rFonts w:cs="Times New Roman"/>
        </w:rPr>
        <w:t>s</w:t>
      </w:r>
      <w:r w:rsidRPr="00727D23">
        <w:rPr>
          <w:rFonts w:cs="Times New Roman"/>
        </w:rPr>
        <w:t xml:space="preserve"> and the home CBG</w:t>
      </w:r>
      <w:r w:rsidR="004E767F" w:rsidRPr="00727D23">
        <w:rPr>
          <w:rFonts w:cs="Times New Roman"/>
        </w:rPr>
        <w:t>s</w:t>
      </w:r>
      <w:r w:rsidRPr="00727D23">
        <w:rPr>
          <w:rFonts w:cs="Times New Roman"/>
        </w:rPr>
        <w:t xml:space="preserve"> of the visitors as origin</w:t>
      </w:r>
      <w:r w:rsidR="004E767F" w:rsidRPr="00727D23">
        <w:rPr>
          <w:rFonts w:cs="Times New Roman"/>
        </w:rPr>
        <w:t>s</w:t>
      </w:r>
      <w:r w:rsidRPr="00727D23">
        <w:rPr>
          <w:rFonts w:cs="Times New Roman"/>
        </w:rPr>
        <w:t xml:space="preserve">, we aggregated the visit counts by CBG and calculated the weekly flow matrices for each of the </w:t>
      </w:r>
      <w:r w:rsidR="007572D5" w:rsidRPr="00727D23">
        <w:rPr>
          <w:rFonts w:cs="Times New Roman"/>
        </w:rPr>
        <w:t>8</w:t>
      </w:r>
      <w:r w:rsidRPr="00727D23">
        <w:rPr>
          <w:rFonts w:cs="Times New Roman"/>
        </w:rPr>
        <w:t xml:space="preserve"> category of POIs</w:t>
      </w:r>
      <w:r w:rsidR="007572D5" w:rsidRPr="00727D23">
        <w:rPr>
          <w:rFonts w:cs="Times New Roman"/>
        </w:rPr>
        <w:t xml:space="preserve"> (excluding Health)</w:t>
      </w:r>
      <w:r w:rsidRPr="00727D23">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1B1EEA" w:rsidRPr="00727D23" w14:paraId="790916F0" w14:textId="77777777" w:rsidTr="00B96DFF">
        <w:tc>
          <w:tcPr>
            <w:tcW w:w="8815" w:type="dxa"/>
            <w:vAlign w:val="center"/>
          </w:tcPr>
          <w:p w14:paraId="51AB93B9" w14:textId="64DF2BE3" w:rsidR="001B1EEA" w:rsidRPr="00727D23" w:rsidRDefault="00CE2C8B" w:rsidP="00264A81">
            <w:pPr>
              <w:spacing w:after="160"/>
              <w:rPr>
                <w:rFonts w:cs="Times New Roman"/>
              </w:rPr>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m:t>
                  </m:r>
                  <m:r>
                    <w:rPr>
                      <w:rFonts w:ascii="Cambria Math" w:hAnsi="Cambria Math" w:cs="Times New Roman"/>
                    </w:rPr>
                    <m:t>,</m:t>
                  </m:r>
                  <m:r>
                    <w:rPr>
                      <w:rFonts w:ascii="Cambria Math" w:hAnsi="Cambria Math" w:cs="Times New Roman"/>
                    </w:rPr>
                    <m:t>w</m:t>
                  </m:r>
                </m:sub>
              </m:sSub>
              <m:r>
                <w:rPr>
                  <w:rFonts w:ascii="Cambria Math" w:hAnsi="Cambria Math" w:cs="Times New Roman"/>
                </w:rPr>
                <m:t>=</m:t>
              </m:r>
              <m:d>
                <m:dPr>
                  <m:begChr m:val="["/>
                  <m:endChr m:val="]"/>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ij</m:t>
                      </m:r>
                    </m:sub>
                    <m:sup>
                      <m:r>
                        <w:rPr>
                          <w:rFonts w:ascii="Cambria Math" w:hAnsi="Cambria Math" w:cs="Times New Roman"/>
                        </w:rPr>
                        <m:t>c</m:t>
                      </m:r>
                      <m:r>
                        <w:rPr>
                          <w:rFonts w:ascii="Cambria Math" w:hAnsi="Cambria Math" w:cs="Times New Roman"/>
                        </w:rPr>
                        <m:t>,</m:t>
                      </m:r>
                      <m:r>
                        <w:rPr>
                          <w:rFonts w:ascii="Cambria Math" w:hAnsi="Cambria Math" w:cs="Times New Roman"/>
                        </w:rPr>
                        <m:t>w</m:t>
                      </m:r>
                    </m:sup>
                  </m:sSubSup>
                </m:e>
              </m:d>
            </m:oMath>
            <w:r w:rsidR="00B96DFF" w:rsidRPr="00727D23">
              <w:rPr>
                <w:rFonts w:eastAsiaTheme="minorEastAsia" w:cs="Times New Roman"/>
              </w:rPr>
              <w:t xml:space="preserve">, </w:t>
            </w:r>
          </w:p>
        </w:tc>
        <w:tc>
          <w:tcPr>
            <w:tcW w:w="535" w:type="dxa"/>
            <w:vAlign w:val="center"/>
          </w:tcPr>
          <w:p w14:paraId="3E4F0895" w14:textId="0D9BE5D3" w:rsidR="001B1EEA" w:rsidRPr="00727D23" w:rsidRDefault="001B1EEA" w:rsidP="00264A81">
            <w:pPr>
              <w:spacing w:after="160"/>
              <w:jc w:val="center"/>
              <w:rPr>
                <w:rFonts w:cs="Times New Roman"/>
              </w:rPr>
            </w:pPr>
            <w:r w:rsidRPr="00727D23">
              <w:rPr>
                <w:rFonts w:cs="Times New Roman"/>
              </w:rPr>
              <w:t>(1)</w:t>
            </w:r>
          </w:p>
        </w:tc>
      </w:tr>
    </w:tbl>
    <w:p w14:paraId="372BD433" w14:textId="5FE3D343" w:rsidR="001B1EEA" w:rsidRPr="00727D23" w:rsidRDefault="00B72681" w:rsidP="00232F54">
      <w:pPr>
        <w:rPr>
          <w:rFonts w:cs="Times New Roman"/>
        </w:rPr>
      </w:pPr>
      <w:r w:rsidRPr="00727D23">
        <w:rPr>
          <w:rFonts w:cs="Times New Roman"/>
        </w:rPr>
        <w:t xml:space="preserve">where </w:t>
      </w:r>
      <m:oMath>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ij</m:t>
            </m:r>
          </m:sub>
          <m:sup>
            <m:r>
              <w:rPr>
                <w:rFonts w:ascii="Cambria Math" w:hAnsi="Cambria Math" w:cs="Times New Roman"/>
              </w:rPr>
              <m:t>c,w</m:t>
            </m:r>
          </m:sup>
        </m:sSubSup>
      </m:oMath>
      <w:r w:rsidRPr="00727D23">
        <w:rPr>
          <w:rFonts w:eastAsiaTheme="minorEastAsia" w:cs="Times New Roman"/>
        </w:rPr>
        <w:t xml:space="preserve"> is the weekly </w:t>
      </w:r>
      <w:r w:rsidR="008145B8" w:rsidRPr="00727D23">
        <w:rPr>
          <w:rFonts w:eastAsiaTheme="minorEastAsia" w:cs="Times New Roman"/>
        </w:rPr>
        <w:t xml:space="preserve">total </w:t>
      </w:r>
      <w:r w:rsidRPr="00727D23">
        <w:rPr>
          <w:rFonts w:eastAsiaTheme="minorEastAsia" w:cs="Times New Roman"/>
        </w:rPr>
        <w:t xml:space="preserve">number of visitors from CBG </w:t>
      </w:r>
      <m:oMath>
        <m:r>
          <w:rPr>
            <w:rFonts w:ascii="Cambria Math" w:eastAsiaTheme="minorEastAsia" w:hAnsi="Cambria Math" w:cs="Times New Roman"/>
          </w:rPr>
          <m:t>i</m:t>
        </m:r>
      </m:oMath>
      <w:r w:rsidRPr="00727D23">
        <w:rPr>
          <w:rFonts w:eastAsiaTheme="minorEastAsia" w:cs="Times New Roman"/>
        </w:rPr>
        <w:t xml:space="preserve"> that visited a POI of category </w:t>
      </w:r>
      <m:oMath>
        <m:r>
          <w:rPr>
            <w:rFonts w:ascii="Cambria Math" w:eastAsiaTheme="minorEastAsia" w:hAnsi="Cambria Math" w:cs="Times New Roman"/>
          </w:rPr>
          <m:t>c</m:t>
        </m:r>
      </m:oMath>
      <w:r w:rsidRPr="00727D23">
        <w:rPr>
          <w:rFonts w:eastAsiaTheme="minorEastAsia" w:cs="Times New Roman"/>
        </w:rPr>
        <w:t xml:space="preserve"> in CBG </w:t>
      </w:r>
      <m:oMath>
        <m:r>
          <w:rPr>
            <w:rFonts w:ascii="Cambria Math" w:eastAsiaTheme="minorEastAsia" w:hAnsi="Cambria Math" w:cs="Times New Roman"/>
          </w:rPr>
          <m:t>j</m:t>
        </m:r>
      </m:oMath>
      <w:r w:rsidRPr="00727D23">
        <w:rPr>
          <w:rFonts w:eastAsiaTheme="minorEastAsia" w:cs="Times New Roman"/>
        </w:rPr>
        <w:t xml:space="preserve"> during week </w:t>
      </w:r>
      <m:oMath>
        <m:r>
          <w:rPr>
            <w:rFonts w:ascii="Cambria Math" w:eastAsiaTheme="minorEastAsia" w:hAnsi="Cambria Math" w:cs="Times New Roman"/>
          </w:rPr>
          <m:t>w</m:t>
        </m:r>
      </m:oMath>
      <w:r w:rsidRPr="00727D23">
        <w:rPr>
          <w:rFonts w:eastAsiaTheme="minorEastAsia" w:cs="Times New Roman"/>
        </w:rPr>
        <w:t xml:space="preserve">. </w:t>
      </w:r>
      <w:r w:rsidR="00264A81" w:rsidRPr="00727D23">
        <w:rPr>
          <w:rFonts w:eastAsiaTheme="minorEastAsia" w:cs="Times New Roman"/>
        </w:rPr>
        <w:t xml:space="preserve">The average weekly flow matrix </w:t>
      </w:r>
      <w:r w:rsidR="00206858" w:rsidRPr="00727D23">
        <w:rPr>
          <w:rFonts w:eastAsiaTheme="minorEastAsia" w:cs="Times New Roman"/>
        </w:rPr>
        <w:t>wa</w:t>
      </w:r>
      <w:r w:rsidR="00264A81" w:rsidRPr="00727D23">
        <w:rPr>
          <w:rFonts w:eastAsiaTheme="minorEastAsia" w:cs="Times New Roman"/>
        </w:rPr>
        <w:t>s then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264A81" w:rsidRPr="00727D23" w14:paraId="09E93142" w14:textId="77777777" w:rsidTr="008E119E">
        <w:tc>
          <w:tcPr>
            <w:tcW w:w="8815" w:type="dxa"/>
            <w:vAlign w:val="center"/>
          </w:tcPr>
          <w:p w14:paraId="19FA4C68" w14:textId="2FB0C35E" w:rsidR="00264A81" w:rsidRPr="00727D23" w:rsidRDefault="00CE2C8B" w:rsidP="00264A81">
            <w:pPr>
              <w:spacing w:after="160" w:line="259" w:lineRule="auto"/>
              <w:rPr>
                <w:rFonts w:cs="Times New Roman"/>
              </w:rPr>
            </w:pPr>
            <m:oMath>
              <m:acc>
                <m:accPr>
                  <m:chr m:val="̅"/>
                  <m:ctrlPr>
                    <w:rPr>
                      <w:rFonts w:ascii="Cambria Math" w:hAnsi="Cambria Math" w:cs="Times New Roman"/>
                      <w:i/>
                    </w:rPr>
                  </m:ctrlPr>
                </m:accPr>
                <m:e>
                  <m:r>
                    <w:rPr>
                      <w:rFonts w:ascii="Cambria Math" w:hAnsi="Cambria Math" w:cs="Times New Roman"/>
                    </w:rPr>
                    <m:t>F</m:t>
                  </m:r>
                </m:e>
              </m:acc>
              <m:r>
                <w:rPr>
                  <w:rFonts w:ascii="Cambria Math" w:hAnsi="Cambria Math" w:cs="Times New Roman"/>
                </w:rPr>
                <m:t>=</m:t>
              </m:r>
              <m:d>
                <m:dPr>
                  <m:begChr m:val="["/>
                  <m:endChr m:val="]"/>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ij</m:t>
                      </m:r>
                    </m:sub>
                  </m:sSub>
                </m:e>
              </m:d>
              <m:r>
                <w:rPr>
                  <w:rFonts w:ascii="Cambria Math" w:hAnsi="Cambria Math" w:cs="Times New Roman"/>
                </w:rPr>
                <m:t>=</m:t>
              </m:r>
              <m:d>
                <m:dPr>
                  <m:begChr m:val="["/>
                  <m:endChr m:val="]"/>
                  <m:ctrlPr>
                    <w:rPr>
                      <w:rFonts w:ascii="Cambria Math" w:hAnsi="Cambria Math" w:cs="Times New Roman"/>
                      <w:i/>
                    </w:rPr>
                  </m:ctrlPr>
                </m:dPr>
                <m:e>
                  <m:nary>
                    <m:naryPr>
                      <m:chr m:val="∑"/>
                      <m:limLoc m:val="undOvr"/>
                      <m:supHide m:val="1"/>
                      <m:ctrlPr>
                        <w:rPr>
                          <w:rFonts w:ascii="Cambria Math" w:hAnsi="Cambria Math" w:cs="Times New Roman"/>
                          <w:i/>
                        </w:rPr>
                      </m:ctrlPr>
                    </m:naryPr>
                    <m:sub>
                      <m:r>
                        <w:rPr>
                          <w:rFonts w:ascii="Cambria Math" w:hAnsi="Cambria Math" w:cs="Times New Roman"/>
                        </w:rPr>
                        <m:t>c</m:t>
                      </m:r>
                    </m:sub>
                    <m:sup/>
                    <m:e>
                      <m:nary>
                        <m:naryPr>
                          <m:chr m:val="∑"/>
                          <m:limLoc m:val="undOvr"/>
                          <m:supHide m:val="1"/>
                          <m:ctrlPr>
                            <w:rPr>
                              <w:rFonts w:ascii="Cambria Math" w:hAnsi="Cambria Math" w:cs="Times New Roman"/>
                              <w:i/>
                            </w:rPr>
                          </m:ctrlPr>
                        </m:naryPr>
                        <m:sub>
                          <m:r>
                            <w:rPr>
                              <w:rFonts w:ascii="Cambria Math" w:hAnsi="Cambria Math" w:cs="Times New Roman"/>
                            </w:rPr>
                            <m:t>w</m:t>
                          </m:r>
                        </m:sub>
                        <m:sup/>
                        <m:e>
                          <m:sSubSup>
                            <m:sSubSupPr>
                              <m:ctrlPr>
                                <w:rPr>
                                  <w:rFonts w:ascii="Cambria Math" w:hAnsi="Cambria Math" w:cs="Times New Roman"/>
                                  <w:i/>
                                </w:rPr>
                              </m:ctrlPr>
                            </m:sSubSupPr>
                            <m:e>
                              <m:r>
                                <w:rPr>
                                  <w:rFonts w:ascii="Cambria Math" w:hAnsi="Cambria Math" w:cs="Times New Roman"/>
                                </w:rPr>
                                <m:t>f</m:t>
                              </m:r>
                            </m:e>
                            <m:sub>
                              <m:r>
                                <w:rPr>
                                  <w:rFonts w:ascii="Cambria Math" w:hAnsi="Cambria Math" w:cs="Times New Roman"/>
                                </w:rPr>
                                <m:t>ij</m:t>
                              </m:r>
                            </m:sub>
                            <m:sup>
                              <m:r>
                                <w:rPr>
                                  <w:rFonts w:ascii="Cambria Math" w:hAnsi="Cambria Math" w:cs="Times New Roman"/>
                                </w:rPr>
                                <m:t>c</m:t>
                              </m:r>
                              <m:r>
                                <w:rPr>
                                  <w:rFonts w:ascii="Cambria Math" w:hAnsi="Cambria Math" w:cs="Times New Roman"/>
                                </w:rPr>
                                <m:t>,</m:t>
                              </m:r>
                              <m:r>
                                <w:rPr>
                                  <w:rFonts w:ascii="Cambria Math" w:hAnsi="Cambria Math" w:cs="Times New Roman"/>
                                </w:rPr>
                                <m:t>w</m:t>
                              </m:r>
                            </m:sup>
                          </m:sSubSup>
                        </m:e>
                      </m:nary>
                    </m:e>
                  </m:nary>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w</m:t>
                      </m:r>
                    </m:sub>
                  </m:sSub>
                </m:e>
              </m:d>
            </m:oMath>
            <w:r w:rsidR="00264A81" w:rsidRPr="00727D23">
              <w:rPr>
                <w:rFonts w:eastAsiaTheme="minorEastAsia" w:cs="Times New Roman"/>
              </w:rPr>
              <w:t xml:space="preserve">, </w:t>
            </w:r>
          </w:p>
        </w:tc>
        <w:tc>
          <w:tcPr>
            <w:tcW w:w="535" w:type="dxa"/>
            <w:vAlign w:val="center"/>
          </w:tcPr>
          <w:p w14:paraId="3251DF1D" w14:textId="638E472D" w:rsidR="00264A81" w:rsidRPr="00727D23" w:rsidRDefault="00264A81" w:rsidP="00264A81">
            <w:pPr>
              <w:spacing w:after="160" w:line="259" w:lineRule="auto"/>
              <w:jc w:val="center"/>
              <w:rPr>
                <w:rFonts w:cs="Times New Roman"/>
              </w:rPr>
            </w:pPr>
            <w:r w:rsidRPr="00727D23">
              <w:rPr>
                <w:rFonts w:cs="Times New Roman"/>
              </w:rPr>
              <w:t>(</w:t>
            </w:r>
            <w:r w:rsidR="00DA7201" w:rsidRPr="00727D23">
              <w:rPr>
                <w:rFonts w:cs="Times New Roman"/>
              </w:rPr>
              <w:t>2</w:t>
            </w:r>
            <w:r w:rsidRPr="00727D23">
              <w:rPr>
                <w:rFonts w:cs="Times New Roman"/>
              </w:rPr>
              <w:t>)</w:t>
            </w:r>
          </w:p>
        </w:tc>
      </w:tr>
    </w:tbl>
    <w:p w14:paraId="5969A1D0" w14:textId="48C40331" w:rsidR="00CA6C29" w:rsidRPr="00727D23" w:rsidRDefault="00264A81" w:rsidP="00232F54">
      <w:pPr>
        <w:rPr>
          <w:rFonts w:cs="Times New Roman"/>
        </w:rPr>
      </w:pPr>
      <w:r w:rsidRPr="00727D23">
        <w:rPr>
          <w:rFonts w:eastAsiaTheme="minorEastAsia" w:cs="Times New Roman"/>
        </w:rPr>
        <w:t xml:space="preserve">where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w</m:t>
            </m:r>
          </m:sub>
        </m:sSub>
      </m:oMath>
      <w:r w:rsidRPr="00727D23">
        <w:rPr>
          <w:rFonts w:eastAsiaTheme="minorEastAsia" w:cs="Times New Roman"/>
        </w:rPr>
        <w:t xml:space="preserve"> is the number of weeks</w:t>
      </w:r>
      <w:r w:rsidRPr="00727D23">
        <w:rPr>
          <w:rFonts w:cs="Times New Roman"/>
        </w:rPr>
        <w:t>.</w:t>
      </w:r>
    </w:p>
    <w:p w14:paraId="1C337023" w14:textId="552207AA" w:rsidR="00422E53" w:rsidRPr="00727D23" w:rsidRDefault="00422E53" w:rsidP="00232F54">
      <w:pPr>
        <w:rPr>
          <w:rFonts w:cs="Times New Roman"/>
          <w:i/>
          <w:iCs/>
        </w:rPr>
      </w:pPr>
      <w:r w:rsidRPr="00727D23">
        <w:rPr>
          <w:rFonts w:cs="Times New Roman"/>
          <w:i/>
          <w:iCs/>
        </w:rPr>
        <w:lastRenderedPageBreak/>
        <w:t>3. Average interaction matrix</w:t>
      </w:r>
    </w:p>
    <w:p w14:paraId="43BF22D9" w14:textId="6C060761" w:rsidR="00422E53" w:rsidRPr="00727D23" w:rsidRDefault="00422E53" w:rsidP="00232F54">
      <w:pPr>
        <w:rPr>
          <w:rFonts w:cs="Times New Roman"/>
        </w:rPr>
      </w:pPr>
      <w:r w:rsidRPr="00727D23">
        <w:rPr>
          <w:rFonts w:cs="Times New Roman"/>
        </w:rPr>
        <w:t xml:space="preserve">Having calculated the </w:t>
      </w:r>
      <w:r w:rsidR="00BE6A41" w:rsidRPr="00727D23">
        <w:rPr>
          <w:rFonts w:cs="Times New Roman"/>
        </w:rPr>
        <w:t xml:space="preserve">average </w:t>
      </w:r>
      <w:r w:rsidRPr="00727D23">
        <w:rPr>
          <w:rFonts w:cs="Times New Roman"/>
        </w:rPr>
        <w:t>weekly flow matri</w:t>
      </w:r>
      <w:r w:rsidR="00BE6A41" w:rsidRPr="00727D23">
        <w:rPr>
          <w:rFonts w:cs="Times New Roman"/>
        </w:rPr>
        <w:t>x</w:t>
      </w:r>
      <w:r w:rsidRPr="00727D23">
        <w:rPr>
          <w:rFonts w:cs="Times New Roman"/>
        </w:rPr>
        <w:t>, we calculated the average normalized flow matrix,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422E53" w:rsidRPr="00727D23" w14:paraId="5A186D7F" w14:textId="77777777" w:rsidTr="00B96DFF">
        <w:tc>
          <w:tcPr>
            <w:tcW w:w="8815" w:type="dxa"/>
            <w:vAlign w:val="center"/>
          </w:tcPr>
          <w:p w14:paraId="1C5A97FF" w14:textId="7CEB1B80" w:rsidR="00422E53" w:rsidRPr="00727D23" w:rsidRDefault="00CE2C8B" w:rsidP="00264A81">
            <w:pPr>
              <w:spacing w:after="160"/>
              <w:rPr>
                <w:rFonts w:cs="Times New Roman"/>
              </w:rPr>
            </w:pPr>
            <m:oMath>
              <m:acc>
                <m:accPr>
                  <m:chr m:val="̃"/>
                  <m:ctrlPr>
                    <w:rPr>
                      <w:rFonts w:ascii="Cambria Math" w:hAnsi="Cambria Math" w:cs="Times New Roman"/>
                      <w:i/>
                    </w:rPr>
                  </m:ctrlPr>
                </m:accPr>
                <m:e>
                  <m:r>
                    <w:rPr>
                      <w:rFonts w:ascii="Cambria Math" w:hAnsi="Cambria Math" w:cs="Times New Roman"/>
                    </w:rPr>
                    <m:t>F</m:t>
                  </m:r>
                </m:e>
              </m:acc>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ij</m:t>
                  </m:r>
                </m:sub>
              </m:sSub>
              <m:r>
                <w:rPr>
                  <w:rFonts w:ascii="Cambria Math" w:hAnsi="Cambria Math" w:cs="Times New Roman"/>
                </w:rPr>
                <m:t>]=</m:t>
              </m:r>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ij</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den>
                  </m:f>
                </m:e>
              </m:d>
            </m:oMath>
            <w:r w:rsidR="00B96DFF" w:rsidRPr="00727D23">
              <w:rPr>
                <w:rFonts w:eastAsiaTheme="minorEastAsia" w:cs="Times New Roman"/>
              </w:rPr>
              <w:t>,</w:t>
            </w:r>
          </w:p>
        </w:tc>
        <w:tc>
          <w:tcPr>
            <w:tcW w:w="535" w:type="dxa"/>
            <w:vAlign w:val="center"/>
          </w:tcPr>
          <w:p w14:paraId="5A85CD0E" w14:textId="24524573" w:rsidR="00422E53" w:rsidRPr="00727D23" w:rsidRDefault="00422E53" w:rsidP="00264A81">
            <w:pPr>
              <w:spacing w:after="160"/>
              <w:jc w:val="center"/>
              <w:rPr>
                <w:rFonts w:cs="Times New Roman"/>
              </w:rPr>
            </w:pPr>
            <w:r w:rsidRPr="00727D23">
              <w:rPr>
                <w:rFonts w:cs="Times New Roman"/>
              </w:rPr>
              <w:t>(</w:t>
            </w:r>
            <w:r w:rsidR="00F963E4" w:rsidRPr="00727D23">
              <w:rPr>
                <w:rFonts w:cs="Times New Roman"/>
              </w:rPr>
              <w:t>3</w:t>
            </w:r>
            <w:r w:rsidRPr="00727D23">
              <w:rPr>
                <w:rFonts w:cs="Times New Roman"/>
              </w:rPr>
              <w:t>)</w:t>
            </w:r>
          </w:p>
        </w:tc>
      </w:tr>
    </w:tbl>
    <w:p w14:paraId="4B3E64F4" w14:textId="4199D3A6" w:rsidR="00422E53" w:rsidRPr="00727D23" w:rsidRDefault="00422E53" w:rsidP="00422E53">
      <w:pPr>
        <w:rPr>
          <w:rFonts w:cs="Times New Roman"/>
        </w:rPr>
      </w:pPr>
      <w:r w:rsidRPr="00727D23">
        <w:rPr>
          <w:rFonts w:cs="Times New Roman"/>
        </w:rPr>
        <w:t>where</w:t>
      </w:r>
      <w:r w:rsidR="007B67C4" w:rsidRPr="00727D23">
        <w:rPr>
          <w:rFonts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ij</m:t>
            </m:r>
          </m:sub>
        </m:sSub>
      </m:oMath>
      <w:r w:rsidR="007B67C4" w:rsidRPr="00727D23">
        <w:rPr>
          <w:rFonts w:eastAsiaTheme="minorEastAsia" w:cs="Times New Roman"/>
        </w:rPr>
        <w:t xml:space="preserve"> represents the average proportion of the </w:t>
      </w:r>
      <w:r w:rsidR="00E81AC5" w:rsidRPr="00727D23">
        <w:rPr>
          <w:rFonts w:eastAsiaTheme="minorEastAsia" w:cs="Times New Roman"/>
        </w:rPr>
        <w:t xml:space="preserve">visits that the </w:t>
      </w:r>
      <w:r w:rsidR="007B67C4" w:rsidRPr="00727D23">
        <w:rPr>
          <w:rFonts w:eastAsiaTheme="minorEastAsia" w:cs="Times New Roman"/>
        </w:rPr>
        <w:t xml:space="preserve">population of CBG </w:t>
      </w:r>
      <m:oMath>
        <m:r>
          <w:rPr>
            <w:rFonts w:ascii="Cambria Math" w:eastAsiaTheme="minorEastAsia" w:hAnsi="Cambria Math" w:cs="Times New Roman"/>
          </w:rPr>
          <m:t>i</m:t>
        </m:r>
      </m:oMath>
      <w:r w:rsidR="007B67C4" w:rsidRPr="00727D23">
        <w:rPr>
          <w:rFonts w:eastAsiaTheme="minorEastAsia" w:cs="Times New Roman"/>
        </w:rPr>
        <w:t xml:space="preserve"> </w:t>
      </w:r>
      <w:r w:rsidR="00E81AC5" w:rsidRPr="00727D23">
        <w:rPr>
          <w:rFonts w:eastAsiaTheme="minorEastAsia" w:cs="Times New Roman"/>
        </w:rPr>
        <w:t xml:space="preserve">make to </w:t>
      </w:r>
      <w:r w:rsidR="007B67C4" w:rsidRPr="00727D23">
        <w:rPr>
          <w:rFonts w:eastAsiaTheme="minorEastAsia" w:cs="Times New Roman"/>
        </w:rPr>
        <w:t>non-healthcare POI</w:t>
      </w:r>
      <w:r w:rsidR="004D6A21" w:rsidRPr="00727D23">
        <w:rPr>
          <w:rFonts w:eastAsiaTheme="minorEastAsia" w:cs="Times New Roman"/>
        </w:rPr>
        <w:t>s</w:t>
      </w:r>
      <w:r w:rsidR="007B67C4" w:rsidRPr="00727D23">
        <w:rPr>
          <w:rFonts w:eastAsiaTheme="minorEastAsia" w:cs="Times New Roman"/>
        </w:rPr>
        <w:t xml:space="preserve"> in CBG </w:t>
      </w:r>
      <m:oMath>
        <m:r>
          <w:rPr>
            <w:rFonts w:ascii="Cambria Math" w:eastAsiaTheme="minorEastAsia" w:hAnsi="Cambria Math" w:cs="Times New Roman"/>
          </w:rPr>
          <m:t>j</m:t>
        </m:r>
      </m:oMath>
      <w:r w:rsidR="007B67C4" w:rsidRPr="00727D23">
        <w:rPr>
          <w:rFonts w:eastAsiaTheme="minorEastAsia" w:cs="Times New Roman"/>
        </w:rPr>
        <w:t xml:space="preserve"> </w:t>
      </w:r>
      <w:r w:rsidR="0060375A" w:rsidRPr="00727D23">
        <w:rPr>
          <w:rFonts w:eastAsiaTheme="minorEastAsia" w:cs="Times New Roman"/>
        </w:rPr>
        <w:t>in any week</w:t>
      </w:r>
      <w:r w:rsidR="00A76205" w:rsidRPr="00727D23">
        <w:rPr>
          <w:rFonts w:eastAsiaTheme="minorEastAsia" w:cs="Times New Roman"/>
        </w:rPr>
        <w:t xml:space="preserve"> (</w:t>
      </w:r>
      <m:oMath>
        <m:r>
          <w:rPr>
            <w:rFonts w:ascii="Cambria Math" w:eastAsiaTheme="minorEastAsia" w:hAnsi="Cambria Math" w:cs="Times New Roman"/>
          </w:rPr>
          <m:t>0≤</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ij</m:t>
            </m:r>
          </m:sub>
        </m:sSub>
        <m:r>
          <w:rPr>
            <w:rFonts w:ascii="Cambria Math" w:hAnsi="Cambria Math" w:cs="Times New Roman"/>
          </w:rPr>
          <m:t>≤1)</m:t>
        </m:r>
      </m:oMath>
      <w:r w:rsidR="0060375A" w:rsidRPr="00727D23">
        <w:rPr>
          <w:rFonts w:eastAsiaTheme="minorEastAsia" w:cs="Times New Roman"/>
        </w:rPr>
        <w:t>, and</w:t>
      </w:r>
      <w:r w:rsidR="007572D5" w:rsidRPr="00727D23">
        <w:rPr>
          <w:rFonts w:cs="Times New Roman"/>
        </w:rPr>
        <w:t xml:space="preserv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i</m:t>
            </m:r>
          </m:sub>
        </m:sSub>
      </m:oMath>
      <w:r w:rsidRPr="00727D23">
        <w:rPr>
          <w:rFonts w:eastAsiaTheme="minorEastAsia" w:cs="Times New Roman"/>
        </w:rPr>
        <w:t xml:space="preserve"> </w:t>
      </w:r>
      <w:r w:rsidR="00BE6A41" w:rsidRPr="00727D23">
        <w:rPr>
          <w:rFonts w:eastAsiaTheme="minorEastAsia" w:cs="Times New Roman"/>
        </w:rPr>
        <w:t xml:space="preserve">is </w:t>
      </w:r>
      <w:r w:rsidRPr="00727D23">
        <w:rPr>
          <w:rFonts w:cs="Times New Roman"/>
        </w:rPr>
        <w:t>the number of registered cellphone devices (in SafeGraph system) in CBG</w:t>
      </w:r>
      <w:r w:rsidR="0060375A" w:rsidRPr="00727D23">
        <w:rPr>
          <w:rFonts w:cs="Times New Roman"/>
        </w:rPr>
        <w:t xml:space="preserve"> </w:t>
      </w:r>
      <m:oMath>
        <m:r>
          <w:rPr>
            <w:rFonts w:ascii="Cambria Math" w:hAnsi="Cambria Math" w:cs="Times New Roman"/>
          </w:rPr>
          <m:t>i</m:t>
        </m:r>
      </m:oMath>
      <w:r w:rsidR="007572D5" w:rsidRPr="00727D23">
        <w:rPr>
          <w:rFonts w:cs="Times New Roman"/>
        </w:rPr>
        <w:t>, respectively</w:t>
      </w:r>
      <w:r w:rsidRPr="00727D23">
        <w:rPr>
          <w:rFonts w:cs="Times New Roman"/>
        </w:rPr>
        <w:t>.</w:t>
      </w:r>
    </w:p>
    <w:p w14:paraId="14376FE2" w14:textId="437362B7" w:rsidR="00422E53" w:rsidRPr="00727D23" w:rsidRDefault="00422E53" w:rsidP="00422E53">
      <w:pPr>
        <w:rPr>
          <w:rFonts w:cs="Times New Roman"/>
        </w:rPr>
      </w:pPr>
      <w:r w:rsidRPr="00727D23">
        <w:rPr>
          <w:rFonts w:cs="Times New Roman"/>
        </w:rPr>
        <w:t xml:space="preserve">Then, we calculated the </w:t>
      </w:r>
      <w:r w:rsidR="00C11BFD" w:rsidRPr="00727D23">
        <w:rPr>
          <w:rFonts w:cs="Times New Roman"/>
        </w:rPr>
        <w:t xml:space="preserve">interaction matrix that gives </w:t>
      </w:r>
      <w:r w:rsidR="0060375A" w:rsidRPr="00727D23">
        <w:rPr>
          <w:rFonts w:cs="Times New Roman"/>
        </w:rPr>
        <w:t xml:space="preserve">the </w:t>
      </w:r>
      <w:r w:rsidR="00C11BFD" w:rsidRPr="00727D23">
        <w:rPr>
          <w:rFonts w:cs="Times New Roman"/>
        </w:rPr>
        <w:t>average weekly probabilit</w:t>
      </w:r>
      <w:r w:rsidR="00B96DFF" w:rsidRPr="00727D23">
        <w:rPr>
          <w:rFonts w:cs="Times New Roman"/>
        </w:rPr>
        <w:t>y</w:t>
      </w:r>
      <w:r w:rsidR="00C11BFD" w:rsidRPr="00727D23">
        <w:rPr>
          <w:rFonts w:cs="Times New Roman"/>
        </w:rPr>
        <w:t xml:space="preserve"> of interaction between </w:t>
      </w:r>
      <w:r w:rsidR="00B96DFF" w:rsidRPr="00727D23">
        <w:rPr>
          <w:rFonts w:cs="Times New Roman"/>
        </w:rPr>
        <w:t xml:space="preserve">every </w:t>
      </w:r>
      <w:r w:rsidR="00C11BFD" w:rsidRPr="00727D23">
        <w:rPr>
          <w:rFonts w:cs="Times New Roman"/>
        </w:rPr>
        <w:t>pair of CBGs</w:t>
      </w:r>
      <w:r w:rsidR="00B96DFF" w:rsidRPr="00727D23">
        <w:rPr>
          <w:rFonts w:cs="Times New Roman"/>
        </w:rPr>
        <w:t xml:space="preserv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oMath>
      <w:r w:rsidR="00B96DFF" w:rsidRPr="00727D23">
        <w:rPr>
          <w:rFonts w:cs="Times New Roman"/>
        </w:rPr>
        <w:t>)</w:t>
      </w:r>
      <w:r w:rsidR="00C11BFD" w:rsidRPr="00727D23">
        <w:rPr>
          <w:rFonts w:cs="Times New Roman"/>
        </w:rPr>
        <w:t>:</w:t>
      </w:r>
      <w:r w:rsidRPr="00727D23">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C11BFD" w:rsidRPr="00727D23" w14:paraId="05F543D4" w14:textId="77777777" w:rsidTr="00B96DFF">
        <w:tc>
          <w:tcPr>
            <w:tcW w:w="8815" w:type="dxa"/>
            <w:vAlign w:val="center"/>
          </w:tcPr>
          <w:p w14:paraId="6DE8F63C" w14:textId="2E9E2930" w:rsidR="00C11BFD" w:rsidRPr="00727D23" w:rsidRDefault="00B96DFF" w:rsidP="00264A81">
            <w:pPr>
              <w:spacing w:after="160"/>
              <w:rPr>
                <w:rFonts w:cs="Times New Roman"/>
                <w:i/>
              </w:rPr>
            </w:pPr>
            <m:oMath>
              <m:r>
                <w:rPr>
                  <w:rFonts w:ascii="Cambria Math" w:hAnsi="Cambria Math" w:cs="Times New Roman"/>
                </w:rPr>
                <m:t>I=</m:t>
              </m:r>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e>
              </m:d>
              <m:r>
                <w:rPr>
                  <w:rFonts w:ascii="Cambria Math" w:hAnsi="Cambria Math" w:cs="Times New Roman"/>
                </w:rPr>
                <m:t>=</m:t>
              </m:r>
              <m:d>
                <m:dPr>
                  <m:begChr m:val="["/>
                  <m:endChr m:val="]"/>
                  <m:ctrlPr>
                    <w:rPr>
                      <w:rFonts w:ascii="Cambria Math" w:hAnsi="Cambria Math" w:cs="Times New Roman"/>
                      <w:i/>
                    </w:rPr>
                  </m:ctrlPr>
                </m:dPr>
                <m:e>
                  <m:nary>
                    <m:naryPr>
                      <m:chr m:val="∑"/>
                      <m:supHide m:val="1"/>
                      <m:ctrlPr>
                        <w:rPr>
                          <w:rFonts w:ascii="Cambria Math" w:hAnsi="Cambria Math" w:cs="Times New Roman"/>
                          <w:i/>
                        </w:rPr>
                      </m:ctrlPr>
                    </m:naryPr>
                    <m:sub>
                      <m:r>
                        <w:rPr>
                          <w:rFonts w:ascii="Cambria Math" w:hAnsi="Cambria Math" w:cs="Times New Roman"/>
                        </w:rPr>
                        <m:t>k∈V</m:t>
                      </m:r>
                    </m:sub>
                    <m:sup/>
                    <m:e>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j,k</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j,k</m:t>
                                  </m:r>
                                </m:sub>
                              </m:sSub>
                            </m:num>
                            <m:den>
                              <m:nary>
                                <m:naryPr>
                                  <m:chr m:val="∑"/>
                                  <m:supHide m:val="1"/>
                                  <m:ctrlPr>
                                    <w:rPr>
                                      <w:rFonts w:ascii="Cambria Math" w:hAnsi="Cambria Math" w:cs="Times New Roman"/>
                                      <w:i/>
                                    </w:rPr>
                                  </m:ctrlPr>
                                </m:naryPr>
                                <m:sub>
                                  <m:r>
                                    <w:rPr>
                                      <w:rFonts w:ascii="Cambria Math" w:hAnsi="Cambria Math" w:cs="Times New Roman"/>
                                    </w:rPr>
                                    <m:t>s∈V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s,k</m:t>
                                      </m:r>
                                    </m:sub>
                                  </m:sSub>
                                </m:e>
                              </m:nary>
                            </m:den>
                          </m:f>
                        </m:e>
                      </m:d>
                    </m:e>
                  </m:nary>
                </m:e>
              </m:d>
            </m:oMath>
            <w:r w:rsidRPr="00727D23">
              <w:rPr>
                <w:rFonts w:cs="Times New Roman"/>
                <w:i/>
              </w:rPr>
              <w:t>.</w:t>
            </w:r>
          </w:p>
        </w:tc>
        <w:tc>
          <w:tcPr>
            <w:tcW w:w="535" w:type="dxa"/>
            <w:vAlign w:val="center"/>
          </w:tcPr>
          <w:p w14:paraId="1D3B45E6" w14:textId="2566735A" w:rsidR="00C11BFD" w:rsidRPr="00727D23" w:rsidRDefault="00C11BFD" w:rsidP="00264A81">
            <w:pPr>
              <w:spacing w:after="160"/>
              <w:jc w:val="center"/>
              <w:rPr>
                <w:rFonts w:cs="Times New Roman"/>
                <w:iCs/>
              </w:rPr>
            </w:pPr>
            <w:r w:rsidRPr="00727D23">
              <w:rPr>
                <w:rFonts w:cs="Times New Roman"/>
                <w:iCs/>
              </w:rPr>
              <w:t>(</w:t>
            </w:r>
            <w:r w:rsidR="00F963E4" w:rsidRPr="00727D23">
              <w:rPr>
                <w:rFonts w:cs="Times New Roman"/>
                <w:iCs/>
              </w:rPr>
              <w:t>4</w:t>
            </w:r>
            <w:r w:rsidRPr="00727D23">
              <w:rPr>
                <w:rFonts w:cs="Times New Roman"/>
                <w:iCs/>
              </w:rPr>
              <w:t>)</w:t>
            </w:r>
          </w:p>
        </w:tc>
      </w:tr>
    </w:tbl>
    <w:p w14:paraId="0F8E5E28" w14:textId="6D2E4CB2" w:rsidR="00422E53" w:rsidRPr="00727D23" w:rsidRDefault="00C11AE5" w:rsidP="00232F54">
      <w:pPr>
        <w:rPr>
          <w:rFonts w:eastAsiaTheme="minorEastAsia" w:cs="Times New Roman"/>
        </w:rPr>
      </w:pPr>
      <w:r w:rsidRPr="00727D23">
        <w:rPr>
          <w:rFonts w:eastAsiaTheme="minorEastAsia" w:cs="Times New Roman"/>
        </w:rPr>
        <w:t xml:space="preserve">where </w:t>
      </w:r>
      <m:oMath>
        <m:r>
          <w:rPr>
            <w:rFonts w:ascii="Cambria Math" w:eastAsiaTheme="minorEastAsia" w:hAnsi="Cambria Math" w:cs="Times New Roman"/>
          </w:rPr>
          <m:t>V</m:t>
        </m:r>
      </m:oMath>
      <w:r w:rsidRPr="00727D23">
        <w:rPr>
          <w:rFonts w:eastAsiaTheme="minorEastAsia" w:cs="Times New Roman"/>
        </w:rPr>
        <w:t xml:space="preserve"> is the set of all CBGs.</w:t>
      </w:r>
      <w:r w:rsidR="00F963E4" w:rsidRPr="00727D23">
        <w:rPr>
          <w:rFonts w:eastAsiaTheme="minorEastAsia" w:cs="Times New Roman"/>
        </w:rPr>
        <w:t xml:space="preserve"> </w:t>
      </w:r>
    </w:p>
    <w:p w14:paraId="7827D7DF" w14:textId="7A925FA9" w:rsidR="00281BED" w:rsidRPr="00727D23" w:rsidRDefault="006B0765" w:rsidP="00740DD9">
      <w:pPr>
        <w:rPr>
          <w:rFonts w:eastAsiaTheme="minorEastAsia" w:cs="Times New Roman"/>
        </w:rPr>
      </w:pPr>
      <w:r w:rsidRPr="00727D23">
        <w:rPr>
          <w:rFonts w:cs="Times New Roman"/>
        </w:rPr>
        <w:t xml:space="preserve">Each component,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oMath>
      <w:r w:rsidRPr="00727D23">
        <w:rPr>
          <w:rFonts w:eastAsiaTheme="minorEastAsia" w:cs="Times New Roman"/>
        </w:rPr>
        <w:t xml:space="preserve">, </w:t>
      </w:r>
      <w:r w:rsidRPr="00727D23">
        <w:rPr>
          <w:rFonts w:cs="Times New Roman"/>
        </w:rPr>
        <w:t xml:space="preserve">of the interaction matrix </w:t>
      </w:r>
      <w:r w:rsidR="00455E72" w:rsidRPr="00727D23">
        <w:rPr>
          <w:rFonts w:cs="Times New Roman"/>
        </w:rPr>
        <w:t xml:space="preserve">denotes </w:t>
      </w:r>
      <w:r w:rsidRPr="00727D23">
        <w:rPr>
          <w:rFonts w:cs="Times New Roman"/>
        </w:rPr>
        <w:t>the probability that any</w:t>
      </w:r>
      <w:r w:rsidR="00455E72" w:rsidRPr="00727D23">
        <w:rPr>
          <w:rFonts w:cs="Times New Roman"/>
        </w:rPr>
        <w:t xml:space="preserve"> </w:t>
      </w:r>
      <w:r w:rsidRPr="00727D23">
        <w:rPr>
          <w:rFonts w:cs="Times New Roman"/>
        </w:rPr>
        <w:t>random individual</w:t>
      </w:r>
      <w:r w:rsidR="00455E72" w:rsidRPr="00727D23">
        <w:rPr>
          <w:rFonts w:cs="Times New Roman"/>
        </w:rPr>
        <w:t xml:space="preserve"> from </w:t>
      </w:r>
      <w:r w:rsidRPr="00727D23">
        <w:rPr>
          <w:rFonts w:cs="Times New Roman"/>
        </w:rPr>
        <w:t xml:space="preserve">CBGs </w:t>
      </w:r>
      <m:oMath>
        <m:r>
          <w:rPr>
            <w:rFonts w:ascii="Cambria Math" w:hAnsi="Cambria Math" w:cs="Times New Roman"/>
          </w:rPr>
          <m:t>i</m:t>
        </m:r>
      </m:oMath>
      <w:r w:rsidRPr="00727D23">
        <w:rPr>
          <w:rFonts w:eastAsiaTheme="minorEastAsia" w:cs="Times New Roman"/>
        </w:rPr>
        <w:t xml:space="preserve"> </w:t>
      </w:r>
      <w:r w:rsidR="00455E72" w:rsidRPr="00727D23">
        <w:rPr>
          <w:rFonts w:eastAsiaTheme="minorEastAsia" w:cs="Times New Roman"/>
        </w:rPr>
        <w:t>would</w:t>
      </w:r>
      <w:r w:rsidR="00281BED" w:rsidRPr="00727D23">
        <w:rPr>
          <w:rFonts w:eastAsiaTheme="minorEastAsia" w:cs="Times New Roman"/>
        </w:rPr>
        <w:t xml:space="preserve"> contact a random individual from CBG </w:t>
      </w:r>
      <m:oMath>
        <m:r>
          <w:rPr>
            <w:rFonts w:ascii="Cambria Math" w:eastAsiaTheme="minorEastAsia" w:hAnsi="Cambria Math" w:cs="Times New Roman"/>
          </w:rPr>
          <m:t>j</m:t>
        </m:r>
      </m:oMath>
      <w:r w:rsidRPr="00727D23">
        <w:rPr>
          <w:rFonts w:eastAsiaTheme="minorEastAsia" w:cs="Times New Roman"/>
        </w:rPr>
        <w:t xml:space="preserve"> </w:t>
      </w:r>
      <w:r w:rsidR="00455E72" w:rsidRPr="00727D23">
        <w:rPr>
          <w:rFonts w:eastAsiaTheme="minorEastAsia" w:cs="Times New Roman"/>
        </w:rPr>
        <w:t>(whether</w:t>
      </w:r>
      <w:r w:rsidR="00281BED" w:rsidRPr="00727D23">
        <w:rPr>
          <w:rFonts w:eastAsiaTheme="minorEastAsia" w:cs="Times New Roman"/>
        </w:rPr>
        <w:t xml:space="preserve"> inside</w:t>
      </w:r>
      <w:r w:rsidR="00455E72" w:rsidRPr="00727D23">
        <w:rPr>
          <w:rFonts w:eastAsiaTheme="minorEastAsia" w:cs="Times New Roman"/>
        </w:rPr>
        <w:t xml:space="preserve"> CBG </w:t>
      </w:r>
      <m:oMath>
        <m:r>
          <w:rPr>
            <w:rFonts w:ascii="Cambria Math" w:eastAsiaTheme="minorEastAsia" w:hAnsi="Cambria Math" w:cs="Times New Roman"/>
          </w:rPr>
          <m:t>i</m:t>
        </m:r>
      </m:oMath>
      <w:r w:rsidR="00455E72" w:rsidRPr="00727D23">
        <w:rPr>
          <w:rFonts w:eastAsiaTheme="minorEastAsia" w:cs="Times New Roman"/>
        </w:rPr>
        <w:t xml:space="preserve">, </w:t>
      </w:r>
      <m:oMath>
        <m:r>
          <w:rPr>
            <w:rFonts w:ascii="Cambria Math" w:eastAsiaTheme="minorEastAsia" w:hAnsi="Cambria Math" w:cs="Times New Roman"/>
          </w:rPr>
          <m:t>j</m:t>
        </m:r>
      </m:oMath>
      <w:r w:rsidR="00455E72" w:rsidRPr="00727D23">
        <w:rPr>
          <w:rFonts w:eastAsiaTheme="minorEastAsia" w:cs="Times New Roman"/>
        </w:rPr>
        <w:t>, or any other CBG)</w:t>
      </w:r>
      <w:r w:rsidRPr="00727D23">
        <w:rPr>
          <w:rFonts w:eastAsiaTheme="minorEastAsia" w:cs="Times New Roman"/>
        </w:rPr>
        <w:t xml:space="preserve">. </w:t>
      </w:r>
      <w:r w:rsidR="00281BED" w:rsidRPr="00727D23">
        <w:rPr>
          <w:rFonts w:eastAsiaTheme="minorEastAsia" w:cs="Times New Roman"/>
        </w:rPr>
        <w:t xml:space="preserve">In Equation (4), the term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j,k</m:t>
            </m:r>
          </m:sub>
        </m:sSub>
      </m:oMath>
      <w:r w:rsidR="00281BED" w:rsidRPr="00727D23">
        <w:rPr>
          <w:rFonts w:eastAsiaTheme="minorEastAsia" w:cs="Times New Roman"/>
        </w:rPr>
        <w:t xml:space="preserve"> denotes the joint probability that two random individuals from CBGs </w:t>
      </w:r>
      <m:oMath>
        <m:r>
          <w:rPr>
            <w:rFonts w:ascii="Cambria Math" w:eastAsiaTheme="minorEastAsia" w:hAnsi="Cambria Math" w:cs="Times New Roman"/>
          </w:rPr>
          <m:t>i</m:t>
        </m:r>
      </m:oMath>
      <w:r w:rsidR="00281BED" w:rsidRPr="00727D23">
        <w:rPr>
          <w:rFonts w:eastAsiaTheme="minorEastAsia" w:cs="Times New Roman"/>
        </w:rPr>
        <w:t xml:space="preserve"> and </w:t>
      </w:r>
      <m:oMath>
        <m:r>
          <w:rPr>
            <w:rFonts w:ascii="Cambria Math" w:eastAsiaTheme="minorEastAsia" w:hAnsi="Cambria Math" w:cs="Times New Roman"/>
          </w:rPr>
          <m:t>j</m:t>
        </m:r>
      </m:oMath>
      <w:r w:rsidR="00281BED" w:rsidRPr="00727D23">
        <w:rPr>
          <w:rFonts w:eastAsiaTheme="minorEastAsia" w:cs="Times New Roman"/>
        </w:rPr>
        <w:t xml:space="preserve"> would go to </w:t>
      </w:r>
      <w:r w:rsidR="00EA69DD" w:rsidRPr="00727D23">
        <w:rPr>
          <w:rFonts w:eastAsiaTheme="minorEastAsia" w:cs="Times New Roman"/>
        </w:rPr>
        <w:t>any</w:t>
      </w:r>
      <w:r w:rsidR="00281BED" w:rsidRPr="00727D23">
        <w:rPr>
          <w:rFonts w:eastAsiaTheme="minorEastAsia" w:cs="Times New Roman"/>
        </w:rPr>
        <w:t xml:space="preserve"> CBG </w:t>
      </w:r>
      <m:oMath>
        <m:r>
          <w:rPr>
            <w:rFonts w:ascii="Cambria Math" w:eastAsiaTheme="minorEastAsia" w:hAnsi="Cambria Math" w:cs="Times New Roman"/>
          </w:rPr>
          <m:t>k</m:t>
        </m:r>
      </m:oMath>
      <w:r w:rsidR="00281BED" w:rsidRPr="00727D23">
        <w:rPr>
          <w:rFonts w:eastAsiaTheme="minorEastAsia" w:cs="Times New Roman"/>
        </w:rPr>
        <w:t xml:space="preserve">, and </w:t>
      </w:r>
      <m:oMath>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j,k</m:t>
                </m:r>
              </m:sub>
            </m:sSub>
          </m:num>
          <m:den>
            <m:nary>
              <m:naryPr>
                <m:chr m:val="∑"/>
                <m:supHide m:val="1"/>
                <m:ctrlPr>
                  <w:rPr>
                    <w:rFonts w:ascii="Cambria Math" w:hAnsi="Cambria Math" w:cs="Times New Roman"/>
                    <w:i/>
                  </w:rPr>
                </m:ctrlPr>
              </m:naryPr>
              <m:sub>
                <m:r>
                  <w:rPr>
                    <w:rFonts w:ascii="Cambria Math" w:hAnsi="Cambria Math" w:cs="Times New Roman"/>
                  </w:rPr>
                  <m:t>s∈V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s,k</m:t>
                    </m:r>
                  </m:sub>
                </m:sSub>
              </m:e>
            </m:nary>
          </m:den>
        </m:f>
      </m:oMath>
      <w:r w:rsidR="00281BED" w:rsidRPr="00727D23">
        <w:rPr>
          <w:rFonts w:eastAsiaTheme="minorEastAsia" w:cs="Times New Roman"/>
        </w:rPr>
        <w:t xml:space="preserve"> denotes the probability of interaction. The probability that an individual from CBG </w:t>
      </w:r>
      <m:oMath>
        <m:r>
          <w:rPr>
            <w:rFonts w:ascii="Cambria Math" w:eastAsiaTheme="minorEastAsia" w:hAnsi="Cambria Math" w:cs="Times New Roman"/>
          </w:rPr>
          <m:t>i</m:t>
        </m:r>
      </m:oMath>
      <w:r w:rsidR="00281BED" w:rsidRPr="00727D23">
        <w:rPr>
          <w:rFonts w:eastAsiaTheme="minorEastAsia" w:cs="Times New Roman"/>
        </w:rPr>
        <w:t xml:space="preserve"> contact</w:t>
      </w:r>
      <w:r w:rsidR="00206858" w:rsidRPr="00727D23">
        <w:rPr>
          <w:rFonts w:eastAsiaTheme="minorEastAsia" w:cs="Times New Roman"/>
        </w:rPr>
        <w:t>s</w:t>
      </w:r>
      <w:r w:rsidR="00281BED" w:rsidRPr="00727D23">
        <w:rPr>
          <w:rFonts w:eastAsiaTheme="minorEastAsia" w:cs="Times New Roman"/>
        </w:rPr>
        <w:t xml:space="preserve"> an individual from CBG</w:t>
      </w:r>
      <m:oMath>
        <m:r>
          <w:rPr>
            <w:rFonts w:ascii="Cambria Math" w:eastAsiaTheme="minorEastAsia" w:hAnsi="Cambria Math" w:cs="Times New Roman"/>
          </w:rPr>
          <m:t xml:space="preserve"> j</m:t>
        </m:r>
      </m:oMath>
      <w:r w:rsidR="00281BED" w:rsidRPr="00727D23">
        <w:rPr>
          <w:rFonts w:eastAsiaTheme="minorEastAsia" w:cs="Times New Roman"/>
        </w:rPr>
        <w:t xml:space="preserve"> inside CBG </w:t>
      </w:r>
      <m:oMath>
        <m:r>
          <w:rPr>
            <w:rFonts w:ascii="Cambria Math" w:eastAsiaTheme="minorEastAsia" w:hAnsi="Cambria Math" w:cs="Times New Roman"/>
          </w:rPr>
          <m:t>k</m:t>
        </m:r>
      </m:oMath>
      <w:r w:rsidR="00281BED" w:rsidRPr="00727D23">
        <w:rPr>
          <w:rFonts w:eastAsiaTheme="minorEastAsia" w:cs="Times New Roman"/>
        </w:rPr>
        <w:t xml:space="preserve"> depends on the active population mixing of CBG </w:t>
      </w:r>
      <m:oMath>
        <m:r>
          <w:rPr>
            <w:rFonts w:ascii="Cambria Math" w:eastAsiaTheme="minorEastAsia" w:hAnsi="Cambria Math" w:cs="Times New Roman"/>
          </w:rPr>
          <m:t>k</m:t>
        </m:r>
      </m:oMath>
      <w:r w:rsidR="00281BED" w:rsidRPr="00727D23">
        <w:rPr>
          <w:rFonts w:eastAsiaTheme="minorEastAsia" w:cs="Times New Roman"/>
        </w:rPr>
        <w:t xml:space="preserve"> (here, active population refers to the population that actively visit POIs in CBG </w:t>
      </w:r>
      <m:oMath>
        <m:r>
          <w:rPr>
            <w:rFonts w:ascii="Cambria Math" w:eastAsiaTheme="minorEastAsia" w:hAnsi="Cambria Math" w:cs="Times New Roman"/>
          </w:rPr>
          <m:t>k</m:t>
        </m:r>
      </m:oMath>
      <w:r w:rsidR="00281BED" w:rsidRPr="00727D23">
        <w:rPr>
          <w:rFonts w:eastAsiaTheme="minorEastAsia" w:cs="Times New Roman"/>
        </w:rPr>
        <w:t xml:space="preserve">, and it does not refer to the population of CBG </w:t>
      </w:r>
      <m:oMath>
        <m:r>
          <w:rPr>
            <w:rFonts w:ascii="Cambria Math" w:eastAsiaTheme="minorEastAsia" w:hAnsi="Cambria Math" w:cs="Times New Roman"/>
          </w:rPr>
          <m:t>k</m:t>
        </m:r>
      </m:oMath>
      <w:r w:rsidR="00281BED" w:rsidRPr="00727D23">
        <w:rPr>
          <w:rFonts w:eastAsiaTheme="minorEastAsia" w:cs="Times New Roman"/>
        </w:rPr>
        <w:t>).</w:t>
      </w:r>
      <w:r w:rsidR="00740DD9" w:rsidRPr="00727D23">
        <w:rPr>
          <w:rFonts w:eastAsiaTheme="minorEastAsia" w:cs="Times New Roman"/>
        </w:rPr>
        <w:t xml:space="preserve"> </w:t>
      </w:r>
      <w:r w:rsidR="00281BED" w:rsidRPr="00727D23">
        <w:rPr>
          <w:rFonts w:eastAsiaTheme="minorEastAsia" w:cs="Times New Roman"/>
        </w:rPr>
        <w:t xml:space="preserve">From all the population actively visiting POIs in CBG </w:t>
      </w:r>
      <m:oMath>
        <m:r>
          <w:rPr>
            <w:rFonts w:ascii="Cambria Math" w:eastAsiaTheme="minorEastAsia" w:hAnsi="Cambria Math" w:cs="Times New Roman"/>
          </w:rPr>
          <m:t>k</m:t>
        </m:r>
      </m:oMath>
      <w:r w:rsidR="00281BED" w:rsidRPr="00727D23">
        <w:rPr>
          <w:rFonts w:eastAsiaTheme="minorEastAsia" w:cs="Times New Roman"/>
        </w:rPr>
        <w:t xml:space="preserve">, </w:t>
      </w:r>
      <m:oMath>
        <m:nary>
          <m:naryPr>
            <m:chr m:val="∑"/>
            <m:supHide m:val="1"/>
            <m:ctrlPr>
              <w:rPr>
                <w:rFonts w:ascii="Cambria Math" w:hAnsi="Cambria Math" w:cs="Times New Roman"/>
                <w:i/>
              </w:rPr>
            </m:ctrlPr>
          </m:naryPr>
          <m:sub>
            <m:r>
              <w:rPr>
                <w:rFonts w:ascii="Cambria Math" w:hAnsi="Cambria Math" w:cs="Times New Roman"/>
              </w:rPr>
              <m:t>s∈V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s,k</m:t>
                </m:r>
              </m:sub>
            </m:sSub>
          </m:e>
        </m:nary>
      </m:oMath>
      <w:r w:rsidR="00281BED" w:rsidRPr="00727D23">
        <w:rPr>
          <w:rFonts w:eastAsiaTheme="minorEastAsia" w:cs="Times New Roman"/>
        </w:rPr>
        <w:t>,</w:t>
      </w:r>
      <w:r w:rsidR="00EA69DD" w:rsidRPr="00727D23">
        <w:rPr>
          <w:rFonts w:eastAsiaTheme="minorEastAsia" w:cs="Times New Roman"/>
        </w:rPr>
        <w:t xml:space="preserve"> only</w:t>
      </w:r>
      <w:r w:rsidR="00281BED" w:rsidRPr="00727D23">
        <w:rPr>
          <w:rFonts w:eastAsiaTheme="minorEastAsia" w:cs="Times New Roman"/>
        </w:rPr>
        <w:t xml:space="preserv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j,k</m:t>
            </m:r>
          </m:sub>
        </m:sSub>
      </m:oMath>
      <w:r w:rsidR="00740DD9" w:rsidRPr="00727D23">
        <w:rPr>
          <w:rFonts w:eastAsiaTheme="minorEastAsia" w:cs="Times New Roman"/>
        </w:rPr>
        <w:t xml:space="preserve"> are from CBG </w:t>
      </w:r>
      <m:oMath>
        <m:r>
          <w:rPr>
            <w:rFonts w:ascii="Cambria Math" w:eastAsiaTheme="minorEastAsia" w:hAnsi="Cambria Math" w:cs="Times New Roman"/>
          </w:rPr>
          <m:t>j</m:t>
        </m:r>
      </m:oMath>
      <w:r w:rsidR="00740DD9" w:rsidRPr="00727D23">
        <w:rPr>
          <w:rFonts w:eastAsiaTheme="minorEastAsia" w:cs="Times New Roman"/>
        </w:rPr>
        <w:t xml:space="preserve">, hence the probability of </w:t>
      </w:r>
      <w:r w:rsidR="00B168C6">
        <w:rPr>
          <w:rFonts w:eastAsiaTheme="minorEastAsia" w:cs="Times New Roman"/>
        </w:rPr>
        <w:t xml:space="preserve">a </w:t>
      </w:r>
      <w:r w:rsidR="00740DD9" w:rsidRPr="00727D23">
        <w:rPr>
          <w:rFonts w:eastAsiaTheme="minorEastAsia" w:cs="Times New Roman"/>
        </w:rPr>
        <w:t xml:space="preserve">random interaction </w:t>
      </w:r>
      <w:r w:rsidR="00EA69DD" w:rsidRPr="00727D23">
        <w:rPr>
          <w:rFonts w:eastAsiaTheme="minorEastAsia" w:cs="Times New Roman"/>
        </w:rPr>
        <w:t xml:space="preserve">with </w:t>
      </w:r>
      <w:r w:rsidR="00B168C6">
        <w:rPr>
          <w:rFonts w:eastAsiaTheme="minorEastAsia" w:cs="Times New Roman"/>
        </w:rPr>
        <w:t>a person</w:t>
      </w:r>
      <w:r w:rsidR="00B168C6" w:rsidRPr="00727D23">
        <w:rPr>
          <w:rFonts w:eastAsiaTheme="minorEastAsia" w:cs="Times New Roman"/>
        </w:rPr>
        <w:t xml:space="preserve"> </w:t>
      </w:r>
      <w:r w:rsidR="00EA69DD" w:rsidRPr="00727D23">
        <w:rPr>
          <w:rFonts w:eastAsiaTheme="minorEastAsia" w:cs="Times New Roman"/>
        </w:rPr>
        <w:t xml:space="preserve">from CBG </w:t>
      </w:r>
      <m:oMath>
        <m:r>
          <w:rPr>
            <w:rFonts w:ascii="Cambria Math" w:eastAsiaTheme="minorEastAsia" w:hAnsi="Cambria Math" w:cs="Times New Roman"/>
          </w:rPr>
          <m:t>j</m:t>
        </m:r>
      </m:oMath>
      <w:r w:rsidR="00EA69DD" w:rsidRPr="00727D23">
        <w:rPr>
          <w:rFonts w:eastAsiaTheme="minorEastAsia" w:cs="Times New Roman"/>
        </w:rPr>
        <w:t xml:space="preserve"> </w:t>
      </w:r>
      <w:r w:rsidR="00740DD9" w:rsidRPr="00727D23">
        <w:rPr>
          <w:rFonts w:eastAsiaTheme="minorEastAsia" w:cs="Times New Roman"/>
        </w:rPr>
        <w:t xml:space="preserve">equals </w:t>
      </w:r>
      <m:oMath>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j,k</m:t>
                </m:r>
              </m:sub>
            </m:sSub>
          </m:num>
          <m:den>
            <m:nary>
              <m:naryPr>
                <m:chr m:val="∑"/>
                <m:supHide m:val="1"/>
                <m:ctrlPr>
                  <w:rPr>
                    <w:rFonts w:ascii="Cambria Math" w:hAnsi="Cambria Math" w:cs="Times New Roman"/>
                    <w:i/>
                  </w:rPr>
                </m:ctrlPr>
              </m:naryPr>
              <m:sub>
                <m:r>
                  <w:rPr>
                    <w:rFonts w:ascii="Cambria Math" w:hAnsi="Cambria Math" w:cs="Times New Roman"/>
                  </w:rPr>
                  <m:t>s∈V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s,k</m:t>
                    </m:r>
                  </m:sub>
                </m:sSub>
              </m:e>
            </m:nary>
          </m:den>
        </m:f>
      </m:oMath>
      <w:r w:rsidR="00740DD9" w:rsidRPr="00727D23">
        <w:rPr>
          <w:rFonts w:eastAsiaTheme="minorEastAsia" w:cs="Times New Roman"/>
        </w:rPr>
        <w:t>.</w:t>
      </w:r>
    </w:p>
    <w:p w14:paraId="6584CDB6" w14:textId="56D2A625" w:rsidR="002D4A8E" w:rsidRPr="00727D23" w:rsidRDefault="00BD6FB4" w:rsidP="004D6A21">
      <w:pPr>
        <w:rPr>
          <w:rFonts w:cs="Times New Roman"/>
        </w:rPr>
      </w:pPr>
      <w:r w:rsidRPr="00727D23">
        <w:rPr>
          <w:rFonts w:cs="Times New Roman"/>
        </w:rPr>
        <w:t>I</w:t>
      </w:r>
      <w:r w:rsidR="00455E72" w:rsidRPr="00727D23">
        <w:rPr>
          <w:rFonts w:cs="Times New Roman"/>
        </w:rPr>
        <w:t>t is noteworthy that the interaction matrix is not necessarily symmetric</w:t>
      </w:r>
      <w:r w:rsidR="004D6A21" w:rsidRPr="00727D23">
        <w:rPr>
          <w:rFonts w:cs="Times New Roman"/>
        </w:rPr>
        <w:t xml:space="preserve"> because the probability of interaction depends on the proportion of the visits that the populations of two CBGs make to </w:t>
      </w:r>
      <w:r w:rsidR="002D4A8E" w:rsidRPr="00727D23">
        <w:rPr>
          <w:rFonts w:cs="Times New Roman"/>
        </w:rPr>
        <w:t xml:space="preserve">all other </w:t>
      </w:r>
      <w:r w:rsidR="004D6A21" w:rsidRPr="00727D23">
        <w:rPr>
          <w:rFonts w:cs="Times New Roman"/>
        </w:rPr>
        <w:t>CBG</w:t>
      </w:r>
      <w:r w:rsidR="002D4A8E" w:rsidRPr="00727D23">
        <w:rPr>
          <w:rFonts w:cs="Times New Roman"/>
        </w:rPr>
        <w:t>s</w:t>
      </w:r>
      <w:r w:rsidR="005307DA" w:rsidRPr="00727D23">
        <w:rPr>
          <w:rFonts w:cs="Times New Roman"/>
        </w:rPr>
        <w:t>, i.e.:</w:t>
      </w:r>
      <w:r w:rsidR="004D6A21" w:rsidRPr="00727D23">
        <w:rPr>
          <w:rFonts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535"/>
      </w:tblGrid>
      <w:tr w:rsidR="002D4A8E" w:rsidRPr="00727D23" w14:paraId="3FA3BF03" w14:textId="77777777" w:rsidTr="008E119E">
        <w:tc>
          <w:tcPr>
            <w:tcW w:w="8815" w:type="dxa"/>
            <w:vAlign w:val="center"/>
          </w:tcPr>
          <w:p w14:paraId="3FA46071" w14:textId="6A3CC1E4" w:rsidR="002D4A8E" w:rsidRPr="00727D23" w:rsidRDefault="00CE2C8B" w:rsidP="009B409E">
            <w:pPr>
              <w:spacing w:after="160" w:line="259" w:lineRule="auto"/>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k</m:t>
                    </m:r>
                    <m:r>
                      <w:rPr>
                        <w:rFonts w:ascii="Cambria Math" w:hAnsi="Cambria Math" w:cs="Times New Roman"/>
                      </w:rPr>
                      <m:t>∈</m:t>
                    </m:r>
                    <m:r>
                      <w:rPr>
                        <w:rFonts w:ascii="Cambria Math" w:hAnsi="Cambria Math" w:cs="Times New Roman"/>
                      </w:rPr>
                      <m:t>V</m:t>
                    </m:r>
                  </m:sub>
                  <m:sup/>
                  <m:e>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m:t>
                            </m:r>
                            <m:r>
                              <w:rPr>
                                <w:rFonts w:ascii="Cambria Math" w:hAnsi="Cambria Math" w:cs="Times New Roman"/>
                              </w:rPr>
                              <m:t>,</m:t>
                            </m:r>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m:t>
                            </m:r>
                            <m:r>
                              <w:rPr>
                                <w:rFonts w:ascii="Cambria Math" w:hAnsi="Cambria Math" w:cs="Times New Roman"/>
                              </w:rPr>
                              <m:t>,</m:t>
                            </m:r>
                            <m:r>
                              <w:rPr>
                                <w:rFonts w:ascii="Cambria Math" w:hAnsi="Cambria Math" w:cs="Times New Roman"/>
                              </w:rPr>
                              <m:t>k</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m:t>
                                </m:r>
                                <m:r>
                                  <w:rPr>
                                    <w:rFonts w:ascii="Cambria Math" w:hAnsi="Cambria Math" w:cs="Times New Roman"/>
                                  </w:rPr>
                                  <m:t>,</m:t>
                                </m:r>
                                <m:r>
                                  <w:rPr>
                                    <w:rFonts w:ascii="Cambria Math" w:hAnsi="Cambria Math" w:cs="Times New Roman"/>
                                  </w:rPr>
                                  <m:t>k</m:t>
                                </m:r>
                              </m:sub>
                            </m:sSub>
                          </m:num>
                          <m:den>
                            <m:nary>
                              <m:naryPr>
                                <m:chr m:val="∑"/>
                                <m:supHide m:val="1"/>
                                <m:ctrlPr>
                                  <w:rPr>
                                    <w:rFonts w:ascii="Cambria Math" w:hAnsi="Cambria Math" w:cs="Times New Roman"/>
                                    <w:i/>
                                  </w:rPr>
                                </m:ctrlPr>
                              </m:naryPr>
                              <m:sub>
                                <m:r>
                                  <w:rPr>
                                    <w:rFonts w:ascii="Cambria Math" w:hAnsi="Cambria Math" w:cs="Times New Roman"/>
                                  </w:rPr>
                                  <m:t>s</m:t>
                                </m:r>
                                <m:r>
                                  <w:rPr>
                                    <w:rFonts w:ascii="Cambria Math" w:hAnsi="Cambria Math" w:cs="Times New Roman"/>
                                  </w:rPr>
                                  <m:t>∈</m:t>
                                </m:r>
                                <m:r>
                                  <w:rPr>
                                    <w:rFonts w:ascii="Cambria Math" w:hAnsi="Cambria Math" w:cs="Times New Roman"/>
                                  </w:rPr>
                                  <m:t>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m:t>
                                    </m:r>
                                    <m:r>
                                      <w:rPr>
                                        <w:rFonts w:ascii="Cambria Math" w:hAnsi="Cambria Math" w:cs="Times New Roman"/>
                                      </w:rPr>
                                      <m:t>,</m:t>
                                    </m:r>
                                    <m:r>
                                      <w:rPr>
                                        <w:rFonts w:ascii="Cambria Math" w:hAnsi="Cambria Math" w:cs="Times New Roman"/>
                                      </w:rPr>
                                      <m:t>k</m:t>
                                    </m:r>
                                  </m:sub>
                                </m:sSub>
                              </m:e>
                            </m:nary>
                          </m:den>
                        </m:f>
                      </m:e>
                    </m:d>
                    <m:r>
                      <w:rPr>
                        <w:rFonts w:ascii="Cambria Math" w:hAnsi="Cambria Math" w:cs="Times New Roman"/>
                      </w:rPr>
                      <m:t>,</m:t>
                    </m:r>
                  </m:e>
                </m:nary>
              </m:oMath>
            </m:oMathPara>
          </w:p>
          <w:p w14:paraId="571D4309" w14:textId="37E7299C" w:rsidR="002D4A8E" w:rsidRPr="00727D23" w:rsidRDefault="00CE2C8B" w:rsidP="009B409E">
            <w:pPr>
              <w:spacing w:after="160" w:line="259" w:lineRule="auto"/>
              <w:rPr>
                <w:rFonts w:eastAsiaTheme="minorEastAsia"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ji</m:t>
                    </m:r>
                  </m:sub>
                </m:sSub>
                <m:r>
                  <w:rPr>
                    <w:rFonts w:ascii="Cambria Math" w:hAnsi="Cambria Math" w:cs="Times New Roman"/>
                  </w:rPr>
                  <m:t>=</m:t>
                </m:r>
                <m:nary>
                  <m:naryPr>
                    <m:chr m:val="∑"/>
                    <m:supHide m:val="1"/>
                    <m:ctrlPr>
                      <w:rPr>
                        <w:rFonts w:ascii="Cambria Math" w:hAnsi="Cambria Math" w:cs="Times New Roman"/>
                        <w:i/>
                      </w:rPr>
                    </m:ctrlPr>
                  </m:naryPr>
                  <m:sub>
                    <m:r>
                      <w:rPr>
                        <w:rFonts w:ascii="Cambria Math" w:hAnsi="Cambria Math" w:cs="Times New Roman"/>
                      </w:rPr>
                      <m:t>k</m:t>
                    </m:r>
                    <m:r>
                      <w:rPr>
                        <w:rFonts w:ascii="Cambria Math" w:hAnsi="Cambria Math" w:cs="Times New Roman"/>
                      </w:rPr>
                      <m:t>∈</m:t>
                    </m:r>
                    <m:r>
                      <w:rPr>
                        <w:rFonts w:ascii="Cambria Math" w:hAnsi="Cambria Math" w:cs="Times New Roman"/>
                      </w:rPr>
                      <m:t>V</m:t>
                    </m:r>
                  </m:sub>
                  <m:sup/>
                  <m:e>
                    <m:d>
                      <m:dPr>
                        <m:ctrlPr>
                          <w:rPr>
                            <w:rFonts w:ascii="Cambria Math" w:hAnsi="Cambria Math" w:cs="Times New Roman"/>
                            <w:i/>
                          </w:rPr>
                        </m:ctrlPr>
                      </m:dPr>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m:t>
                            </m:r>
                            <m:r>
                              <w:rPr>
                                <w:rFonts w:ascii="Cambria Math" w:hAnsi="Cambria Math" w:cs="Times New Roman"/>
                              </w:rPr>
                              <m:t>,</m:t>
                            </m:r>
                            <m:r>
                              <w:rPr>
                                <w:rFonts w:ascii="Cambria Math" w:hAnsi="Cambria Math" w:cs="Times New Roman"/>
                              </w:rPr>
                              <m:t>k</m:t>
                            </m:r>
                          </m:sub>
                        </m:sSub>
                        <m:r>
                          <w:rPr>
                            <w:rFonts w:ascii="Cambria Math" w:hAnsi="Cambria Math" w:cs="Times New Roman"/>
                          </w:rPr>
                          <m:t>×</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m:t>
                            </m:r>
                            <m:r>
                              <w:rPr>
                                <w:rFonts w:ascii="Cambria Math" w:hAnsi="Cambria Math" w:cs="Times New Roman"/>
                              </w:rPr>
                              <m:t>,</m:t>
                            </m:r>
                            <m:r>
                              <w:rPr>
                                <w:rFonts w:ascii="Cambria Math" w:hAnsi="Cambria Math" w:cs="Times New Roman"/>
                              </w:rPr>
                              <m:t>k</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m:t>
                                </m:r>
                                <m:r>
                                  <w:rPr>
                                    <w:rFonts w:ascii="Cambria Math" w:hAnsi="Cambria Math" w:cs="Times New Roman"/>
                                  </w:rPr>
                                  <m:t>,</m:t>
                                </m:r>
                                <m:r>
                                  <w:rPr>
                                    <w:rFonts w:ascii="Cambria Math" w:hAnsi="Cambria Math" w:cs="Times New Roman"/>
                                  </w:rPr>
                                  <m:t>k</m:t>
                                </m:r>
                              </m:sub>
                            </m:sSub>
                          </m:num>
                          <m:den>
                            <m:nary>
                              <m:naryPr>
                                <m:chr m:val="∑"/>
                                <m:supHide m:val="1"/>
                                <m:ctrlPr>
                                  <w:rPr>
                                    <w:rFonts w:ascii="Cambria Math" w:hAnsi="Cambria Math" w:cs="Times New Roman"/>
                                    <w:i/>
                                  </w:rPr>
                                </m:ctrlPr>
                              </m:naryPr>
                              <m:sub>
                                <m:r>
                                  <w:rPr>
                                    <w:rFonts w:ascii="Cambria Math" w:hAnsi="Cambria Math" w:cs="Times New Roman"/>
                                  </w:rPr>
                                  <m:t>s</m:t>
                                </m:r>
                                <m:r>
                                  <w:rPr>
                                    <w:rFonts w:ascii="Cambria Math" w:hAnsi="Cambria Math" w:cs="Times New Roman"/>
                                  </w:rPr>
                                  <m:t>∈</m:t>
                                </m:r>
                                <m:r>
                                  <w:rPr>
                                    <w:rFonts w:ascii="Cambria Math" w:hAnsi="Cambria Math" w:cs="Times New Roman"/>
                                  </w:rPr>
                                  <m:t>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m:t>
                                    </m:r>
                                    <m:r>
                                      <w:rPr>
                                        <w:rFonts w:ascii="Cambria Math" w:hAnsi="Cambria Math" w:cs="Times New Roman"/>
                                      </w:rPr>
                                      <m:t>,</m:t>
                                    </m:r>
                                    <m:r>
                                      <w:rPr>
                                        <w:rFonts w:ascii="Cambria Math" w:hAnsi="Cambria Math" w:cs="Times New Roman"/>
                                      </w:rPr>
                                      <m:t>k</m:t>
                                    </m:r>
                                  </m:sub>
                                </m:sSub>
                              </m:e>
                            </m:nary>
                          </m:den>
                        </m:f>
                      </m:e>
                    </m:d>
                    <m:r>
                      <w:rPr>
                        <w:rFonts w:ascii="Cambria Math" w:hAnsi="Cambria Math" w:cs="Times New Roman"/>
                      </w:rPr>
                      <m:t>,</m:t>
                    </m:r>
                  </m:e>
                </m:nary>
              </m:oMath>
            </m:oMathPara>
          </w:p>
          <w:p w14:paraId="466D82A8" w14:textId="7CE6138B" w:rsidR="002D4A8E" w:rsidRPr="00727D23" w:rsidRDefault="00CE2C8B" w:rsidP="009B409E">
            <w:pPr>
              <w:spacing w:after="160" w:line="259" w:lineRule="auto"/>
              <w:rPr>
                <w:rFonts w:eastAsiaTheme="minorEastAsia" w:cs="Times New Roman"/>
              </w:rPr>
            </w:pPr>
            <m:oMathPara>
              <m:oMathParaPr>
                <m:jc m:val="left"/>
              </m:oMathParaPr>
              <m:oMath>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j</m:t>
                        </m:r>
                        <m:r>
                          <w:rPr>
                            <w:rFonts w:ascii="Cambria Math" w:hAnsi="Cambria Math" w:cs="Times New Roman"/>
                          </w:rPr>
                          <m:t>,</m:t>
                        </m:r>
                        <m:r>
                          <w:rPr>
                            <w:rFonts w:ascii="Cambria Math" w:hAnsi="Cambria Math" w:cs="Times New Roman"/>
                          </w:rPr>
                          <m:t>k</m:t>
                        </m:r>
                      </m:sub>
                    </m:sSub>
                  </m:num>
                  <m:den>
                    <m:nary>
                      <m:naryPr>
                        <m:chr m:val="∑"/>
                        <m:supHide m:val="1"/>
                        <m:ctrlPr>
                          <w:rPr>
                            <w:rFonts w:ascii="Cambria Math" w:hAnsi="Cambria Math" w:cs="Times New Roman"/>
                            <w:i/>
                          </w:rPr>
                        </m:ctrlPr>
                      </m:naryPr>
                      <m:sub>
                        <m:r>
                          <w:rPr>
                            <w:rFonts w:ascii="Cambria Math" w:hAnsi="Cambria Math" w:cs="Times New Roman"/>
                          </w:rPr>
                          <m:t>s</m:t>
                        </m:r>
                        <m:r>
                          <w:rPr>
                            <w:rFonts w:ascii="Cambria Math" w:hAnsi="Cambria Math" w:cs="Times New Roman"/>
                          </w:rPr>
                          <m:t>∈</m:t>
                        </m:r>
                        <m:r>
                          <w:rPr>
                            <w:rFonts w:ascii="Cambria Math" w:hAnsi="Cambria Math" w:cs="Times New Roman"/>
                          </w:rPr>
                          <m:t>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m:t>
                            </m:r>
                            <m:r>
                              <w:rPr>
                                <w:rFonts w:ascii="Cambria Math" w:hAnsi="Cambria Math" w:cs="Times New Roman"/>
                              </w:rPr>
                              <m:t>,</m:t>
                            </m:r>
                            <m:r>
                              <w:rPr>
                                <w:rFonts w:ascii="Cambria Math" w:hAnsi="Cambria Math" w:cs="Times New Roman"/>
                              </w:rPr>
                              <m:t>k</m:t>
                            </m:r>
                          </m:sub>
                        </m:sSub>
                      </m:e>
                    </m:nary>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i</m:t>
                        </m:r>
                        <m:r>
                          <w:rPr>
                            <w:rFonts w:ascii="Cambria Math" w:hAnsi="Cambria Math" w:cs="Times New Roman"/>
                          </w:rPr>
                          <m:t>,</m:t>
                        </m:r>
                        <m:r>
                          <w:rPr>
                            <w:rFonts w:ascii="Cambria Math" w:hAnsi="Cambria Math" w:cs="Times New Roman"/>
                          </w:rPr>
                          <m:t>k</m:t>
                        </m:r>
                      </m:sub>
                    </m:sSub>
                  </m:num>
                  <m:den>
                    <m:nary>
                      <m:naryPr>
                        <m:chr m:val="∑"/>
                        <m:supHide m:val="1"/>
                        <m:ctrlPr>
                          <w:rPr>
                            <w:rFonts w:ascii="Cambria Math" w:hAnsi="Cambria Math" w:cs="Times New Roman"/>
                            <w:i/>
                          </w:rPr>
                        </m:ctrlPr>
                      </m:naryPr>
                      <m:sub>
                        <m:r>
                          <w:rPr>
                            <w:rFonts w:ascii="Cambria Math" w:hAnsi="Cambria Math" w:cs="Times New Roman"/>
                          </w:rPr>
                          <m:t>s</m:t>
                        </m:r>
                        <m:r>
                          <w:rPr>
                            <w:rFonts w:ascii="Cambria Math" w:hAnsi="Cambria Math" w:cs="Times New Roman"/>
                          </w:rPr>
                          <m:t>∈</m:t>
                        </m:r>
                        <m:r>
                          <w:rPr>
                            <w:rFonts w:ascii="Cambria Math" w:hAnsi="Cambria Math" w:cs="Times New Roman"/>
                          </w:rPr>
                          <m:t>V</m:t>
                        </m:r>
                      </m:sub>
                      <m:sup/>
                      <m:e>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s</m:t>
                            </m:r>
                            <m:r>
                              <w:rPr>
                                <w:rFonts w:ascii="Cambria Math" w:hAnsi="Cambria Math" w:cs="Times New Roman"/>
                              </w:rPr>
                              <m:t>,</m:t>
                            </m:r>
                            <m:r>
                              <w:rPr>
                                <w:rFonts w:ascii="Cambria Math" w:hAnsi="Cambria Math" w:cs="Times New Roman"/>
                              </w:rPr>
                              <m:t>k</m:t>
                            </m:r>
                          </m:sub>
                        </m:sSub>
                      </m:e>
                    </m:nary>
                  </m:den>
                </m:f>
                <m:r>
                  <w:rPr>
                    <w:rFonts w:ascii="Cambria Math" w:eastAsiaTheme="minorEastAsia" w:hAnsi="Cambria Math" w:cs="Times New Roman"/>
                  </w:rPr>
                  <m:t xml:space="preserve">   </m:t>
                </m:r>
                <m:r>
                  <m:rPr>
                    <m:nor/>
                  </m:rPr>
                  <w:rPr>
                    <w:rFonts w:eastAsiaTheme="minorEastAsia" w:cs="Times New Roman"/>
                  </w:rPr>
                  <m:t>for</m:t>
                </m:r>
                <m:r>
                  <w:rPr>
                    <w:rFonts w:ascii="Cambria Math" w:eastAsiaTheme="minorEastAsia" w:hAnsi="Cambria Math" w:cs="Times New Roman"/>
                  </w:rPr>
                  <m:t xml:space="preserve">  </m:t>
                </m:r>
                <m:r>
                  <w:rPr>
                    <w:rFonts w:ascii="Cambria Math" w:eastAsiaTheme="minorEastAsia" w:hAnsi="Cambria Math" w:cs="Times New Roman"/>
                  </w:rPr>
                  <m:t>i</m:t>
                </m:r>
                <m:r>
                  <w:rPr>
                    <w:rFonts w:ascii="Cambria Math" w:eastAsiaTheme="minorEastAsia" w:hAnsi="Cambria Math" w:cs="Times New Roman"/>
                  </w:rPr>
                  <m:t>≠</m:t>
                </m:r>
                <m:r>
                  <w:rPr>
                    <w:rFonts w:ascii="Cambria Math" w:eastAsiaTheme="minorEastAsia" w:hAnsi="Cambria Math" w:cs="Times New Roman"/>
                  </w:rPr>
                  <m:t>j</m:t>
                </m:r>
              </m:oMath>
            </m:oMathPara>
          </w:p>
        </w:tc>
        <w:tc>
          <w:tcPr>
            <w:tcW w:w="535" w:type="dxa"/>
            <w:vAlign w:val="center"/>
          </w:tcPr>
          <w:p w14:paraId="723A3F85" w14:textId="446E144E" w:rsidR="002D4A8E" w:rsidRPr="00727D23" w:rsidRDefault="002D4A8E" w:rsidP="009B409E">
            <w:pPr>
              <w:spacing w:after="160" w:line="259" w:lineRule="auto"/>
              <w:jc w:val="center"/>
              <w:rPr>
                <w:rFonts w:cs="Times New Roman"/>
              </w:rPr>
            </w:pPr>
            <w:r w:rsidRPr="00727D23">
              <w:rPr>
                <w:rFonts w:cs="Times New Roman"/>
              </w:rPr>
              <w:t>(5)</w:t>
            </w:r>
          </w:p>
        </w:tc>
      </w:tr>
    </w:tbl>
    <w:p w14:paraId="17D7A1F9" w14:textId="58A21B93" w:rsidR="002D4A8E" w:rsidRPr="00727D23" w:rsidRDefault="005307DA" w:rsidP="004D6A21">
      <w:pPr>
        <w:rPr>
          <w:rFonts w:cs="Times New Roman"/>
        </w:rPr>
      </w:pPr>
      <w:r w:rsidRPr="00727D23">
        <w:rPr>
          <w:rFonts w:cs="Times New Roman"/>
        </w:rPr>
        <w:t xml:space="preserve">which implies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ji</m:t>
            </m:r>
          </m:sub>
        </m:sSub>
      </m:oMath>
      <w:r w:rsidRPr="00727D23">
        <w:rPr>
          <w:rFonts w:eastAsiaTheme="minorEastAsia" w:cs="Times New Roman"/>
        </w:rPr>
        <w:t xml:space="preserve"> for </w:t>
      </w:r>
      <m:oMath>
        <m:r>
          <w:rPr>
            <w:rFonts w:ascii="Cambria Math" w:eastAsiaTheme="minorEastAsia" w:hAnsi="Cambria Math" w:cs="Times New Roman"/>
          </w:rPr>
          <m:t>i≠j</m:t>
        </m:r>
      </m:oMath>
      <w:r w:rsidRPr="00727D23">
        <w:rPr>
          <w:rFonts w:eastAsiaTheme="minorEastAsia" w:cs="Times New Roman"/>
        </w:rPr>
        <w:t>.</w:t>
      </w:r>
    </w:p>
    <w:p w14:paraId="1B313630" w14:textId="2D88EEC1" w:rsidR="00B96DFF" w:rsidRPr="00727D23" w:rsidRDefault="00B96DFF" w:rsidP="00232F54">
      <w:pPr>
        <w:rPr>
          <w:rFonts w:cs="Times New Roman"/>
        </w:rPr>
      </w:pPr>
    </w:p>
    <w:p w14:paraId="793C3FD8" w14:textId="16A7D9D9" w:rsidR="00FD4576" w:rsidRPr="00727D23" w:rsidRDefault="00FD4576" w:rsidP="00232F54">
      <w:pPr>
        <w:rPr>
          <w:rFonts w:cs="Times New Roman"/>
          <w:i/>
          <w:iCs/>
        </w:rPr>
      </w:pPr>
      <w:r w:rsidRPr="00727D23">
        <w:rPr>
          <w:rFonts w:cs="Times New Roman"/>
          <w:i/>
          <w:iCs/>
        </w:rPr>
        <w:t>4. Community detection</w:t>
      </w:r>
    </w:p>
    <w:p w14:paraId="39BE267B" w14:textId="183016F4" w:rsidR="00FD4576" w:rsidRPr="00727D23" w:rsidRDefault="00606F47" w:rsidP="00233A94">
      <w:pPr>
        <w:rPr>
          <w:rFonts w:cs="Times New Roman"/>
        </w:rPr>
      </w:pPr>
      <w:r w:rsidRPr="00727D23">
        <w:rPr>
          <w:rFonts w:cs="Times New Roman"/>
        </w:rPr>
        <w:t xml:space="preserve">For each CBG in the study area, the corresponding row of the interaction matrix indicates the level of </w:t>
      </w:r>
      <w:r w:rsidR="00233A94" w:rsidRPr="00727D23">
        <w:rPr>
          <w:rFonts w:cs="Times New Roman"/>
        </w:rPr>
        <w:t xml:space="preserve">connection with other CBGs in terms of the probability of interaction. We applied a set of community detection methods to discover clusters of CBGs in which residents are more likely to interact with each other rather than </w:t>
      </w:r>
      <w:r w:rsidR="00976369" w:rsidRPr="00727D23">
        <w:rPr>
          <w:rFonts w:cs="Times New Roman"/>
        </w:rPr>
        <w:t xml:space="preserve">with </w:t>
      </w:r>
      <w:r w:rsidR="00233A94" w:rsidRPr="00727D23">
        <w:rPr>
          <w:rFonts w:cs="Times New Roman"/>
        </w:rPr>
        <w:t>people from other clusters.</w:t>
      </w:r>
    </w:p>
    <w:p w14:paraId="1F5141CA" w14:textId="146AFC30" w:rsidR="00C7619E" w:rsidRDefault="0001506C" w:rsidP="00E56945">
      <w:pPr>
        <w:rPr>
          <w:rFonts w:cs="Times New Roman"/>
        </w:rPr>
      </w:pPr>
      <w:r w:rsidRPr="00727D23">
        <w:rPr>
          <w:rFonts w:cs="Times New Roman"/>
        </w:rPr>
        <w:t xml:space="preserve">First, we </w:t>
      </w:r>
      <w:r w:rsidR="00455E72" w:rsidRPr="00727D23">
        <w:rPr>
          <w:rFonts w:cs="Times New Roman"/>
        </w:rPr>
        <w:t>create</w:t>
      </w:r>
      <w:r w:rsidR="00206858" w:rsidRPr="00727D23">
        <w:rPr>
          <w:rFonts w:cs="Times New Roman"/>
        </w:rPr>
        <w:t>d</w:t>
      </w:r>
      <w:r w:rsidRPr="00727D23">
        <w:rPr>
          <w:rFonts w:cs="Times New Roman"/>
        </w:rPr>
        <w:t xml:space="preserve"> the mobility network based on the average </w:t>
      </w:r>
      <w:r w:rsidR="00976369" w:rsidRPr="00727D23">
        <w:rPr>
          <w:rFonts w:cs="Times New Roman"/>
        </w:rPr>
        <w:t xml:space="preserve">CBG </w:t>
      </w:r>
      <w:r w:rsidRPr="00727D23">
        <w:rPr>
          <w:rFonts w:cs="Times New Roman"/>
        </w:rPr>
        <w:t>interaction matrix</w:t>
      </w:r>
      <w:r w:rsidR="00455E72" w:rsidRPr="00727D23">
        <w:rPr>
          <w:rFonts w:cs="Times New Roman"/>
        </w:rPr>
        <w:t xml:space="preserve">, defined as a directed and edge-weighted graph </w:t>
      </w:r>
      <m:oMath>
        <m:r>
          <w:rPr>
            <w:rFonts w:ascii="Cambria Math" w:hAnsi="Cambria Math" w:cs="Times New Roman"/>
          </w:rPr>
          <m:t>G=(V,E,W)</m:t>
        </m:r>
      </m:oMath>
      <w:r w:rsidR="00455E72" w:rsidRPr="00727D23">
        <w:rPr>
          <w:rFonts w:eastAsiaTheme="minorEastAsia" w:cs="Times New Roman"/>
        </w:rPr>
        <w:t>, in which vertices (</w:t>
      </w:r>
      <m:oMath>
        <m:r>
          <w:rPr>
            <w:rFonts w:ascii="Cambria Math" w:eastAsiaTheme="minorEastAsia" w:hAnsi="Cambria Math" w:cs="Times New Roman"/>
          </w:rPr>
          <m:t>V</m:t>
        </m:r>
      </m:oMath>
      <w:r w:rsidR="00455E72" w:rsidRPr="00727D23">
        <w:rPr>
          <w:rFonts w:eastAsiaTheme="minorEastAsia" w:cs="Times New Roman"/>
        </w:rPr>
        <w:t>) are the CBGs</w:t>
      </w:r>
      <w:r w:rsidR="00E968F3" w:rsidRPr="00727D23">
        <w:rPr>
          <w:rFonts w:eastAsiaTheme="minorEastAsia" w:cs="Times New Roman"/>
        </w:rPr>
        <w:t xml:space="preserve">, </w:t>
      </w:r>
      <w:r w:rsidR="00455E72" w:rsidRPr="00727D23">
        <w:rPr>
          <w:rFonts w:eastAsiaTheme="minorEastAsia" w:cs="Times New Roman"/>
        </w:rPr>
        <w:t>edges (</w:t>
      </w:r>
      <m:oMath>
        <m:r>
          <w:rPr>
            <w:rFonts w:ascii="Cambria Math" w:eastAsiaTheme="minorEastAsia" w:hAnsi="Cambria Math" w:cs="Times New Roman"/>
          </w:rPr>
          <m:t>E</m:t>
        </m:r>
      </m:oMath>
      <w:r w:rsidR="00455E72" w:rsidRPr="00727D23">
        <w:rPr>
          <w:rFonts w:eastAsiaTheme="minorEastAsia" w:cs="Times New Roman"/>
        </w:rPr>
        <w:t>)</w:t>
      </w:r>
      <w:r w:rsidR="00E968F3" w:rsidRPr="00727D23">
        <w:rPr>
          <w:rFonts w:eastAsiaTheme="minorEastAsia" w:cs="Times New Roman"/>
        </w:rPr>
        <w:t xml:space="preserve"> denote CBGs</w:t>
      </w:r>
      <w:r w:rsidR="00455E72" w:rsidRPr="00727D23">
        <w:rPr>
          <w:rFonts w:eastAsiaTheme="minorEastAsia" w:cs="Times New Roman"/>
        </w:rPr>
        <w:t xml:space="preserve"> </w:t>
      </w:r>
      <w:r w:rsidR="00E968F3" w:rsidRPr="00727D23">
        <w:rPr>
          <w:rFonts w:cs="Times New Roman"/>
        </w:rPr>
        <w:t xml:space="preserve">with any positive level of population interaction, and weights </w:t>
      </w:r>
      <w:r w:rsidR="00E968F3" w:rsidRPr="00727D23">
        <w:rPr>
          <w:rFonts w:eastAsiaTheme="minorEastAsia" w:cs="Times New Roman"/>
        </w:rPr>
        <w:t>(</w:t>
      </w:r>
      <m:oMath>
        <m:r>
          <w:rPr>
            <w:rFonts w:ascii="Cambria Math" w:hAnsi="Cambria Math" w:cs="Times New Roman"/>
          </w:rPr>
          <m:t>W</m:t>
        </m:r>
      </m:oMath>
      <w:r w:rsidR="00E968F3" w:rsidRPr="00727D23">
        <w:rPr>
          <w:rFonts w:eastAsiaTheme="minorEastAsia" w:cs="Times New Roman"/>
        </w:rPr>
        <w:t>) are the probabilities of interaction between populations of pairs of CBGs.</w:t>
      </w:r>
      <w:r w:rsidR="00FB19FE" w:rsidRPr="00727D23">
        <w:rPr>
          <w:rFonts w:eastAsiaTheme="minorEastAsia" w:cs="Times New Roman"/>
        </w:rPr>
        <w:t xml:space="preserve"> The result was a network with 2692 nodes and 164,556 weighted edges.</w:t>
      </w:r>
      <w:r w:rsidR="0034133B" w:rsidRPr="00727D23">
        <w:rPr>
          <w:rFonts w:eastAsiaTheme="minorEastAsia" w:cs="Times New Roman"/>
        </w:rPr>
        <w:t xml:space="preserve"> For detecting community structures, </w:t>
      </w:r>
      <w:r w:rsidR="0034133B" w:rsidRPr="00727D23">
        <w:rPr>
          <w:rFonts w:cs="Times New Roman"/>
        </w:rPr>
        <w:t xml:space="preserve">we </w:t>
      </w:r>
      <w:r w:rsidR="00707E25" w:rsidRPr="00727D23">
        <w:rPr>
          <w:rFonts w:cs="Times New Roman"/>
        </w:rPr>
        <w:t xml:space="preserve">used </w:t>
      </w:r>
      <w:r w:rsidR="0034133B" w:rsidRPr="00727D23">
        <w:rPr>
          <w:rFonts w:cs="Times New Roman"/>
        </w:rPr>
        <w:t>the</w:t>
      </w:r>
      <w:r w:rsidR="00707E25" w:rsidRPr="00727D23">
        <w:rPr>
          <w:rFonts w:cs="Times New Roman"/>
        </w:rPr>
        <w:t xml:space="preserve"> greedy</w:t>
      </w:r>
      <w:r w:rsidR="0034133B" w:rsidRPr="00727D23">
        <w:rPr>
          <w:rFonts w:cs="Times New Roman"/>
        </w:rPr>
        <w:t xml:space="preserve"> Clauset-Newman-Moore</w:t>
      </w:r>
      <w:r w:rsidR="003228FF" w:rsidRPr="00727D23">
        <w:rPr>
          <w:rFonts w:cs="Times New Roman"/>
        </w:rPr>
        <w:fldChar w:fldCharType="begin" w:fldLock="1"/>
      </w:r>
      <w:r w:rsidR="00273FA1" w:rsidRPr="00727D23">
        <w:rPr>
          <w:rFonts w:cs="Times New Roman"/>
        </w:rPr>
        <w:instrText>ADDIN CSL_CITATION {"citationItems":[{"id":"ITEM-1","itemData":{"DOI":"10.1103/PHYSREVE.70.066111/FIGURES/3/MEDIUM","ISSN":"1063651X","PMID":"15697438","abstract":"The discovery and analysis of community structure in networks is a topic of considerable recent interest within the physics community, but most methods proposed so far are unsuitable for very large networks because of their computational cost. Here we present a hierarchical agglomeration algorithm for detecting community structure which is faster than many competing algorithms: its running time on a network with [Formula presented] vertices and [Formula presented] edges is [Formula presented] where [Formula presented] is the depth of the dendrogram describing the community structure. Many real-world networks are sparse and hierarchical, with [Formula presented] and [Formula presented], in which case our algorithm runs in essentially linear time, [Formula presented]. As an example of the application of this algorithm we use it to analyze a network of items for sale on the web site of a large on-line retailer, items in the network being linked if they are frequently purchased by the same buyer. The network has more than 400?000 vertices and [Formula presented] edges. We show that our algorithm can extract meaningful communities from this network, revealing large-scale patterns present in the purchasing habits of customers. © 2004 The American Physical Society.","author":[{"dropping-particle":"","family":"Clauset","given":"Aaron","non-dropping-particle":"","parse-names":false,"suffix":""},{"dropping-particle":"","family":"Newman","given":"M. E.J.","non-dropping-particle":"","parse-names":false,"suffix":""},{"dropping-particle":"","family":"Moore","given":"Cristopher","non-dropping-particle":"","parse-names":false,"suffix":""}],"container-title":"Physical Review E - Statistical Physics, Plasmas, Fluids, and Related Interdisciplinary Topics","id":"ITEM-1","issue":"6","issued":{"date-parts":[["2004","12","6"]]},"page":"6","publisher":"American Physical Society","title":"Finding community structure in very large networks","type":"article-journal","volume":"70"},"uris":["http://www.mendeley.com/documents/?uuid=e9dd61b9-68a2-3d83-abb0-45d84eb560ec"]}],"mendeley":{"formattedCitation":"&lt;sup&gt;5&lt;/sup&gt;","plainTextFormattedCitation":"5","previouslyFormattedCitation":"[5]"},"properties":{"noteIndex":0},"schema":"https://github.com/citation-style-language/schema/raw/master/csl-citation.json"}</w:instrText>
      </w:r>
      <w:r w:rsidR="003228FF" w:rsidRPr="00727D23">
        <w:rPr>
          <w:rFonts w:cs="Times New Roman"/>
        </w:rPr>
        <w:fldChar w:fldCharType="separate"/>
      </w:r>
      <w:r w:rsidR="00273FA1" w:rsidRPr="00727D23">
        <w:rPr>
          <w:rFonts w:cs="Times New Roman"/>
          <w:noProof/>
          <w:vertAlign w:val="superscript"/>
        </w:rPr>
        <w:t>5</w:t>
      </w:r>
      <w:r w:rsidR="003228FF" w:rsidRPr="00727D23">
        <w:rPr>
          <w:rFonts w:cs="Times New Roman"/>
        </w:rPr>
        <w:fldChar w:fldCharType="end"/>
      </w:r>
      <w:r w:rsidR="0034133B" w:rsidRPr="00727D23">
        <w:rPr>
          <w:rFonts w:cs="Times New Roman"/>
        </w:rPr>
        <w:t xml:space="preserve"> and the Louvain </w:t>
      </w:r>
      <w:r w:rsidR="00707E25" w:rsidRPr="00727D23">
        <w:rPr>
          <w:rFonts w:cs="Times New Roman"/>
        </w:rPr>
        <w:t>a</w:t>
      </w:r>
      <w:r w:rsidR="0034133B" w:rsidRPr="00727D23">
        <w:rPr>
          <w:rFonts w:cs="Times New Roman"/>
        </w:rPr>
        <w:t>lgorithm</w:t>
      </w:r>
      <w:r w:rsidR="00206858" w:rsidRPr="00727D23">
        <w:rPr>
          <w:rFonts w:cs="Times New Roman"/>
        </w:rPr>
        <w:t>,</w:t>
      </w:r>
      <w:r w:rsidR="00707E25" w:rsidRPr="00727D23">
        <w:rPr>
          <w:rFonts w:cs="Times New Roman"/>
        </w:rPr>
        <w:fldChar w:fldCharType="begin" w:fldLock="1"/>
      </w:r>
      <w:r w:rsidR="00273FA1" w:rsidRPr="00727D23">
        <w:rPr>
          <w:rFonts w:cs="Times New Roman"/>
        </w:rPr>
        <w:instrText>ADDIN CSL_CITATION {"citationItems":[{"id":"ITEM-1","itemData":{"DOI":"10.1088/1742-5468/2008/10/P10008","abstract":"We propose a simple method to extract the community structure of large networks. Our method is a heuristic method that is based on modularity optimization. It is shown to outperform all other known community detection methods in terms of computation time. Moreover, the quality of the communities detected is very good, as measured by the so-called modularity. This is shown first by identifying language communities in a Belgian mobile phone network of 2 million customers and by analysing a web graph of 118 million nodes and more than one billion links. The accuracy of our algorithm is also verified on ad hoc modular networks.","author":[{"dropping-particle":"Van","family":"Nguyen","given":"Linh","non-dropping-particle":"","parse-names":false,"suffix":""},{"dropping-particle":"","family":"Laval","given":"Jean-Philippe","non-dropping-particle":"","parse-names":false,"suffix":""},{"dropping-particle":"","family":"Chainais","given":"Pierre","non-dropping-particle":"","parse-names":false,"suffix":""},{"dropping-particle":"","family":"Iop","given":"An","non-dropping-particle":"","parse-names":false,"suffix":""},{"dropping-particle":"","family":"Blondel","given":"Vincent D","non-dropping-particle":"","parse-names":false,"suffix":""},{"dropping-particle":"","family":"Guillaume","given":"Jean-Loup","non-dropping-particle":"","parse-names":false,"suffix":""},{"dropping-particle":"","family":"Lambiotte","given":"Renaud","non-dropping-particle":"","parse-names":false,"suffix":""},{"dropping-particle":"","family":"Lefebvre","given":"Etienne","non-dropping-particle":"","parse-names":false,"suffix":""}],"container-title":"J. Stat. Mech","id":"ITEM-1","issued":{"date-parts":[["2008"]]},"page":"10008","title":"Fast unfolding of communities in large networks You may also like The Baxter Q operator of critical dense polymers Alessandro Nigro-A Bayesian fusion model for space-time reconstruction of finely resolved velocities in turbulent flows from low resolution measurements Fast unfolding of communities in large networks","type":"article-journal"},"uris":["http://www.mendeley.com/documents/?uuid=f545c1b7-c612-3375-bfca-a42d990c56a4"]}],"mendeley":{"formattedCitation":"&lt;sup&gt;6&lt;/sup&gt;","plainTextFormattedCitation":"6","previouslyFormattedCitation":"[6]"},"properties":{"noteIndex":0},"schema":"https://github.com/citation-style-language/schema/raw/master/csl-citation.json"}</w:instrText>
      </w:r>
      <w:r w:rsidR="00707E25" w:rsidRPr="00727D23">
        <w:rPr>
          <w:rFonts w:cs="Times New Roman"/>
        </w:rPr>
        <w:fldChar w:fldCharType="separate"/>
      </w:r>
      <w:r w:rsidR="00273FA1" w:rsidRPr="00727D23">
        <w:rPr>
          <w:rFonts w:cs="Times New Roman"/>
          <w:noProof/>
          <w:vertAlign w:val="superscript"/>
        </w:rPr>
        <w:t>6</w:t>
      </w:r>
      <w:r w:rsidR="00707E25" w:rsidRPr="00727D23">
        <w:rPr>
          <w:rFonts w:cs="Times New Roman"/>
        </w:rPr>
        <w:fldChar w:fldCharType="end"/>
      </w:r>
      <w:r w:rsidR="00707E25" w:rsidRPr="00727D23">
        <w:rPr>
          <w:rFonts w:cs="Times New Roman"/>
        </w:rPr>
        <w:t xml:space="preserve"> which are both</w:t>
      </w:r>
      <w:r w:rsidR="00CF7B30" w:rsidRPr="00727D23">
        <w:rPr>
          <w:rFonts w:cs="Times New Roman"/>
        </w:rPr>
        <w:t xml:space="preserve"> based on modularity maximization</w:t>
      </w:r>
      <w:r w:rsidR="00707E25" w:rsidRPr="00727D23">
        <w:rPr>
          <w:rFonts w:cs="Times New Roman"/>
        </w:rPr>
        <w:t xml:space="preserve"> </w:t>
      </w:r>
      <w:r w:rsidR="00CF7B30" w:rsidRPr="00727D23">
        <w:rPr>
          <w:rFonts w:cs="Times New Roman"/>
        </w:rPr>
        <w:t xml:space="preserve">and </w:t>
      </w:r>
      <w:r w:rsidR="00707E25" w:rsidRPr="00727D23">
        <w:rPr>
          <w:rFonts w:cs="Times New Roman"/>
        </w:rPr>
        <w:t>among the most common</w:t>
      </w:r>
      <w:r w:rsidR="00CF7B30" w:rsidRPr="00727D23">
        <w:rPr>
          <w:rFonts w:cs="Times New Roman"/>
        </w:rPr>
        <w:t xml:space="preserve">ly used </w:t>
      </w:r>
      <w:r w:rsidR="00707E25" w:rsidRPr="00727D23">
        <w:rPr>
          <w:rFonts w:cs="Times New Roman"/>
        </w:rPr>
        <w:t xml:space="preserve">community detection algorithms </w:t>
      </w:r>
      <w:r w:rsidR="00CF7B30" w:rsidRPr="00727D23">
        <w:rPr>
          <w:rFonts w:cs="Times New Roman"/>
        </w:rPr>
        <w:t xml:space="preserve">across </w:t>
      </w:r>
      <w:r w:rsidR="00707E25" w:rsidRPr="00727D23">
        <w:rPr>
          <w:rFonts w:cs="Times New Roman"/>
        </w:rPr>
        <w:t xml:space="preserve">different datasets. </w:t>
      </w:r>
      <w:r w:rsidR="00C7619E">
        <w:rPr>
          <w:rFonts w:cs="Times New Roman"/>
        </w:rPr>
        <w:t xml:space="preserve">In case of isolated CBGs, i.e., communities consisting of only one CBG, we </w:t>
      </w:r>
      <w:r w:rsidR="007D2E62">
        <w:rPr>
          <w:rFonts w:cs="Times New Roman"/>
        </w:rPr>
        <w:t>modified</w:t>
      </w:r>
      <w:r w:rsidR="00C7619E">
        <w:rPr>
          <w:rFonts w:cs="Times New Roman"/>
        </w:rPr>
        <w:t xml:space="preserve"> the </w:t>
      </w:r>
      <w:r w:rsidR="007D2E62">
        <w:rPr>
          <w:rFonts w:cs="Times New Roman"/>
        </w:rPr>
        <w:t xml:space="preserve">resulted community structure by assigning these </w:t>
      </w:r>
      <w:r w:rsidR="00A67FE6">
        <w:rPr>
          <w:rFonts w:cs="Times New Roman"/>
        </w:rPr>
        <w:t xml:space="preserve">isolated </w:t>
      </w:r>
      <w:r w:rsidR="007D2E62">
        <w:rPr>
          <w:rFonts w:cs="Times New Roman"/>
        </w:rPr>
        <w:t xml:space="preserve">CBGs to the closest community, identified based on the </w:t>
      </w:r>
      <w:r w:rsidR="007D2E62" w:rsidRPr="007D2E62">
        <w:rPr>
          <w:rFonts w:cs="Times New Roman"/>
        </w:rPr>
        <w:t>geodesic distance</w:t>
      </w:r>
      <w:r w:rsidR="007D2E62">
        <w:rPr>
          <w:rFonts w:cs="Times New Roman"/>
        </w:rPr>
        <w:t>s between the centroids of the CBGs.</w:t>
      </w:r>
      <w:r w:rsidR="00C7619E">
        <w:rPr>
          <w:rFonts w:cs="Times New Roman"/>
        </w:rPr>
        <w:t xml:space="preserve">     </w:t>
      </w:r>
    </w:p>
    <w:p w14:paraId="1E22D78C" w14:textId="7ADBC937" w:rsidR="00B0298A" w:rsidRPr="00727D23" w:rsidRDefault="00CF7B30" w:rsidP="00E56945">
      <w:pPr>
        <w:rPr>
          <w:rFonts w:cs="Times New Roman"/>
        </w:rPr>
      </w:pPr>
      <w:r w:rsidRPr="00727D23">
        <w:rPr>
          <w:rFonts w:cs="Times New Roman"/>
        </w:rPr>
        <w:t>We conducted sensitivity analys</w:t>
      </w:r>
      <w:r w:rsidR="001D30CD">
        <w:rPr>
          <w:rFonts w:cs="Times New Roman"/>
        </w:rPr>
        <w:t>e</w:t>
      </w:r>
      <w:r w:rsidRPr="00727D23">
        <w:rPr>
          <w:rFonts w:cs="Times New Roman"/>
        </w:rPr>
        <w:t>s on the resolution parameter</w:t>
      </w:r>
      <w:r w:rsidR="00B0298A" w:rsidRPr="00727D23">
        <w:rPr>
          <w:rFonts w:cs="Times New Roman"/>
        </w:rPr>
        <w:t xml:space="preserve">, often called </w:t>
      </w:r>
      <w:r w:rsidR="001D30CD">
        <w:rPr>
          <w:rFonts w:cs="Times New Roman"/>
        </w:rPr>
        <w:t>lambda</w:t>
      </w:r>
      <w:r w:rsidR="001D30CD" w:rsidRPr="00727D23">
        <w:rPr>
          <w:rFonts w:cs="Times New Roman"/>
        </w:rPr>
        <w:t xml:space="preserve"> </w:t>
      </w:r>
      <w:r w:rsidR="00B0298A" w:rsidRPr="00727D23">
        <w:rPr>
          <w:rFonts w:cs="Times New Roman"/>
        </w:rPr>
        <w:t>(</w:t>
      </w:r>
      <m:oMath>
        <m:r>
          <w:rPr>
            <w:rFonts w:ascii="Cambria Math" w:hAnsi="Cambria Math" w:cs="Times New Roman"/>
          </w:rPr>
          <m:t>λ</m:t>
        </m:r>
      </m:oMath>
      <w:r w:rsidR="00B0298A" w:rsidRPr="00727D23">
        <w:rPr>
          <w:rFonts w:eastAsiaTheme="minorEastAsia" w:cs="Times New Roman"/>
        </w:rPr>
        <w:t>)</w:t>
      </w:r>
      <w:r w:rsidR="00B0298A" w:rsidRPr="00727D23">
        <w:rPr>
          <w:rFonts w:cs="Times New Roman"/>
        </w:rPr>
        <w:t>,</w:t>
      </w:r>
      <w:r w:rsidRPr="00727D23">
        <w:rPr>
          <w:rFonts w:cs="Times New Roman"/>
        </w:rPr>
        <w:t xml:space="preserve"> of these algorithms</w:t>
      </w:r>
      <w:r w:rsidR="00B0298A" w:rsidRPr="00727D23">
        <w:rPr>
          <w:rFonts w:cs="Times New Roman"/>
        </w:rPr>
        <w:t xml:space="preserve">. Gamma </w:t>
      </w:r>
      <w:r w:rsidRPr="00727D23">
        <w:rPr>
          <w:rFonts w:cs="Times New Roman"/>
        </w:rPr>
        <w:t xml:space="preserve">is a hyper parameter that sets an arbitrary tradeoff between intra-group and inter-group edges. </w:t>
      </w:r>
      <w:r w:rsidR="00206858" w:rsidRPr="00727D23">
        <w:rPr>
          <w:rFonts w:cs="Times New Roman"/>
        </w:rPr>
        <w:t>I</w:t>
      </w:r>
      <w:r w:rsidR="009B6CBB" w:rsidRPr="00727D23">
        <w:rPr>
          <w:rFonts w:cs="Times New Roman"/>
        </w:rPr>
        <w:t>ncreasing</w:t>
      </w:r>
      <w:r w:rsidRPr="00727D23">
        <w:rPr>
          <w:rFonts w:cs="Times New Roman"/>
        </w:rPr>
        <w:t xml:space="preserve"> the resolution parameter can result in </w:t>
      </w:r>
      <w:r w:rsidR="009B6CBB" w:rsidRPr="00727D23">
        <w:rPr>
          <w:rFonts w:cs="Times New Roman"/>
        </w:rPr>
        <w:t xml:space="preserve">smaller-sized clusters and </w:t>
      </w:r>
      <w:r w:rsidRPr="00727D23">
        <w:rPr>
          <w:rFonts w:cs="Times New Roman"/>
        </w:rPr>
        <w:t xml:space="preserve">more complex structures. </w:t>
      </w:r>
      <w:r w:rsidR="00B66335" w:rsidRPr="00727D23">
        <w:rPr>
          <w:rFonts w:cs="Times New Roman"/>
        </w:rPr>
        <w:t xml:space="preserve">We incrementally increased gamma from 1 to 2. </w:t>
      </w:r>
      <w:r w:rsidRPr="00727D23">
        <w:rPr>
          <w:rFonts w:cs="Times New Roman"/>
        </w:rPr>
        <w:t>In addition, as Louvain is a heuristic method, we repeated the analy</w:t>
      </w:r>
      <w:r w:rsidR="00E56945" w:rsidRPr="00727D23">
        <w:rPr>
          <w:rFonts w:cs="Times New Roman"/>
        </w:rPr>
        <w:t xml:space="preserve">sis for each value of </w:t>
      </w:r>
      <w:r w:rsidR="00B0298A" w:rsidRPr="00727D23">
        <w:rPr>
          <w:rFonts w:cs="Times New Roman"/>
        </w:rPr>
        <w:t xml:space="preserve">gamma </w:t>
      </w:r>
      <w:r w:rsidRPr="00727D23">
        <w:rPr>
          <w:rFonts w:cs="Times New Roman"/>
        </w:rPr>
        <w:t xml:space="preserve">and extracted a set of </w:t>
      </w:r>
      <w:r w:rsidR="00E56945" w:rsidRPr="00727D23">
        <w:rPr>
          <w:rFonts w:cs="Times New Roman"/>
        </w:rPr>
        <w:t xml:space="preserve">100 </w:t>
      </w:r>
      <w:r w:rsidRPr="00727D23">
        <w:rPr>
          <w:rFonts w:cs="Times New Roman"/>
        </w:rPr>
        <w:t xml:space="preserve">possible community structures for the </w:t>
      </w:r>
      <w:r w:rsidR="00674876" w:rsidRPr="00727D23">
        <w:rPr>
          <w:rFonts w:cs="Times New Roman"/>
        </w:rPr>
        <w:t>study</w:t>
      </w:r>
      <w:r w:rsidRPr="00727D23">
        <w:rPr>
          <w:rFonts w:cs="Times New Roman"/>
        </w:rPr>
        <w:t xml:space="preserve"> area</w:t>
      </w:r>
      <w:r w:rsidR="004614A6" w:rsidRPr="00727D23">
        <w:rPr>
          <w:rFonts w:cs="Times New Roman"/>
        </w:rPr>
        <w:t>.</w:t>
      </w:r>
    </w:p>
    <w:p w14:paraId="1D429DE8" w14:textId="5FA08ABB" w:rsidR="004614A6" w:rsidRPr="00727D23" w:rsidRDefault="004614A6" w:rsidP="004614A6">
      <w:pPr>
        <w:rPr>
          <w:rFonts w:cs="Times New Roman"/>
        </w:rPr>
      </w:pPr>
      <w:r w:rsidRPr="00727D23">
        <w:rPr>
          <w:rFonts w:cs="Times New Roman"/>
        </w:rPr>
        <w:t>Given the probabilistic nature of community detection algorithms and their sensitivity to the value of the resolution parameter, and in the absence of ground truth, it is difficult to judge the reliability of the resulted community structures. To incorporate this uncertainty into our analysis, we applied the method of community cores</w:t>
      </w:r>
      <w:r w:rsidRPr="00727D23">
        <w:rPr>
          <w:rFonts w:cs="Times New Roman"/>
        </w:rPr>
        <w:fldChar w:fldCharType="begin" w:fldLock="1"/>
      </w:r>
      <w:r w:rsidR="00273FA1" w:rsidRPr="00727D23">
        <w:rPr>
          <w:rFonts w:cs="Times New Roman"/>
        </w:rPr>
        <w:instrText>ADDIN CSL_CITATION {"citationItems":[{"id":"ITEM-1","itemData":{"DOI":"10.1007/978-3-642-30287-9_10/COVER","ISBN":"9783642302862","ISSN":"1860949X","abstract":"Complex networks are generally composed of dense sub-networks called communities. Many algorithms have been proposed to automatically detect such communities. However, they are often unstable and behave nondeterministically. We propose here to use this non-determinism in order to compute groups of nodes on which community detection algorithms agree most of the time.We show that these groups of nodes, called community cores, are more similar to Ground Truth than communities in real and artificial networks. Furthermore, we show that in contrary to the classical approaches, we can reveal the absence of community structure in random graphs. © 2013 Springer-Verlag Berlin Heidelberg.","author":[{"dropping-particle":"","family":"Seifi","given":"Massoud","non-dropping-particle":"","parse-names":false,"suffix":""},{"dropping-particle":"","family":"Junier","given":"Ivan","non-dropping-particle":"","parse-names":false,"suffix":""},{"dropping-particle":"","family":"Rouquier","given":"Jean Baptiste","non-dropping-particle":"","parse-names":false,"suffix":""},{"dropping-particle":"","family":"Iskrov","given":"Svilen","non-dropping-particle":"","parse-names":false,"suffix":""},{"dropping-particle":"","family":"Guillaume","given":"Jean Loup","non-dropping-particle":"","parse-names":false,"suffix":""}],"container-title":"Studies in Computational Intelligence","id":"ITEM-1","issued":{"date-parts":[["2013"]]},"page":"87-98","publisher":"Springer Verlag","title":"Stable community cores in complex networks","type":"article-journal","volume":"424"},"uris":["http://www.mendeley.com/documents/?uuid=ddd2fcc4-5432-30bb-b72a-0bf3c3f4067f"]}],"mendeley":{"formattedCitation":"&lt;sup&gt;7&lt;/sup&gt;","plainTextFormattedCitation":"7","previouslyFormattedCitation":"[7]"},"properties":{"noteIndex":0},"schema":"https://github.com/citation-style-language/schema/raw/master/csl-citation.json"}</w:instrText>
      </w:r>
      <w:r w:rsidRPr="00727D23">
        <w:rPr>
          <w:rFonts w:cs="Times New Roman"/>
        </w:rPr>
        <w:fldChar w:fldCharType="separate"/>
      </w:r>
      <w:r w:rsidR="00273FA1" w:rsidRPr="00727D23">
        <w:rPr>
          <w:rFonts w:cs="Times New Roman"/>
          <w:noProof/>
          <w:vertAlign w:val="superscript"/>
        </w:rPr>
        <w:t>7</w:t>
      </w:r>
      <w:r w:rsidRPr="00727D23">
        <w:rPr>
          <w:rFonts w:cs="Times New Roman"/>
        </w:rPr>
        <w:fldChar w:fldCharType="end"/>
      </w:r>
      <w:r w:rsidRPr="00727D23">
        <w:rPr>
          <w:rFonts w:cs="Times New Roman"/>
        </w:rPr>
        <w:t xml:space="preserve"> to identify clusters of CBGs on which the results of the community detection analysis agree most of the time. The community cores methodology aims at finding the tendency (probability) of pairs of nodes to belong to the same cluster across multiple executions of non-deterministic community detection algorithms or either deterministic or probabilistic algorithms with varying hyper parameters. </w:t>
      </w:r>
    </w:p>
    <w:p w14:paraId="1FB09E5B" w14:textId="2B2E3F39" w:rsidR="004614A6" w:rsidRPr="00727D23" w:rsidRDefault="004614A6" w:rsidP="004614A6">
      <w:pPr>
        <w:rPr>
          <w:rFonts w:cs="Times New Roman"/>
        </w:rPr>
      </w:pPr>
      <w:r w:rsidRPr="00727D23">
        <w:rPr>
          <w:rFonts w:cs="Times New Roman"/>
        </w:rPr>
        <w:t>To identify the community cores, we create</w:t>
      </w:r>
      <w:r w:rsidR="00206858" w:rsidRPr="00727D23">
        <w:rPr>
          <w:rFonts w:cs="Times New Roman"/>
        </w:rPr>
        <w:t>d</w:t>
      </w:r>
      <w:r w:rsidRPr="00727D23">
        <w:rPr>
          <w:rFonts w:cs="Times New Roman"/>
        </w:rPr>
        <w:t xml:space="preserve"> an </w:t>
      </w:r>
      <m:oMath>
        <m:r>
          <w:rPr>
            <w:rFonts w:ascii="Cambria Math" w:hAnsi="Cambria Math" w:cs="Times New Roman"/>
          </w:rPr>
          <m:t>n×n</m:t>
        </m:r>
      </m:oMath>
      <w:r w:rsidRPr="00727D23">
        <w:rPr>
          <w:rFonts w:eastAsiaTheme="minorEastAsia" w:cs="Times New Roman"/>
        </w:rPr>
        <w:t xml:space="preserve"> matrix, where </w:t>
      </w:r>
      <m:oMath>
        <m:r>
          <w:rPr>
            <w:rFonts w:ascii="Cambria Math" w:eastAsiaTheme="minorEastAsia" w:hAnsi="Cambria Math" w:cs="Times New Roman"/>
          </w:rPr>
          <m:t>n</m:t>
        </m:r>
      </m:oMath>
      <w:r w:rsidRPr="00727D23">
        <w:rPr>
          <w:rFonts w:eastAsiaTheme="minorEastAsia" w:cs="Times New Roman"/>
        </w:rPr>
        <w:t xml:space="preserve"> is the number of nodes (CBGs), denoted by </w:t>
      </w:r>
      <m:oMath>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ij</m:t>
            </m:r>
          </m:sub>
        </m:sSub>
        <m:r>
          <w:rPr>
            <w:rFonts w:ascii="Cambria Math" w:eastAsiaTheme="minorEastAsia" w:hAnsi="Cambria Math" w:cs="Times New Roman"/>
          </w:rPr>
          <m:t>]</m:t>
        </m:r>
      </m:oMath>
      <w:r w:rsidRPr="00727D23">
        <w:rPr>
          <w:rFonts w:eastAsiaTheme="minorEastAsia" w:cs="Times New Roman"/>
        </w:rPr>
        <w:t xml:space="preserve">. Each component of this matrix,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ij</m:t>
            </m:r>
          </m:sub>
        </m:sSub>
      </m:oMath>
      <w:r w:rsidRPr="00727D23">
        <w:rPr>
          <w:rFonts w:eastAsiaTheme="minorEastAsia" w:cs="Times New Roman"/>
        </w:rPr>
        <w:t xml:space="preserve">, is the fraction of executions in which CBGs </w:t>
      </w:r>
      <m:oMath>
        <m:r>
          <w:rPr>
            <w:rFonts w:ascii="Cambria Math" w:eastAsiaTheme="minorEastAsia" w:hAnsi="Cambria Math" w:cs="Times New Roman"/>
          </w:rPr>
          <m:t>i</m:t>
        </m:r>
      </m:oMath>
      <w:r w:rsidRPr="00727D23">
        <w:rPr>
          <w:rFonts w:eastAsiaTheme="minorEastAsia" w:cs="Times New Roman"/>
        </w:rPr>
        <w:t xml:space="preserve"> and </w:t>
      </w:r>
      <m:oMath>
        <m:r>
          <w:rPr>
            <w:rFonts w:ascii="Cambria Math" w:eastAsiaTheme="minorEastAsia" w:hAnsi="Cambria Math" w:cs="Times New Roman"/>
          </w:rPr>
          <m:t>j</m:t>
        </m:r>
      </m:oMath>
      <w:r w:rsidRPr="00727D23">
        <w:rPr>
          <w:rFonts w:eastAsiaTheme="minorEastAsia" w:cs="Times New Roman"/>
        </w:rPr>
        <w:t xml:space="preserve"> were classified in the same community (note that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ij</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ji</m:t>
            </m:r>
          </m:sub>
        </m:sSub>
      </m:oMath>
      <w:r w:rsidRPr="00727D23">
        <w:rPr>
          <w:rFonts w:eastAsiaTheme="minorEastAsia" w:cs="Times New Roman"/>
        </w:rPr>
        <w:t xml:space="preserve">). Based on matrix </w:t>
      </w:r>
      <m:oMath>
        <m:r>
          <w:rPr>
            <w:rFonts w:ascii="Cambria Math" w:eastAsiaTheme="minorEastAsia" w:hAnsi="Cambria Math" w:cs="Times New Roman"/>
          </w:rPr>
          <m:t>M</m:t>
        </m:r>
      </m:oMath>
      <w:r w:rsidRPr="00727D23">
        <w:rPr>
          <w:rFonts w:eastAsiaTheme="minorEastAsia" w:cs="Times New Roman"/>
        </w:rPr>
        <w:t xml:space="preserve">, we create a new undirected weighted network </w:t>
      </w:r>
      <m:oMath>
        <m:sSup>
          <m:sSupPr>
            <m:ctrlPr>
              <w:rPr>
                <w:rFonts w:ascii="Cambria Math" w:eastAsiaTheme="minorEastAsia" w:hAnsi="Cambria Math" w:cs="Times New Roman"/>
                <w:i/>
              </w:rPr>
            </m:ctrlPr>
          </m:sSupPr>
          <m:e>
            <m:r>
              <w:rPr>
                <w:rFonts w:ascii="Cambria Math" w:eastAsiaTheme="minorEastAsia" w:hAnsi="Cambria Math" w:cs="Times New Roman"/>
              </w:rPr>
              <m:t>G</m:t>
            </m:r>
          </m:e>
          <m:sup>
            <m:r>
              <w:rPr>
                <w:rFonts w:ascii="Cambria Math" w:eastAsiaTheme="minorEastAsia" w:hAnsi="Cambria Math" w:cs="Times New Roman"/>
              </w:rPr>
              <m:t>'</m:t>
            </m:r>
          </m:sup>
        </m:sSup>
        <m:r>
          <w:rPr>
            <w:rFonts w:ascii="Cambria Math" w:eastAsiaTheme="minorEastAsia" w:hAnsi="Cambria Math" w:cs="Times New Roman"/>
          </w:rPr>
          <m:t>=(V,</m:t>
        </m:r>
        <m:sSup>
          <m:sSupPr>
            <m:ctrlPr>
              <w:rPr>
                <w:rFonts w:ascii="Cambria Math" w:eastAsiaTheme="minorEastAsia" w:hAnsi="Cambria Math" w:cs="Times New Roman"/>
                <w:i/>
              </w:rPr>
            </m:ctrlPr>
          </m:sSupPr>
          <m:e>
            <m:r>
              <w:rPr>
                <w:rFonts w:ascii="Cambria Math" w:eastAsiaTheme="minorEastAsia" w:hAnsi="Cambria Math" w:cs="Times New Roman"/>
              </w:rPr>
              <m:t>E</m:t>
            </m:r>
          </m:e>
          <m:sup>
            <m:r>
              <w:rPr>
                <w:rFonts w:ascii="Cambria Math" w:eastAsiaTheme="minorEastAsia" w:hAnsi="Cambria Math" w:cs="Times New Roman"/>
              </w:rPr>
              <m:t>'</m:t>
            </m:r>
          </m:sup>
        </m:sSup>
        <m:r>
          <w:rPr>
            <w:rFonts w:ascii="Cambria Math" w:eastAsiaTheme="minorEastAsia" w:hAnsi="Cambria Math" w:cs="Times New Roman"/>
          </w:rPr>
          <m:t>,W'</m:t>
        </m:r>
      </m:oMath>
      <w:r w:rsidRPr="00727D23">
        <w:rPr>
          <w:rFonts w:eastAsiaTheme="minorEastAsia" w:cs="Times New Roman"/>
        </w:rPr>
        <w:t xml:space="preserve">), where the weight of the edge </w:t>
      </w:r>
      <m:oMath>
        <m:r>
          <w:rPr>
            <w:rFonts w:ascii="Cambria Math" w:eastAsiaTheme="minorEastAsia" w:hAnsi="Cambria Math" w:cs="Times New Roman"/>
          </w:rPr>
          <m:t>(i,j)</m:t>
        </m:r>
      </m:oMath>
      <w:r w:rsidRPr="00727D23">
        <w:rPr>
          <w:rFonts w:eastAsiaTheme="minorEastAsia" w:cs="Times New Roman"/>
        </w:rPr>
        <w:t xml:space="preserve"> is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ij</m:t>
            </m:r>
          </m:sub>
        </m:sSub>
      </m:oMath>
      <w:r w:rsidRPr="00727D23">
        <w:rPr>
          <w:rFonts w:eastAsiaTheme="minorEastAsia" w:cs="Times New Roman"/>
        </w:rPr>
        <w:t xml:space="preserve">. Finally, for any given threshold </w:t>
      </w:r>
      <m:oMath>
        <m:r>
          <w:rPr>
            <w:rFonts w:ascii="Cambria Math" w:eastAsiaTheme="minorEastAsia" w:hAnsi="Cambria Math" w:cs="Times New Roman"/>
          </w:rPr>
          <m:t>α∈[0, 1]</m:t>
        </m:r>
      </m:oMath>
      <w:r w:rsidRPr="00727D23">
        <w:rPr>
          <w:rFonts w:eastAsiaTheme="minorEastAsia" w:cs="Times New Roman"/>
        </w:rPr>
        <w:t xml:space="preserve">, the edges with </w:t>
      </w: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ij</m:t>
            </m:r>
          </m:sub>
        </m:sSub>
        <m:r>
          <w:rPr>
            <w:rFonts w:ascii="Cambria Math" w:eastAsiaTheme="minorEastAsia" w:hAnsi="Cambria Math" w:cs="Times New Roman"/>
          </w:rPr>
          <m:t>&lt;α</m:t>
        </m:r>
      </m:oMath>
      <w:r w:rsidRPr="00727D23">
        <w:rPr>
          <w:rFonts w:eastAsiaTheme="minorEastAsia" w:cs="Times New Roman"/>
        </w:rPr>
        <w:t xml:space="preserve"> are removed from </w:t>
      </w:r>
      <m:oMath>
        <m:r>
          <w:rPr>
            <w:rFonts w:ascii="Cambria Math" w:eastAsiaTheme="minorEastAsia" w:hAnsi="Cambria Math" w:cs="Times New Roman"/>
          </w:rPr>
          <m:t>G'</m:t>
        </m:r>
      </m:oMath>
      <w:r w:rsidRPr="00727D23">
        <w:rPr>
          <w:rFonts w:eastAsiaTheme="minorEastAsia" w:cs="Times New Roman"/>
        </w:rPr>
        <w:t xml:space="preserve"> to obtain the so called α-cores subgraph </w:t>
      </w:r>
      <m:oMath>
        <m:sSubSup>
          <m:sSubSupPr>
            <m:ctrlPr>
              <w:rPr>
                <w:rFonts w:ascii="Cambria Math" w:eastAsiaTheme="minorEastAsia" w:hAnsi="Cambria Math" w:cs="Times New Roman"/>
                <w:i/>
              </w:rPr>
            </m:ctrlPr>
          </m:sSubSupPr>
          <m:e>
            <m:r>
              <w:rPr>
                <w:rFonts w:ascii="Cambria Math" w:eastAsiaTheme="minorEastAsia" w:hAnsi="Cambria Math" w:cs="Times New Roman"/>
              </w:rPr>
              <m:t>G</m:t>
            </m:r>
          </m:e>
          <m:sub>
            <m:r>
              <w:rPr>
                <w:rFonts w:ascii="Cambria Math" w:eastAsiaTheme="minorEastAsia" w:hAnsi="Cambria Math" w:cs="Times New Roman"/>
              </w:rPr>
              <m:t>α</m:t>
            </m:r>
          </m:sub>
          <m:sup>
            <m:r>
              <w:rPr>
                <w:rFonts w:ascii="Cambria Math" w:eastAsiaTheme="minorEastAsia" w:hAnsi="Cambria Math" w:cs="Times New Roman"/>
              </w:rPr>
              <m:t>'</m:t>
            </m:r>
          </m:sup>
        </m:sSubSup>
      </m:oMath>
      <w:r w:rsidRPr="00727D23">
        <w:rPr>
          <w:rFonts w:eastAsiaTheme="minorEastAsia" w:cs="Times New Roman"/>
        </w:rPr>
        <w:t xml:space="preserve">, which is non-overlapping clusters of CBGs that appear in at least in a fraction </w:t>
      </w:r>
      <m:oMath>
        <m:r>
          <w:rPr>
            <w:rFonts w:ascii="Cambria Math" w:eastAsiaTheme="minorEastAsia" w:hAnsi="Cambria Math" w:cs="Times New Roman"/>
          </w:rPr>
          <m:t>α</m:t>
        </m:r>
      </m:oMath>
      <w:r w:rsidRPr="00727D23">
        <w:rPr>
          <w:rFonts w:eastAsiaTheme="minorEastAsia" w:cs="Times New Roman"/>
        </w:rPr>
        <w:t xml:space="preserve"> of all the resulted community structures. </w:t>
      </w:r>
    </w:p>
    <w:p w14:paraId="0E2E990E" w14:textId="77777777" w:rsidR="00F50D3F" w:rsidRPr="00727D23" w:rsidRDefault="00F50D3F" w:rsidP="00232F54">
      <w:pPr>
        <w:rPr>
          <w:rFonts w:cs="Times New Roman"/>
          <w:b/>
          <w:bCs/>
        </w:rPr>
      </w:pPr>
    </w:p>
    <w:p w14:paraId="2BD88C3E" w14:textId="651EE884" w:rsidR="00FD4576" w:rsidRPr="00727D23" w:rsidRDefault="00206858" w:rsidP="00232F54">
      <w:pPr>
        <w:rPr>
          <w:rFonts w:cs="Times New Roman"/>
          <w:b/>
          <w:bCs/>
        </w:rPr>
      </w:pPr>
      <w:r w:rsidRPr="00727D23">
        <w:rPr>
          <w:rFonts w:cs="Times New Roman"/>
          <w:b/>
          <w:bCs/>
        </w:rPr>
        <w:lastRenderedPageBreak/>
        <w:t>CBG Communities</w:t>
      </w:r>
    </w:p>
    <w:p w14:paraId="300F5F15" w14:textId="7391CD37" w:rsidR="000C60F4" w:rsidRPr="00727D23" w:rsidRDefault="00972143" w:rsidP="006307DD">
      <w:pPr>
        <w:rPr>
          <w:rFonts w:cs="Times New Roman"/>
        </w:rPr>
      </w:pPr>
      <w:r w:rsidRPr="00727D23">
        <w:rPr>
          <w:rFonts w:cs="Times New Roman"/>
        </w:rPr>
        <w:t xml:space="preserve">A sample of </w:t>
      </w:r>
      <w:r w:rsidR="001D30CD">
        <w:rPr>
          <w:rFonts w:cs="Times New Roman"/>
        </w:rPr>
        <w:t xml:space="preserve">how varying </w:t>
      </w:r>
      <w:r w:rsidRPr="00727D23">
        <w:rPr>
          <w:rFonts w:cs="Times New Roman"/>
        </w:rPr>
        <w:t xml:space="preserve">resulted community structures using the greedy algorithm is shown in </w:t>
      </w:r>
      <w:r w:rsidRPr="00727D23">
        <w:rPr>
          <w:rFonts w:cs="Times New Roman"/>
        </w:rPr>
        <w:fldChar w:fldCharType="begin"/>
      </w:r>
      <w:r w:rsidRPr="00727D23">
        <w:rPr>
          <w:rFonts w:cs="Times New Roman"/>
        </w:rPr>
        <w:instrText xml:space="preserve"> REF _Ref120027524 \h </w:instrText>
      </w:r>
      <w:r w:rsidR="00727D23">
        <w:rPr>
          <w:rFonts w:cs="Times New Roman"/>
        </w:rPr>
        <w:instrText xml:space="preserve"> \* MERGEFORMAT </w:instrText>
      </w:r>
      <w:r w:rsidRPr="00727D23">
        <w:rPr>
          <w:rFonts w:cs="Times New Roman"/>
        </w:rPr>
      </w:r>
      <w:r w:rsidRPr="00727D23">
        <w:rPr>
          <w:rFonts w:cs="Times New Roman"/>
        </w:rPr>
        <w:fldChar w:fldCharType="separate"/>
      </w:r>
      <w:r w:rsidRPr="00727D23">
        <w:rPr>
          <w:rFonts w:cs="Times New Roman"/>
        </w:rPr>
        <w:t xml:space="preserve">Figure </w:t>
      </w:r>
      <w:r w:rsidR="007720E1">
        <w:rPr>
          <w:rFonts w:cs="Times New Roman"/>
        </w:rPr>
        <w:t>S</w:t>
      </w:r>
      <w:r w:rsidRPr="00727D23">
        <w:rPr>
          <w:rFonts w:cs="Times New Roman"/>
          <w:noProof/>
        </w:rPr>
        <w:t>1</w:t>
      </w:r>
      <w:r w:rsidRPr="00727D23">
        <w:rPr>
          <w:rFonts w:cs="Times New Roman"/>
        </w:rPr>
        <w:fldChar w:fldCharType="end"/>
      </w:r>
      <w:r w:rsidRPr="00727D23">
        <w:rPr>
          <w:rFonts w:cs="Times New Roman"/>
        </w:rPr>
        <w:t>. As the resolution parameter increased from 1 to 1.6, the number of detected communities increased from 8 to 13.</w:t>
      </w:r>
      <w:r w:rsidR="00206858" w:rsidRPr="00727D23">
        <w:rPr>
          <w:rFonts w:cs="Times New Roman"/>
        </w:rPr>
        <w:t xml:space="preserve"> </w:t>
      </w:r>
      <w:r w:rsidR="0023567E">
        <w:rPr>
          <w:rFonts w:cs="Times New Roman"/>
        </w:rPr>
        <w:t>For the community cores methods, a</w:t>
      </w:r>
      <w:r w:rsidR="009E6B4F" w:rsidRPr="00727D23">
        <w:rPr>
          <w:rFonts w:cs="Times New Roman"/>
        </w:rPr>
        <w:t xml:space="preserve">s the threshold increased in value, the number of clusters increased such that </w:t>
      </w:r>
      <w:r w:rsidR="002405A0" w:rsidRPr="00727D23">
        <w:rPr>
          <w:rFonts w:cs="Times New Roman"/>
        </w:rPr>
        <w:t>for thresholds of 50%, 95%, and 99%, the number of clusters were 3, 74, and 179, respectively</w:t>
      </w:r>
      <w:r w:rsidR="0023567E">
        <w:rPr>
          <w:rFonts w:cs="Times New Roman"/>
        </w:rPr>
        <w:t xml:space="preserve"> </w:t>
      </w:r>
      <w:r w:rsidR="0023567E" w:rsidRPr="00727D23">
        <w:rPr>
          <w:rFonts w:cs="Times New Roman"/>
        </w:rPr>
        <w:fldChar w:fldCharType="begin"/>
      </w:r>
      <w:r w:rsidR="0023567E" w:rsidRPr="00727D23">
        <w:rPr>
          <w:rFonts w:cs="Times New Roman"/>
        </w:rPr>
        <w:instrText xml:space="preserve"> REF _Ref120029097 \h </w:instrText>
      </w:r>
      <w:r w:rsidR="0023567E">
        <w:rPr>
          <w:rFonts w:cs="Times New Roman"/>
        </w:rPr>
        <w:instrText xml:space="preserve"> \* MERGEFORMAT </w:instrText>
      </w:r>
      <w:r w:rsidR="0023567E" w:rsidRPr="00727D23">
        <w:rPr>
          <w:rFonts w:cs="Times New Roman"/>
        </w:rPr>
      </w:r>
      <w:r w:rsidR="0023567E" w:rsidRPr="00727D23">
        <w:rPr>
          <w:rFonts w:cs="Times New Roman"/>
        </w:rPr>
        <w:fldChar w:fldCharType="separate"/>
      </w:r>
      <w:r w:rsidR="0023567E" w:rsidRPr="00727D23">
        <w:rPr>
          <w:rFonts w:cs="Times New Roman"/>
        </w:rPr>
        <w:t xml:space="preserve">Figures </w:t>
      </w:r>
      <w:r w:rsidR="0023567E">
        <w:rPr>
          <w:rFonts w:cs="Times New Roman"/>
        </w:rPr>
        <w:t>S</w:t>
      </w:r>
      <w:r w:rsidR="0023567E" w:rsidRPr="00727D23">
        <w:rPr>
          <w:rFonts w:cs="Times New Roman"/>
          <w:noProof/>
        </w:rPr>
        <w:t>2</w:t>
      </w:r>
      <w:r w:rsidR="0023567E" w:rsidRPr="00727D23">
        <w:rPr>
          <w:rFonts w:cs="Times New Roman"/>
        </w:rPr>
        <w:fldChar w:fldCharType="end"/>
      </w:r>
      <w:r w:rsidR="0023567E" w:rsidRPr="00727D23">
        <w:rPr>
          <w:rFonts w:cs="Times New Roman"/>
        </w:rPr>
        <w:t xml:space="preserve"> and </w:t>
      </w:r>
      <w:r w:rsidR="0023567E">
        <w:rPr>
          <w:rFonts w:cs="Times New Roman"/>
        </w:rPr>
        <w:t>S</w:t>
      </w:r>
      <w:r w:rsidR="0023567E" w:rsidRPr="00727D23">
        <w:rPr>
          <w:rFonts w:cs="Times New Roman"/>
        </w:rPr>
        <w:fldChar w:fldCharType="begin"/>
      </w:r>
      <w:r w:rsidR="0023567E" w:rsidRPr="00727D23">
        <w:rPr>
          <w:rFonts w:cs="Times New Roman"/>
        </w:rPr>
        <w:instrText xml:space="preserve"> REF _Ref120091682 \h </w:instrText>
      </w:r>
      <w:r w:rsidR="0023567E">
        <w:rPr>
          <w:rFonts w:cs="Times New Roman"/>
        </w:rPr>
        <w:instrText xml:space="preserve"> \* MERGEFORMAT </w:instrText>
      </w:r>
      <w:r w:rsidR="0023567E" w:rsidRPr="00727D23">
        <w:rPr>
          <w:rFonts w:cs="Times New Roman"/>
        </w:rPr>
      </w:r>
      <w:r w:rsidR="0023567E" w:rsidRPr="00727D23">
        <w:rPr>
          <w:rFonts w:cs="Times New Roman"/>
        </w:rPr>
        <w:fldChar w:fldCharType="separate"/>
      </w:r>
      <w:r w:rsidR="0023567E" w:rsidRPr="00727D23">
        <w:rPr>
          <w:rFonts w:cs="Times New Roman"/>
          <w:noProof/>
        </w:rPr>
        <w:t>3</w:t>
      </w:r>
      <w:r w:rsidR="0023567E" w:rsidRPr="00727D23">
        <w:rPr>
          <w:rFonts w:cs="Times New Roman"/>
        </w:rPr>
        <w:fldChar w:fldCharType="end"/>
      </w:r>
      <w:r w:rsidR="0023567E" w:rsidRPr="00727D23">
        <w:rPr>
          <w:rFonts w:cs="Times New Roman"/>
        </w:rPr>
        <w:t>.</w:t>
      </w:r>
      <w:r w:rsidR="002405A0" w:rsidRPr="00727D23">
        <w:rPr>
          <w:rFonts w:cs="Times New Roman"/>
        </w:rPr>
        <w:t>.</w:t>
      </w:r>
    </w:p>
    <w:p w14:paraId="09C57E75" w14:textId="77777777" w:rsidR="00796FB6" w:rsidRPr="00727D23" w:rsidRDefault="00796FB6" w:rsidP="00796FB6">
      <w:pPr>
        <w:keepNext/>
        <w:rPr>
          <w:rFonts w:cs="Times New Roman"/>
        </w:rPr>
      </w:pPr>
      <w:r w:rsidRPr="00727D23">
        <w:rPr>
          <w:rFonts w:cs="Times New Roman"/>
          <w:noProof/>
        </w:rPr>
        <w:drawing>
          <wp:inline distT="0" distB="0" distL="0" distR="0" wp14:anchorId="0041853B" wp14:editId="159554AC">
            <wp:extent cx="5943600" cy="594360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E553445" w14:textId="4F57FF7A" w:rsidR="00796FB6" w:rsidRPr="00727D23" w:rsidRDefault="00796FB6" w:rsidP="00796FB6">
      <w:pPr>
        <w:pStyle w:val="Caption"/>
        <w:rPr>
          <w:rFonts w:cs="Times New Roman"/>
        </w:rPr>
      </w:pPr>
      <w:bookmarkStart w:id="1" w:name="_Ref120027524"/>
      <w:r w:rsidRPr="00727D23">
        <w:rPr>
          <w:rFonts w:cs="Times New Roman"/>
        </w:rPr>
        <w:t xml:space="preserve">Figure </w:t>
      </w:r>
      <w:r w:rsidR="007720E1">
        <w:rPr>
          <w:rFonts w:cs="Times New Roman"/>
        </w:rPr>
        <w:t>S</w:t>
      </w:r>
      <w:r w:rsidRPr="00727D23">
        <w:rPr>
          <w:rFonts w:cs="Times New Roman"/>
        </w:rPr>
        <w:fldChar w:fldCharType="begin"/>
      </w:r>
      <w:r w:rsidRPr="00727D23">
        <w:rPr>
          <w:rFonts w:cs="Times New Roman"/>
        </w:rPr>
        <w:instrText xml:space="preserve"> SEQ Figure \* ARABIC </w:instrText>
      </w:r>
      <w:r w:rsidRPr="00727D23">
        <w:rPr>
          <w:rFonts w:cs="Times New Roman"/>
        </w:rPr>
        <w:fldChar w:fldCharType="separate"/>
      </w:r>
      <w:r w:rsidR="00D74798" w:rsidRPr="00727D23">
        <w:rPr>
          <w:rFonts w:cs="Times New Roman"/>
          <w:noProof/>
        </w:rPr>
        <w:t>1</w:t>
      </w:r>
      <w:r w:rsidRPr="00727D23">
        <w:rPr>
          <w:rFonts w:cs="Times New Roman"/>
          <w:noProof/>
        </w:rPr>
        <w:fldChar w:fldCharType="end"/>
      </w:r>
      <w:bookmarkEnd w:id="1"/>
      <w:r w:rsidRPr="00727D23">
        <w:rPr>
          <w:rFonts w:cs="Times New Roman"/>
        </w:rPr>
        <w:t>. Examples of detected community structures with different resolution parameters.</w:t>
      </w:r>
    </w:p>
    <w:p w14:paraId="78BEC168" w14:textId="77777777" w:rsidR="006307DD" w:rsidRPr="00727D23" w:rsidRDefault="006307DD" w:rsidP="006307DD">
      <w:pPr>
        <w:rPr>
          <w:rFonts w:cs="Times New Roman"/>
        </w:rPr>
      </w:pPr>
    </w:p>
    <w:p w14:paraId="7D8F88D8" w14:textId="77777777" w:rsidR="006307DD" w:rsidRPr="00727D23" w:rsidRDefault="006307DD" w:rsidP="006307DD">
      <w:pPr>
        <w:rPr>
          <w:rFonts w:cs="Times New Roman"/>
        </w:rPr>
      </w:pPr>
    </w:p>
    <w:p w14:paraId="0681CA45" w14:textId="77777777" w:rsidR="006307DD" w:rsidRPr="00727D23" w:rsidRDefault="006307DD" w:rsidP="006307DD">
      <w:pPr>
        <w:rPr>
          <w:rFonts w:cs="Times New Roman"/>
        </w:rPr>
      </w:pPr>
    </w:p>
    <w:p w14:paraId="32F914C1" w14:textId="77777777" w:rsidR="000C60F4" w:rsidRPr="00727D23" w:rsidRDefault="00442219" w:rsidP="00CE2C8B">
      <w:pPr>
        <w:keepNext/>
        <w:jc w:val="center"/>
        <w:rPr>
          <w:rFonts w:cs="Times New Roman"/>
        </w:rPr>
      </w:pPr>
      <w:r w:rsidRPr="00727D23">
        <w:rPr>
          <w:rFonts w:cs="Times New Roman"/>
          <w:noProof/>
        </w:rPr>
        <w:drawing>
          <wp:inline distT="0" distB="0" distL="0" distR="0" wp14:anchorId="3463F383" wp14:editId="74DC84EC">
            <wp:extent cx="6058894" cy="3459714"/>
            <wp:effectExtent l="0" t="0" r="0" b="762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2" cstate="print">
                      <a:extLst>
                        <a:ext uri="{28A0092B-C50C-407E-A947-70E740481C1C}">
                          <a14:useLocalDpi xmlns:a14="http://schemas.microsoft.com/office/drawing/2010/main" val="0"/>
                        </a:ext>
                      </a:extLst>
                    </a:blip>
                    <a:srcRect l="4067" r="8369"/>
                    <a:stretch/>
                  </pic:blipFill>
                  <pic:spPr bwMode="auto">
                    <a:xfrm>
                      <a:off x="0" y="0"/>
                      <a:ext cx="6091184" cy="3478152"/>
                    </a:xfrm>
                    <a:prstGeom prst="rect">
                      <a:avLst/>
                    </a:prstGeom>
                    <a:ln>
                      <a:noFill/>
                    </a:ln>
                    <a:extLst>
                      <a:ext uri="{53640926-AAD7-44D8-BBD7-CCE9431645EC}">
                        <a14:shadowObscured xmlns:a14="http://schemas.microsoft.com/office/drawing/2010/main"/>
                      </a:ext>
                    </a:extLst>
                  </pic:spPr>
                </pic:pic>
              </a:graphicData>
            </a:graphic>
          </wp:inline>
        </w:drawing>
      </w:r>
    </w:p>
    <w:p w14:paraId="21D14DF0" w14:textId="265E5C01" w:rsidR="00A428CB" w:rsidRPr="00727D23" w:rsidRDefault="000C60F4" w:rsidP="000C60F4">
      <w:pPr>
        <w:pStyle w:val="Caption"/>
        <w:jc w:val="center"/>
        <w:rPr>
          <w:rFonts w:cs="Times New Roman"/>
        </w:rPr>
      </w:pPr>
      <w:bookmarkStart w:id="2" w:name="_Ref120029097"/>
      <w:r w:rsidRPr="00727D23">
        <w:rPr>
          <w:rFonts w:cs="Times New Roman"/>
        </w:rPr>
        <w:t xml:space="preserve">Figure </w:t>
      </w:r>
      <w:r w:rsidR="007720E1">
        <w:rPr>
          <w:rFonts w:cs="Times New Roman"/>
        </w:rPr>
        <w:t>S</w:t>
      </w:r>
      <w:r w:rsidRPr="00727D23">
        <w:rPr>
          <w:rFonts w:cs="Times New Roman"/>
        </w:rPr>
        <w:fldChar w:fldCharType="begin"/>
      </w:r>
      <w:r w:rsidRPr="00727D23">
        <w:rPr>
          <w:rFonts w:cs="Times New Roman"/>
        </w:rPr>
        <w:instrText xml:space="preserve"> SEQ Figure \* ARABIC </w:instrText>
      </w:r>
      <w:r w:rsidRPr="00727D23">
        <w:rPr>
          <w:rFonts w:cs="Times New Roman"/>
        </w:rPr>
        <w:fldChar w:fldCharType="separate"/>
      </w:r>
      <w:r w:rsidR="00D74798" w:rsidRPr="00727D23">
        <w:rPr>
          <w:rFonts w:cs="Times New Roman"/>
          <w:noProof/>
        </w:rPr>
        <w:t>2</w:t>
      </w:r>
      <w:r w:rsidRPr="00727D23">
        <w:rPr>
          <w:rFonts w:cs="Times New Roman"/>
          <w:noProof/>
        </w:rPr>
        <w:fldChar w:fldCharType="end"/>
      </w:r>
      <w:bookmarkEnd w:id="2"/>
      <w:r w:rsidRPr="00727D23">
        <w:rPr>
          <w:rFonts w:cs="Times New Roman"/>
        </w:rPr>
        <w:t>. Results of community cores methodology</w:t>
      </w:r>
    </w:p>
    <w:p w14:paraId="5D5F272F" w14:textId="266F2B57" w:rsidR="007F0E64" w:rsidRPr="00727D23" w:rsidRDefault="007F0E64" w:rsidP="007C22DD">
      <w:pPr>
        <w:rPr>
          <w:rFonts w:cs="Times New Roman"/>
        </w:rPr>
      </w:pPr>
    </w:p>
    <w:p w14:paraId="32F7B10C" w14:textId="634B35E7" w:rsidR="0023567E" w:rsidRDefault="0023567E" w:rsidP="00971539">
      <w:pPr>
        <w:rPr>
          <w:rFonts w:cs="Times New Roman"/>
        </w:rPr>
      </w:pPr>
      <w:r>
        <w:rPr>
          <w:rFonts w:cs="Times New Roman"/>
        </w:rPr>
        <w:t xml:space="preserve">Finally, there were a small number of CBGs that were </w:t>
      </w:r>
      <w:r w:rsidR="00440009">
        <w:rPr>
          <w:rFonts w:cs="Times New Roman"/>
        </w:rPr>
        <w:t xml:space="preserve">not included </w:t>
      </w:r>
      <w:r>
        <w:rPr>
          <w:rFonts w:cs="Times New Roman"/>
        </w:rPr>
        <w:t xml:space="preserve">in </w:t>
      </w:r>
      <w:r w:rsidR="00440009">
        <w:rPr>
          <w:rFonts w:cs="Times New Roman"/>
        </w:rPr>
        <w:t>other identified community structures</w:t>
      </w:r>
      <w:r>
        <w:rPr>
          <w:rFonts w:cs="Times New Roman"/>
        </w:rPr>
        <w:t xml:space="preserve"> </w:t>
      </w:r>
      <w:r w:rsidR="00440009">
        <w:rPr>
          <w:rFonts w:cs="Times New Roman"/>
        </w:rPr>
        <w:t xml:space="preserve">but rather as single CBG “communities”. This occurred </w:t>
      </w:r>
      <w:r>
        <w:rPr>
          <w:rFonts w:cs="Times New Roman"/>
        </w:rPr>
        <w:t xml:space="preserve">either because (a) CBGs with small numbers of users were excluded from SafeGraph data, or (b) the information from SafeGraph did not highly associate them with other </w:t>
      </w:r>
      <w:r w:rsidR="00440009">
        <w:rPr>
          <w:rFonts w:cs="Times New Roman"/>
        </w:rPr>
        <w:t>community structures</w:t>
      </w:r>
      <w:r>
        <w:rPr>
          <w:rFonts w:cs="Times New Roman"/>
        </w:rPr>
        <w:t xml:space="preserve"> using the methodology. </w:t>
      </w:r>
      <w:r w:rsidR="00440009">
        <w:rPr>
          <w:rFonts w:cs="Times New Roman"/>
        </w:rPr>
        <w:t>For the purpose of aggregation to identify potential ESBL transmission clusters, t</w:t>
      </w:r>
      <w:r>
        <w:rPr>
          <w:rFonts w:cs="Times New Roman"/>
        </w:rPr>
        <w:t xml:space="preserve">hese </w:t>
      </w:r>
      <w:r w:rsidR="00440009">
        <w:rPr>
          <w:rFonts w:cs="Times New Roman"/>
        </w:rPr>
        <w:t xml:space="preserve">single community </w:t>
      </w:r>
      <w:r>
        <w:rPr>
          <w:rFonts w:cs="Times New Roman"/>
        </w:rPr>
        <w:t xml:space="preserve">CBGs were clustered with </w:t>
      </w:r>
      <w:r w:rsidR="00440009">
        <w:rPr>
          <w:rFonts w:cs="Times New Roman"/>
        </w:rPr>
        <w:t xml:space="preserve">the main </w:t>
      </w:r>
      <w:r>
        <w:rPr>
          <w:rFonts w:cs="Times New Roman"/>
        </w:rPr>
        <w:t xml:space="preserve">identified </w:t>
      </w:r>
      <w:r w:rsidR="00440009">
        <w:rPr>
          <w:rFonts w:cs="Times New Roman"/>
        </w:rPr>
        <w:t>community structures</w:t>
      </w:r>
      <w:r>
        <w:rPr>
          <w:rFonts w:cs="Times New Roman"/>
        </w:rPr>
        <w:t xml:space="preserve"> in the final analysis b</w:t>
      </w:r>
      <w:r w:rsidR="00440009">
        <w:rPr>
          <w:rFonts w:cs="Times New Roman"/>
        </w:rPr>
        <w:t>ased on the geodesic distance to the nearest cluster</w:t>
      </w:r>
      <w:r>
        <w:rPr>
          <w:rFonts w:cs="Times New Roman"/>
        </w:rPr>
        <w:t>. The final clusters used in the analysis are shown in Figure S3.</w:t>
      </w:r>
    </w:p>
    <w:p w14:paraId="59519594" w14:textId="29E42B74" w:rsidR="0023567E" w:rsidRDefault="0023567E" w:rsidP="00971539">
      <w:pPr>
        <w:rPr>
          <w:rFonts w:cs="Times New Roman"/>
        </w:rPr>
      </w:pPr>
    </w:p>
    <w:p w14:paraId="3163CF11" w14:textId="5D0B956B" w:rsidR="0023567E" w:rsidRDefault="0023567E">
      <w:pPr>
        <w:rPr>
          <w:rFonts w:cs="Times New Roman"/>
        </w:rPr>
      </w:pPr>
      <w:r>
        <w:rPr>
          <w:rFonts w:cs="Times New Roman"/>
        </w:rPr>
        <w:br w:type="page"/>
      </w:r>
    </w:p>
    <w:p w14:paraId="20700656" w14:textId="77777777" w:rsidR="0023567E" w:rsidRDefault="0023567E" w:rsidP="00971539">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
        <w:gridCol w:w="7455"/>
      </w:tblGrid>
      <w:tr w:rsidR="0023567E" w14:paraId="3395CF43" w14:textId="77777777" w:rsidTr="00CE2C8B">
        <w:tc>
          <w:tcPr>
            <w:tcW w:w="360" w:type="dxa"/>
          </w:tcPr>
          <w:p w14:paraId="44E36444" w14:textId="5677C0F0" w:rsidR="0023567E" w:rsidRDefault="0023567E" w:rsidP="0023567E">
            <w:pPr>
              <w:jc w:val="center"/>
              <w:rPr>
                <w:rFonts w:cs="Times New Roman"/>
                <w:noProof/>
              </w:rPr>
            </w:pPr>
            <w:r>
              <w:rPr>
                <w:rFonts w:cs="Times New Roman"/>
                <w:noProof/>
              </w:rPr>
              <w:t>A)</w:t>
            </w:r>
          </w:p>
        </w:tc>
        <w:tc>
          <w:tcPr>
            <w:tcW w:w="7455" w:type="dxa"/>
          </w:tcPr>
          <w:p w14:paraId="52D795AC" w14:textId="2BED13D5" w:rsidR="0023567E" w:rsidRDefault="0023567E" w:rsidP="00CE2C8B">
            <w:pPr>
              <w:jc w:val="center"/>
              <w:rPr>
                <w:rFonts w:cs="Times New Roman"/>
              </w:rPr>
            </w:pPr>
            <w:r>
              <w:rPr>
                <w:rFonts w:cs="Times New Roman"/>
                <w:noProof/>
              </w:rPr>
              <w:drawing>
                <wp:inline distT="0" distB="0" distL="0" distR="0" wp14:anchorId="63BBD606" wp14:editId="4E0082CE">
                  <wp:extent cx="4165928" cy="2286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edy_modularity_jhh_long_imputed.png"/>
                          <pic:cNvPicPr/>
                        </pic:nvPicPr>
                        <pic:blipFill rotWithShape="1">
                          <a:blip r:embed="rId13" cstate="print">
                            <a:extLst>
                              <a:ext uri="{28A0092B-C50C-407E-A947-70E740481C1C}">
                                <a14:useLocalDpi xmlns:a14="http://schemas.microsoft.com/office/drawing/2010/main" val="0"/>
                              </a:ext>
                            </a:extLst>
                          </a:blip>
                          <a:srcRect l="14453" t="29434" r="12901" b="30703"/>
                          <a:stretch/>
                        </pic:blipFill>
                        <pic:spPr bwMode="auto">
                          <a:xfrm>
                            <a:off x="0" y="0"/>
                            <a:ext cx="4165928"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23567E" w14:paraId="61398DB4" w14:textId="77777777" w:rsidTr="00CE2C8B">
        <w:tc>
          <w:tcPr>
            <w:tcW w:w="360" w:type="dxa"/>
          </w:tcPr>
          <w:p w14:paraId="7367D480" w14:textId="498F7474" w:rsidR="0023567E" w:rsidRDefault="0023567E" w:rsidP="0023567E">
            <w:pPr>
              <w:keepNext/>
              <w:jc w:val="center"/>
              <w:rPr>
                <w:rFonts w:cs="Times New Roman"/>
                <w:noProof/>
              </w:rPr>
            </w:pPr>
            <w:r>
              <w:rPr>
                <w:rFonts w:cs="Times New Roman"/>
                <w:noProof/>
              </w:rPr>
              <w:t>B)</w:t>
            </w:r>
          </w:p>
        </w:tc>
        <w:tc>
          <w:tcPr>
            <w:tcW w:w="7455" w:type="dxa"/>
          </w:tcPr>
          <w:p w14:paraId="153D06C6" w14:textId="628A6C41" w:rsidR="0023567E" w:rsidRDefault="0023567E" w:rsidP="0023567E">
            <w:pPr>
              <w:keepNext/>
              <w:jc w:val="center"/>
              <w:rPr>
                <w:rFonts w:cs="Times New Roman"/>
              </w:rPr>
            </w:pPr>
            <w:r>
              <w:rPr>
                <w:rFonts w:cs="Times New Roman"/>
                <w:noProof/>
              </w:rPr>
              <w:drawing>
                <wp:inline distT="0" distB="0" distL="0" distR="0" wp14:anchorId="26B33C41" wp14:editId="609D5376">
                  <wp:extent cx="4082638"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uvain_jhh_long_imputed.png"/>
                          <pic:cNvPicPr/>
                        </pic:nvPicPr>
                        <pic:blipFill rotWithShape="1">
                          <a:blip r:embed="rId14" cstate="print">
                            <a:extLst>
                              <a:ext uri="{28A0092B-C50C-407E-A947-70E740481C1C}">
                                <a14:useLocalDpi xmlns:a14="http://schemas.microsoft.com/office/drawing/2010/main" val="0"/>
                              </a:ext>
                            </a:extLst>
                          </a:blip>
                          <a:srcRect l="14985" t="29030" r="12374" b="30297"/>
                          <a:stretch/>
                        </pic:blipFill>
                        <pic:spPr bwMode="auto">
                          <a:xfrm>
                            <a:off x="0" y="0"/>
                            <a:ext cx="4082638"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0023567E" w14:paraId="6B1C0317" w14:textId="77777777" w:rsidTr="00CE2C8B">
        <w:tc>
          <w:tcPr>
            <w:tcW w:w="360" w:type="dxa"/>
          </w:tcPr>
          <w:p w14:paraId="28DC016C" w14:textId="28AEAC6D" w:rsidR="0023567E" w:rsidRDefault="0023567E" w:rsidP="0023567E">
            <w:pPr>
              <w:keepNext/>
              <w:jc w:val="center"/>
              <w:rPr>
                <w:rFonts w:cs="Times New Roman"/>
                <w:noProof/>
              </w:rPr>
            </w:pPr>
            <w:r>
              <w:rPr>
                <w:rFonts w:cs="Times New Roman"/>
                <w:noProof/>
              </w:rPr>
              <w:t>C)</w:t>
            </w:r>
          </w:p>
        </w:tc>
        <w:tc>
          <w:tcPr>
            <w:tcW w:w="7455" w:type="dxa"/>
          </w:tcPr>
          <w:p w14:paraId="77FE1FEF" w14:textId="71501900" w:rsidR="0023567E" w:rsidRDefault="0023567E" w:rsidP="0023567E">
            <w:pPr>
              <w:keepNext/>
              <w:jc w:val="center"/>
              <w:rPr>
                <w:rFonts w:cs="Times New Roman"/>
              </w:rPr>
            </w:pPr>
            <w:r>
              <w:rPr>
                <w:rFonts w:cs="Times New Roman"/>
                <w:noProof/>
              </w:rPr>
              <w:drawing>
                <wp:inline distT="0" distB="0" distL="0" distR="0" wp14:anchorId="35B27D11" wp14:editId="212F3904">
                  <wp:extent cx="4137121"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reshold_99_long_imputed.png"/>
                          <pic:cNvPicPr/>
                        </pic:nvPicPr>
                        <pic:blipFill rotWithShape="1">
                          <a:blip r:embed="rId15" cstate="print">
                            <a:extLst>
                              <a:ext uri="{28A0092B-C50C-407E-A947-70E740481C1C}">
                                <a14:useLocalDpi xmlns:a14="http://schemas.microsoft.com/office/drawing/2010/main" val="0"/>
                              </a:ext>
                            </a:extLst>
                          </a:blip>
                          <a:srcRect l="15117" t="29703" r="12498" b="30300"/>
                          <a:stretch/>
                        </pic:blipFill>
                        <pic:spPr bwMode="auto">
                          <a:xfrm>
                            <a:off x="0" y="0"/>
                            <a:ext cx="4137121"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AF00F0" w14:textId="58A80301" w:rsidR="00A17036" w:rsidRPr="00727D23" w:rsidRDefault="0023567E" w:rsidP="00CE2C8B">
      <w:pPr>
        <w:keepNext/>
        <w:rPr>
          <w:rFonts w:cs="Times New Roman"/>
          <w:noProof/>
        </w:rPr>
      </w:pPr>
      <w:r>
        <w:rPr>
          <w:rFonts w:cs="Times New Roman"/>
        </w:rPr>
        <w:t>Figure S3: Final community structures. The above community structures for (</w:t>
      </w:r>
      <w:r w:rsidR="00440009">
        <w:rPr>
          <w:rFonts w:cs="Times New Roman"/>
        </w:rPr>
        <w:t>A</w:t>
      </w:r>
      <w:r>
        <w:rPr>
          <w:rFonts w:cs="Times New Roman"/>
        </w:rPr>
        <w:t>) Greedy, (</w:t>
      </w:r>
      <w:r w:rsidR="00440009">
        <w:rPr>
          <w:rFonts w:cs="Times New Roman"/>
        </w:rPr>
        <w:t>B</w:t>
      </w:r>
      <w:r>
        <w:rPr>
          <w:rFonts w:cs="Times New Roman"/>
        </w:rPr>
        <w:t>) Louvain, and (</w:t>
      </w:r>
      <w:r w:rsidR="00440009">
        <w:rPr>
          <w:rFonts w:cs="Times New Roman"/>
        </w:rPr>
        <w:t>C</w:t>
      </w:r>
      <w:r>
        <w:rPr>
          <w:rFonts w:cs="Times New Roman"/>
        </w:rPr>
        <w:t xml:space="preserve">) community cores, were detected and used to cluster possible community transmission of ESBL organisms.   </w:t>
      </w:r>
    </w:p>
    <w:p w14:paraId="2BE6199E" w14:textId="269379B2" w:rsidR="00F731B0" w:rsidRPr="00727D23" w:rsidRDefault="00F731B0" w:rsidP="00971539">
      <w:pPr>
        <w:rPr>
          <w:rFonts w:cs="Times New Roman"/>
          <w:noProof/>
        </w:rPr>
      </w:pPr>
    </w:p>
    <w:p w14:paraId="065EEB76" w14:textId="756871DC" w:rsidR="007F0E64" w:rsidRPr="00727D23" w:rsidRDefault="00A428CB" w:rsidP="007C22DD">
      <w:pPr>
        <w:rPr>
          <w:rFonts w:cs="Times New Roman"/>
          <w:b/>
          <w:bCs/>
        </w:rPr>
      </w:pPr>
      <w:r w:rsidRPr="00727D23">
        <w:rPr>
          <w:rFonts w:cs="Times New Roman"/>
          <w:b/>
          <w:bCs/>
        </w:rPr>
        <w:lastRenderedPageBreak/>
        <w:t>Data availability</w:t>
      </w:r>
    </w:p>
    <w:p w14:paraId="5D19ADD7" w14:textId="3F86C7FD" w:rsidR="00A428CB" w:rsidRPr="00727D23" w:rsidRDefault="00A428CB" w:rsidP="00A428CB">
      <w:pPr>
        <w:rPr>
          <w:rFonts w:cs="Times New Roman"/>
        </w:rPr>
      </w:pPr>
      <w:r w:rsidRPr="00727D23">
        <w:rPr>
          <w:rFonts w:cs="Times New Roman"/>
        </w:rPr>
        <w:t>Mobile phone mobility data</w:t>
      </w:r>
      <w:r w:rsidR="001A6869" w:rsidRPr="00727D23">
        <w:rPr>
          <w:rFonts w:cs="Times New Roman"/>
        </w:rPr>
        <w:t xml:space="preserve"> from SafeGraph</w:t>
      </w:r>
      <w:r w:rsidRPr="00727D23">
        <w:rPr>
          <w:rFonts w:cs="Times New Roman"/>
        </w:rPr>
        <w:t xml:space="preserve"> </w:t>
      </w:r>
      <w:r w:rsidR="001A6869" w:rsidRPr="00727D23">
        <w:rPr>
          <w:rFonts w:cs="Times New Roman"/>
        </w:rPr>
        <w:t>is</w:t>
      </w:r>
      <w:r w:rsidRPr="00727D23">
        <w:rPr>
          <w:rFonts w:cs="Times New Roman"/>
        </w:rPr>
        <w:t xml:space="preserve"> freely available </w:t>
      </w:r>
      <w:r w:rsidR="001A6869" w:rsidRPr="00727D23">
        <w:rPr>
          <w:rFonts w:cs="Times New Roman"/>
        </w:rPr>
        <w:t xml:space="preserve">for research purposes through </w:t>
      </w:r>
      <w:r w:rsidRPr="00727D23">
        <w:rPr>
          <w:rFonts w:cs="Times New Roman"/>
        </w:rPr>
        <w:t>the SafeGraph COVID-19 Data Consortium (</w:t>
      </w:r>
      <w:hyperlink r:id="rId16" w:history="1">
        <w:r w:rsidR="00C76580" w:rsidRPr="00727D23">
          <w:rPr>
            <w:rStyle w:val="Hyperlink"/>
            <w:rFonts w:cs="Times New Roman"/>
          </w:rPr>
          <w:t>https://www.safegraph.com/covid-19-data-consortium</w:t>
        </w:r>
      </w:hyperlink>
      <w:r w:rsidRPr="00727D23">
        <w:rPr>
          <w:rFonts w:cs="Times New Roman"/>
        </w:rPr>
        <w:t>).</w:t>
      </w:r>
    </w:p>
    <w:p w14:paraId="60985FEF" w14:textId="50A53010" w:rsidR="007F0E64" w:rsidRPr="00727D23" w:rsidRDefault="007F0E64" w:rsidP="007C22DD">
      <w:pPr>
        <w:rPr>
          <w:rFonts w:cs="Times New Roman"/>
        </w:rPr>
      </w:pPr>
    </w:p>
    <w:p w14:paraId="7CCBFC96" w14:textId="7FA91A73" w:rsidR="007F0E64" w:rsidRPr="00727D23" w:rsidRDefault="007F0E64" w:rsidP="007F0E64">
      <w:pPr>
        <w:rPr>
          <w:rFonts w:cs="Times New Roman"/>
          <w:b/>
          <w:bCs/>
        </w:rPr>
      </w:pPr>
      <w:r w:rsidRPr="00727D23">
        <w:rPr>
          <w:rFonts w:cs="Times New Roman"/>
          <w:b/>
          <w:bCs/>
        </w:rPr>
        <w:t>Acknowledgment</w:t>
      </w:r>
    </w:p>
    <w:p w14:paraId="6C31B74B" w14:textId="6B9D7A83" w:rsidR="007F0E64" w:rsidRPr="00727D23" w:rsidRDefault="007F0E64" w:rsidP="007F0E64">
      <w:pPr>
        <w:rPr>
          <w:rFonts w:cs="Times New Roman"/>
        </w:rPr>
      </w:pPr>
      <w:r w:rsidRPr="00727D23">
        <w:rPr>
          <w:rFonts w:cs="Times New Roman"/>
        </w:rPr>
        <w:t>The authors would like to thank SafeGraph for providing their data for COVID-19 related work.</w:t>
      </w:r>
    </w:p>
    <w:p w14:paraId="1371E69C" w14:textId="13A89B42" w:rsidR="00406CA5" w:rsidRPr="00727D23" w:rsidRDefault="00406CA5" w:rsidP="007F0E64">
      <w:pPr>
        <w:rPr>
          <w:rFonts w:cs="Times New Roman"/>
        </w:rPr>
      </w:pPr>
    </w:p>
    <w:p w14:paraId="4658E960" w14:textId="17B89304" w:rsidR="00406CA5" w:rsidRPr="00727D23" w:rsidRDefault="00406CA5" w:rsidP="007F0E64">
      <w:pPr>
        <w:rPr>
          <w:rFonts w:cs="Times New Roman"/>
          <w:b/>
          <w:bCs/>
        </w:rPr>
      </w:pPr>
      <w:r w:rsidRPr="00727D23">
        <w:rPr>
          <w:rFonts w:cs="Times New Roman"/>
          <w:b/>
          <w:bCs/>
        </w:rPr>
        <w:t>References</w:t>
      </w:r>
    </w:p>
    <w:p w14:paraId="4801A030" w14:textId="69AD431C" w:rsidR="00273FA1" w:rsidRPr="00727D23" w:rsidRDefault="00406CA5" w:rsidP="00273FA1">
      <w:pPr>
        <w:widowControl w:val="0"/>
        <w:autoSpaceDE w:val="0"/>
        <w:autoSpaceDN w:val="0"/>
        <w:adjustRightInd w:val="0"/>
        <w:spacing w:line="240" w:lineRule="auto"/>
        <w:ind w:left="640" w:hanging="640"/>
        <w:rPr>
          <w:rFonts w:cs="Times New Roman"/>
          <w:noProof/>
          <w:szCs w:val="24"/>
        </w:rPr>
      </w:pPr>
      <w:r w:rsidRPr="00727D23">
        <w:rPr>
          <w:rFonts w:cs="Times New Roman"/>
        </w:rPr>
        <w:fldChar w:fldCharType="begin" w:fldLock="1"/>
      </w:r>
      <w:r w:rsidRPr="00727D23">
        <w:rPr>
          <w:rFonts w:cs="Times New Roman"/>
        </w:rPr>
        <w:instrText xml:space="preserve">ADDIN Mendeley Bibliography CSL_BIBLIOGRAPHY </w:instrText>
      </w:r>
      <w:r w:rsidRPr="00727D23">
        <w:rPr>
          <w:rFonts w:cs="Times New Roman"/>
        </w:rPr>
        <w:fldChar w:fldCharType="separate"/>
      </w:r>
      <w:r w:rsidR="00273FA1" w:rsidRPr="00727D23">
        <w:rPr>
          <w:rFonts w:cs="Times New Roman"/>
          <w:noProof/>
          <w:szCs w:val="24"/>
        </w:rPr>
        <w:t>1.</w:t>
      </w:r>
      <w:r w:rsidR="00273FA1" w:rsidRPr="00727D23">
        <w:rPr>
          <w:rFonts w:cs="Times New Roman"/>
          <w:noProof/>
          <w:szCs w:val="24"/>
        </w:rPr>
        <w:tab/>
        <w:t xml:space="preserve">Athey, S., Blei, D., Donnelly, R., Ruiz, F. &amp; Schmidt, T. Estimating Heterogeneous Consumer Preferences for Restaurants and Travel Time Using Mobile Location Data. </w:t>
      </w:r>
      <w:r w:rsidR="00273FA1" w:rsidRPr="00727D23">
        <w:rPr>
          <w:rFonts w:cs="Times New Roman"/>
          <w:i/>
          <w:iCs/>
          <w:noProof/>
          <w:szCs w:val="24"/>
        </w:rPr>
        <w:t>AEA Pap. Proc.</w:t>
      </w:r>
      <w:r w:rsidR="00273FA1" w:rsidRPr="00727D23">
        <w:rPr>
          <w:rFonts w:cs="Times New Roman"/>
          <w:noProof/>
          <w:szCs w:val="24"/>
        </w:rPr>
        <w:t xml:space="preserve"> </w:t>
      </w:r>
      <w:r w:rsidR="00273FA1" w:rsidRPr="00727D23">
        <w:rPr>
          <w:rFonts w:cs="Times New Roman"/>
          <w:b/>
          <w:bCs/>
          <w:noProof/>
          <w:szCs w:val="24"/>
        </w:rPr>
        <w:t>108</w:t>
      </w:r>
      <w:r w:rsidR="00273FA1" w:rsidRPr="00727D23">
        <w:rPr>
          <w:rFonts w:cs="Times New Roman"/>
          <w:noProof/>
          <w:szCs w:val="24"/>
        </w:rPr>
        <w:t>, 64–67 (2018).</w:t>
      </w:r>
    </w:p>
    <w:p w14:paraId="016B279C" w14:textId="77777777" w:rsidR="00273FA1" w:rsidRPr="00727D23" w:rsidRDefault="00273FA1" w:rsidP="00273FA1">
      <w:pPr>
        <w:widowControl w:val="0"/>
        <w:autoSpaceDE w:val="0"/>
        <w:autoSpaceDN w:val="0"/>
        <w:adjustRightInd w:val="0"/>
        <w:spacing w:line="240" w:lineRule="auto"/>
        <w:ind w:left="640" w:hanging="640"/>
        <w:rPr>
          <w:rFonts w:cs="Times New Roman"/>
          <w:noProof/>
          <w:szCs w:val="24"/>
        </w:rPr>
      </w:pPr>
      <w:r w:rsidRPr="00727D23">
        <w:rPr>
          <w:rFonts w:cs="Times New Roman"/>
          <w:noProof/>
          <w:szCs w:val="24"/>
        </w:rPr>
        <w:t>2.</w:t>
      </w:r>
      <w:r w:rsidRPr="00727D23">
        <w:rPr>
          <w:rFonts w:cs="Times New Roman"/>
          <w:noProof/>
          <w:szCs w:val="24"/>
        </w:rPr>
        <w:tab/>
        <w:t xml:space="preserve">Keith Chen, M. &amp; Rohla, R. The effect of partisanship and political advertising on close family ties. </w:t>
      </w:r>
      <w:r w:rsidRPr="00727D23">
        <w:rPr>
          <w:rFonts w:cs="Times New Roman"/>
          <w:i/>
          <w:iCs/>
          <w:noProof/>
          <w:szCs w:val="24"/>
        </w:rPr>
        <w:t>Science (80-. ).</w:t>
      </w:r>
      <w:r w:rsidRPr="00727D23">
        <w:rPr>
          <w:rFonts w:cs="Times New Roman"/>
          <w:noProof/>
          <w:szCs w:val="24"/>
        </w:rPr>
        <w:t xml:space="preserve"> </w:t>
      </w:r>
      <w:r w:rsidRPr="00727D23">
        <w:rPr>
          <w:rFonts w:cs="Times New Roman"/>
          <w:b/>
          <w:bCs/>
          <w:noProof/>
          <w:szCs w:val="24"/>
        </w:rPr>
        <w:t>360</w:t>
      </w:r>
      <w:r w:rsidRPr="00727D23">
        <w:rPr>
          <w:rFonts w:cs="Times New Roman"/>
          <w:noProof/>
          <w:szCs w:val="24"/>
        </w:rPr>
        <w:t>, 1020–1024 (2018).</w:t>
      </w:r>
    </w:p>
    <w:p w14:paraId="06DB3ACE" w14:textId="77777777" w:rsidR="00273FA1" w:rsidRPr="00727D23" w:rsidRDefault="00273FA1" w:rsidP="00273FA1">
      <w:pPr>
        <w:widowControl w:val="0"/>
        <w:autoSpaceDE w:val="0"/>
        <w:autoSpaceDN w:val="0"/>
        <w:adjustRightInd w:val="0"/>
        <w:spacing w:line="240" w:lineRule="auto"/>
        <w:ind w:left="640" w:hanging="640"/>
        <w:rPr>
          <w:rFonts w:cs="Times New Roman"/>
          <w:noProof/>
          <w:szCs w:val="24"/>
        </w:rPr>
      </w:pPr>
      <w:r w:rsidRPr="00727D23">
        <w:rPr>
          <w:rFonts w:cs="Times New Roman"/>
          <w:noProof/>
          <w:szCs w:val="24"/>
        </w:rPr>
        <w:t>3.</w:t>
      </w:r>
      <w:r w:rsidRPr="00727D23">
        <w:rPr>
          <w:rFonts w:cs="Times New Roman"/>
          <w:noProof/>
          <w:szCs w:val="24"/>
        </w:rPr>
        <w:tab/>
        <w:t xml:space="preserve">Chang, S. </w:t>
      </w:r>
      <w:r w:rsidRPr="00727D23">
        <w:rPr>
          <w:rFonts w:cs="Times New Roman"/>
          <w:i/>
          <w:iCs/>
          <w:noProof/>
          <w:szCs w:val="24"/>
        </w:rPr>
        <w:t>et al.</w:t>
      </w:r>
      <w:r w:rsidRPr="00727D23">
        <w:rPr>
          <w:rFonts w:cs="Times New Roman"/>
          <w:noProof/>
          <w:szCs w:val="24"/>
        </w:rPr>
        <w:t xml:space="preserve"> Mobility network models of COVID-19 explain inequities and inform reopening. </w:t>
      </w:r>
      <w:r w:rsidRPr="00727D23">
        <w:rPr>
          <w:rFonts w:cs="Times New Roman"/>
          <w:i/>
          <w:iCs/>
          <w:noProof/>
          <w:szCs w:val="24"/>
        </w:rPr>
        <w:t>Nat. 2020 5897840</w:t>
      </w:r>
      <w:r w:rsidRPr="00727D23">
        <w:rPr>
          <w:rFonts w:cs="Times New Roman"/>
          <w:noProof/>
          <w:szCs w:val="24"/>
        </w:rPr>
        <w:t xml:space="preserve"> </w:t>
      </w:r>
      <w:r w:rsidRPr="00727D23">
        <w:rPr>
          <w:rFonts w:cs="Times New Roman"/>
          <w:b/>
          <w:bCs/>
          <w:noProof/>
          <w:szCs w:val="24"/>
        </w:rPr>
        <w:t>589</w:t>
      </w:r>
      <w:r w:rsidRPr="00727D23">
        <w:rPr>
          <w:rFonts w:cs="Times New Roman"/>
          <w:noProof/>
          <w:szCs w:val="24"/>
        </w:rPr>
        <w:t>, 82–87 (2020).</w:t>
      </w:r>
    </w:p>
    <w:p w14:paraId="236BADFB" w14:textId="77777777" w:rsidR="00273FA1" w:rsidRPr="00727D23" w:rsidRDefault="00273FA1" w:rsidP="00273FA1">
      <w:pPr>
        <w:widowControl w:val="0"/>
        <w:autoSpaceDE w:val="0"/>
        <w:autoSpaceDN w:val="0"/>
        <w:adjustRightInd w:val="0"/>
        <w:spacing w:line="240" w:lineRule="auto"/>
        <w:ind w:left="640" w:hanging="640"/>
        <w:rPr>
          <w:rFonts w:cs="Times New Roman"/>
          <w:noProof/>
          <w:szCs w:val="24"/>
        </w:rPr>
      </w:pPr>
      <w:r w:rsidRPr="00727D23">
        <w:rPr>
          <w:rFonts w:cs="Times New Roman"/>
          <w:noProof/>
          <w:szCs w:val="24"/>
        </w:rPr>
        <w:t>4.</w:t>
      </w:r>
      <w:r w:rsidRPr="00727D23">
        <w:rPr>
          <w:rFonts w:cs="Times New Roman"/>
          <w:noProof/>
          <w:szCs w:val="24"/>
        </w:rPr>
        <w:tab/>
        <w:t xml:space="preserve">Benzell, S. G., Collis, A. &amp; Nicolaides, C. Rationing social contact during the COVID-19 pandemic: Transmission risk and social benefits of US locations. </w:t>
      </w:r>
      <w:r w:rsidRPr="00727D23">
        <w:rPr>
          <w:rFonts w:cs="Times New Roman"/>
          <w:i/>
          <w:iCs/>
          <w:noProof/>
          <w:szCs w:val="24"/>
        </w:rPr>
        <w:t>Proc. Natl. Acad. Sci.</w:t>
      </w:r>
      <w:r w:rsidRPr="00727D23">
        <w:rPr>
          <w:rFonts w:cs="Times New Roman"/>
          <w:noProof/>
          <w:szCs w:val="24"/>
        </w:rPr>
        <w:t xml:space="preserve"> </w:t>
      </w:r>
      <w:r w:rsidRPr="00727D23">
        <w:rPr>
          <w:rFonts w:cs="Times New Roman"/>
          <w:b/>
          <w:bCs/>
          <w:noProof/>
          <w:szCs w:val="24"/>
        </w:rPr>
        <w:t>117</w:t>
      </w:r>
      <w:r w:rsidRPr="00727D23">
        <w:rPr>
          <w:rFonts w:cs="Times New Roman"/>
          <w:noProof/>
          <w:szCs w:val="24"/>
        </w:rPr>
        <w:t>, 14642–14644 (2020).</w:t>
      </w:r>
    </w:p>
    <w:p w14:paraId="74FE3D8D" w14:textId="77777777" w:rsidR="00273FA1" w:rsidRPr="00727D23" w:rsidRDefault="00273FA1" w:rsidP="00273FA1">
      <w:pPr>
        <w:widowControl w:val="0"/>
        <w:autoSpaceDE w:val="0"/>
        <w:autoSpaceDN w:val="0"/>
        <w:adjustRightInd w:val="0"/>
        <w:spacing w:line="240" w:lineRule="auto"/>
        <w:ind w:left="640" w:hanging="640"/>
        <w:rPr>
          <w:rFonts w:cs="Times New Roman"/>
          <w:noProof/>
          <w:szCs w:val="24"/>
        </w:rPr>
      </w:pPr>
      <w:r w:rsidRPr="00727D23">
        <w:rPr>
          <w:rFonts w:cs="Times New Roman"/>
          <w:noProof/>
          <w:szCs w:val="24"/>
        </w:rPr>
        <w:t>5.</w:t>
      </w:r>
      <w:r w:rsidRPr="00727D23">
        <w:rPr>
          <w:rFonts w:cs="Times New Roman"/>
          <w:noProof/>
          <w:szCs w:val="24"/>
        </w:rPr>
        <w:tab/>
        <w:t xml:space="preserve">Clauset, A., Newman, M. E. J. &amp; Moore, C. Finding community structure in very large networks. </w:t>
      </w:r>
      <w:r w:rsidRPr="00727D23">
        <w:rPr>
          <w:rFonts w:cs="Times New Roman"/>
          <w:i/>
          <w:iCs/>
          <w:noProof/>
          <w:szCs w:val="24"/>
        </w:rPr>
        <w:t>Phys. Rev. E - Stat. Physics, Plasmas, Fluids, Relat. Interdiscip. Top.</w:t>
      </w:r>
      <w:r w:rsidRPr="00727D23">
        <w:rPr>
          <w:rFonts w:cs="Times New Roman"/>
          <w:noProof/>
          <w:szCs w:val="24"/>
        </w:rPr>
        <w:t xml:space="preserve"> </w:t>
      </w:r>
      <w:r w:rsidRPr="00727D23">
        <w:rPr>
          <w:rFonts w:cs="Times New Roman"/>
          <w:b/>
          <w:bCs/>
          <w:noProof/>
          <w:szCs w:val="24"/>
        </w:rPr>
        <w:t>70</w:t>
      </w:r>
      <w:r w:rsidRPr="00727D23">
        <w:rPr>
          <w:rFonts w:cs="Times New Roman"/>
          <w:noProof/>
          <w:szCs w:val="24"/>
        </w:rPr>
        <w:t>, 6 (2004).</w:t>
      </w:r>
    </w:p>
    <w:p w14:paraId="588C37BB" w14:textId="77777777" w:rsidR="00273FA1" w:rsidRPr="00727D23" w:rsidRDefault="00273FA1" w:rsidP="00273FA1">
      <w:pPr>
        <w:widowControl w:val="0"/>
        <w:autoSpaceDE w:val="0"/>
        <w:autoSpaceDN w:val="0"/>
        <w:adjustRightInd w:val="0"/>
        <w:spacing w:line="240" w:lineRule="auto"/>
        <w:ind w:left="640" w:hanging="640"/>
        <w:rPr>
          <w:rFonts w:cs="Times New Roman"/>
          <w:noProof/>
          <w:szCs w:val="24"/>
        </w:rPr>
      </w:pPr>
      <w:r w:rsidRPr="00727D23">
        <w:rPr>
          <w:rFonts w:cs="Times New Roman"/>
          <w:noProof/>
          <w:szCs w:val="24"/>
        </w:rPr>
        <w:t>6.</w:t>
      </w:r>
      <w:r w:rsidRPr="00727D23">
        <w:rPr>
          <w:rFonts w:cs="Times New Roman"/>
          <w:noProof/>
          <w:szCs w:val="24"/>
        </w:rPr>
        <w:tab/>
        <w:t xml:space="preserve">Nguyen, L. Van </w:t>
      </w:r>
      <w:r w:rsidRPr="00727D23">
        <w:rPr>
          <w:rFonts w:cs="Times New Roman"/>
          <w:i/>
          <w:iCs/>
          <w:noProof/>
          <w:szCs w:val="24"/>
        </w:rPr>
        <w:t>et al.</w:t>
      </w:r>
      <w:r w:rsidRPr="00727D23">
        <w:rPr>
          <w:rFonts w:cs="Times New Roman"/>
          <w:noProof/>
          <w:szCs w:val="24"/>
        </w:rPr>
        <w:t xml:space="preserve"> Fast unfolding of communities in large networks You may also like The Baxter Q operator of critical dense polymers Alessandro Nigro-A Bayesian fusion model for space-time reconstruction of finely resolved velocities in turbulent flows from low resolution measurements Fast unfolding of communities in large networks. </w:t>
      </w:r>
      <w:r w:rsidRPr="00727D23">
        <w:rPr>
          <w:rFonts w:cs="Times New Roman"/>
          <w:i/>
          <w:iCs/>
          <w:noProof/>
          <w:szCs w:val="24"/>
        </w:rPr>
        <w:t>J. Stat. Mech</w:t>
      </w:r>
      <w:r w:rsidRPr="00727D23">
        <w:rPr>
          <w:rFonts w:cs="Times New Roman"/>
          <w:noProof/>
          <w:szCs w:val="24"/>
        </w:rPr>
        <w:t xml:space="preserve"> 10008 (2008) doi:10.1088/1742-5468/2008/10/P10008.</w:t>
      </w:r>
    </w:p>
    <w:p w14:paraId="1642D994" w14:textId="77777777" w:rsidR="00273FA1" w:rsidRPr="00727D23" w:rsidRDefault="00273FA1" w:rsidP="00273FA1">
      <w:pPr>
        <w:widowControl w:val="0"/>
        <w:autoSpaceDE w:val="0"/>
        <w:autoSpaceDN w:val="0"/>
        <w:adjustRightInd w:val="0"/>
        <w:spacing w:line="240" w:lineRule="auto"/>
        <w:ind w:left="640" w:hanging="640"/>
        <w:rPr>
          <w:rFonts w:cs="Times New Roman"/>
          <w:noProof/>
        </w:rPr>
      </w:pPr>
      <w:r w:rsidRPr="00727D23">
        <w:rPr>
          <w:rFonts w:cs="Times New Roman"/>
          <w:noProof/>
          <w:szCs w:val="24"/>
        </w:rPr>
        <w:t>7.</w:t>
      </w:r>
      <w:r w:rsidRPr="00727D23">
        <w:rPr>
          <w:rFonts w:cs="Times New Roman"/>
          <w:noProof/>
          <w:szCs w:val="24"/>
        </w:rPr>
        <w:tab/>
        <w:t xml:space="preserve">Seifi, M., Junier, I., Rouquier, J. B., Iskrov, S. &amp; Guillaume, J. L. Stable community cores in complex networks. </w:t>
      </w:r>
      <w:r w:rsidRPr="00727D23">
        <w:rPr>
          <w:rFonts w:cs="Times New Roman"/>
          <w:i/>
          <w:iCs/>
          <w:noProof/>
          <w:szCs w:val="24"/>
        </w:rPr>
        <w:t>Stud. Comput. Intell.</w:t>
      </w:r>
      <w:r w:rsidRPr="00727D23">
        <w:rPr>
          <w:rFonts w:cs="Times New Roman"/>
          <w:noProof/>
          <w:szCs w:val="24"/>
        </w:rPr>
        <w:t xml:space="preserve"> </w:t>
      </w:r>
      <w:r w:rsidRPr="00727D23">
        <w:rPr>
          <w:rFonts w:cs="Times New Roman"/>
          <w:b/>
          <w:bCs/>
          <w:noProof/>
          <w:szCs w:val="24"/>
        </w:rPr>
        <w:t>424</w:t>
      </w:r>
      <w:r w:rsidRPr="00727D23">
        <w:rPr>
          <w:rFonts w:cs="Times New Roman"/>
          <w:noProof/>
          <w:szCs w:val="24"/>
        </w:rPr>
        <w:t>, 87–98 (2013).</w:t>
      </w:r>
    </w:p>
    <w:p w14:paraId="7E2F01E6" w14:textId="68263A71" w:rsidR="00406CA5" w:rsidRPr="00727D23" w:rsidRDefault="00406CA5" w:rsidP="007F0E64">
      <w:pPr>
        <w:rPr>
          <w:rFonts w:cs="Times New Roman"/>
        </w:rPr>
      </w:pPr>
      <w:r w:rsidRPr="00727D23">
        <w:rPr>
          <w:rFonts w:cs="Times New Roman"/>
        </w:rPr>
        <w:fldChar w:fldCharType="end"/>
      </w:r>
    </w:p>
    <w:sectPr w:rsidR="00406CA5" w:rsidRPr="00727D2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A20E8" w14:textId="77777777" w:rsidR="008A2547" w:rsidRDefault="008A2547" w:rsidP="00275846">
      <w:pPr>
        <w:spacing w:after="0" w:line="240" w:lineRule="auto"/>
      </w:pPr>
      <w:r>
        <w:separator/>
      </w:r>
    </w:p>
  </w:endnote>
  <w:endnote w:type="continuationSeparator" w:id="0">
    <w:p w14:paraId="1B4B6AB8" w14:textId="77777777" w:rsidR="008A2547" w:rsidRDefault="008A2547" w:rsidP="00275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613928"/>
      <w:docPartObj>
        <w:docPartGallery w:val="Page Numbers (Bottom of Page)"/>
        <w:docPartUnique/>
      </w:docPartObj>
    </w:sdtPr>
    <w:sdtEndPr>
      <w:rPr>
        <w:noProof/>
      </w:rPr>
    </w:sdtEndPr>
    <w:sdtContent>
      <w:p w14:paraId="1502248A" w14:textId="497780F6" w:rsidR="00275846" w:rsidRDefault="00275846">
        <w:pPr>
          <w:pStyle w:val="Footer"/>
          <w:jc w:val="center"/>
        </w:pPr>
        <w:r>
          <w:fldChar w:fldCharType="begin"/>
        </w:r>
        <w:r>
          <w:instrText xml:space="preserve"> PAGE   \* MERGEFORMAT </w:instrText>
        </w:r>
        <w:r>
          <w:fldChar w:fldCharType="separate"/>
        </w:r>
        <w:r w:rsidR="00EC41A8">
          <w:rPr>
            <w:noProof/>
          </w:rPr>
          <w:t>8</w:t>
        </w:r>
        <w:r>
          <w:rPr>
            <w:noProof/>
          </w:rPr>
          <w:fldChar w:fldCharType="end"/>
        </w:r>
      </w:p>
    </w:sdtContent>
  </w:sdt>
  <w:p w14:paraId="3F483098" w14:textId="77777777" w:rsidR="00275846" w:rsidRDefault="00275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E6150" w14:textId="77777777" w:rsidR="008A2547" w:rsidRDefault="008A2547" w:rsidP="00275846">
      <w:pPr>
        <w:spacing w:after="0" w:line="240" w:lineRule="auto"/>
      </w:pPr>
      <w:r>
        <w:separator/>
      </w:r>
    </w:p>
  </w:footnote>
  <w:footnote w:type="continuationSeparator" w:id="0">
    <w:p w14:paraId="5E1760DE" w14:textId="77777777" w:rsidR="008A2547" w:rsidRDefault="008A2547" w:rsidP="002758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C05"/>
    <w:rsid w:val="0001506C"/>
    <w:rsid w:val="000325C9"/>
    <w:rsid w:val="000455B4"/>
    <w:rsid w:val="00047245"/>
    <w:rsid w:val="000C60F4"/>
    <w:rsid w:val="000D19D3"/>
    <w:rsid w:val="001200BC"/>
    <w:rsid w:val="0012077B"/>
    <w:rsid w:val="0015472A"/>
    <w:rsid w:val="00183A4E"/>
    <w:rsid w:val="001A6760"/>
    <w:rsid w:val="001A6869"/>
    <w:rsid w:val="001A789B"/>
    <w:rsid w:val="001B1EEA"/>
    <w:rsid w:val="001D30CD"/>
    <w:rsid w:val="001E3832"/>
    <w:rsid w:val="00206858"/>
    <w:rsid w:val="00232F54"/>
    <w:rsid w:val="00233A94"/>
    <w:rsid w:val="0023567E"/>
    <w:rsid w:val="002405A0"/>
    <w:rsid w:val="00262341"/>
    <w:rsid w:val="00264A81"/>
    <w:rsid w:val="00273FA1"/>
    <w:rsid w:val="00275846"/>
    <w:rsid w:val="00280E2C"/>
    <w:rsid w:val="00281BED"/>
    <w:rsid w:val="00282279"/>
    <w:rsid w:val="00287C26"/>
    <w:rsid w:val="002A1888"/>
    <w:rsid w:val="002D4A8E"/>
    <w:rsid w:val="00310D38"/>
    <w:rsid w:val="003228FF"/>
    <w:rsid w:val="0034133B"/>
    <w:rsid w:val="003B503E"/>
    <w:rsid w:val="003C0412"/>
    <w:rsid w:val="003D3E67"/>
    <w:rsid w:val="003E1C73"/>
    <w:rsid w:val="00406CA5"/>
    <w:rsid w:val="00422E53"/>
    <w:rsid w:val="004318C0"/>
    <w:rsid w:val="00440009"/>
    <w:rsid w:val="00442219"/>
    <w:rsid w:val="00442C04"/>
    <w:rsid w:val="00455E72"/>
    <w:rsid w:val="004614A6"/>
    <w:rsid w:val="00464EF8"/>
    <w:rsid w:val="004922B7"/>
    <w:rsid w:val="00495A69"/>
    <w:rsid w:val="004D3034"/>
    <w:rsid w:val="004D6A21"/>
    <w:rsid w:val="004E767F"/>
    <w:rsid w:val="00514D63"/>
    <w:rsid w:val="005307DA"/>
    <w:rsid w:val="00561F83"/>
    <w:rsid w:val="00592369"/>
    <w:rsid w:val="005D54F9"/>
    <w:rsid w:val="0060375A"/>
    <w:rsid w:val="00603F59"/>
    <w:rsid w:val="00606F47"/>
    <w:rsid w:val="006307DD"/>
    <w:rsid w:val="00674876"/>
    <w:rsid w:val="006A3B6F"/>
    <w:rsid w:val="006B0765"/>
    <w:rsid w:val="006B55FE"/>
    <w:rsid w:val="006B7FBD"/>
    <w:rsid w:val="00707E25"/>
    <w:rsid w:val="00723BC2"/>
    <w:rsid w:val="00727D23"/>
    <w:rsid w:val="00740DD9"/>
    <w:rsid w:val="007572D5"/>
    <w:rsid w:val="00757343"/>
    <w:rsid w:val="007720E1"/>
    <w:rsid w:val="00796FB6"/>
    <w:rsid w:val="007A1280"/>
    <w:rsid w:val="007B67C4"/>
    <w:rsid w:val="007C22DD"/>
    <w:rsid w:val="007D04A2"/>
    <w:rsid w:val="007D2E62"/>
    <w:rsid w:val="007D7C05"/>
    <w:rsid w:val="007F0E64"/>
    <w:rsid w:val="007F4E3B"/>
    <w:rsid w:val="008145B8"/>
    <w:rsid w:val="00835214"/>
    <w:rsid w:val="0085630A"/>
    <w:rsid w:val="00861F6D"/>
    <w:rsid w:val="00891F95"/>
    <w:rsid w:val="008A2547"/>
    <w:rsid w:val="008C3357"/>
    <w:rsid w:val="008D1066"/>
    <w:rsid w:val="008E119E"/>
    <w:rsid w:val="008F1A95"/>
    <w:rsid w:val="00916845"/>
    <w:rsid w:val="00960802"/>
    <w:rsid w:val="00971539"/>
    <w:rsid w:val="00972143"/>
    <w:rsid w:val="00976369"/>
    <w:rsid w:val="009B409E"/>
    <w:rsid w:val="009B6CBB"/>
    <w:rsid w:val="009D5E50"/>
    <w:rsid w:val="009E6081"/>
    <w:rsid w:val="009E6B4F"/>
    <w:rsid w:val="00A17036"/>
    <w:rsid w:val="00A428CB"/>
    <w:rsid w:val="00A54A9E"/>
    <w:rsid w:val="00A605DA"/>
    <w:rsid w:val="00A62059"/>
    <w:rsid w:val="00A6333F"/>
    <w:rsid w:val="00A67432"/>
    <w:rsid w:val="00A67FE6"/>
    <w:rsid w:val="00A76205"/>
    <w:rsid w:val="00A956D7"/>
    <w:rsid w:val="00AC6DA5"/>
    <w:rsid w:val="00AD0880"/>
    <w:rsid w:val="00AD255A"/>
    <w:rsid w:val="00AD5273"/>
    <w:rsid w:val="00B0298A"/>
    <w:rsid w:val="00B05658"/>
    <w:rsid w:val="00B05F15"/>
    <w:rsid w:val="00B168C6"/>
    <w:rsid w:val="00B20005"/>
    <w:rsid w:val="00B66335"/>
    <w:rsid w:val="00B72681"/>
    <w:rsid w:val="00B96DFF"/>
    <w:rsid w:val="00BC4F42"/>
    <w:rsid w:val="00BD6FB4"/>
    <w:rsid w:val="00BE1D0C"/>
    <w:rsid w:val="00BE6A41"/>
    <w:rsid w:val="00BF3BD1"/>
    <w:rsid w:val="00C05D3E"/>
    <w:rsid w:val="00C11AE5"/>
    <w:rsid w:val="00C11BFD"/>
    <w:rsid w:val="00C265F3"/>
    <w:rsid w:val="00C56E34"/>
    <w:rsid w:val="00C7619E"/>
    <w:rsid w:val="00C76580"/>
    <w:rsid w:val="00C82256"/>
    <w:rsid w:val="00CA11FD"/>
    <w:rsid w:val="00CA3A66"/>
    <w:rsid w:val="00CA6C29"/>
    <w:rsid w:val="00CD3395"/>
    <w:rsid w:val="00CE2C8B"/>
    <w:rsid w:val="00CF7B30"/>
    <w:rsid w:val="00D116E9"/>
    <w:rsid w:val="00D74798"/>
    <w:rsid w:val="00D879C2"/>
    <w:rsid w:val="00DA7201"/>
    <w:rsid w:val="00DE15F1"/>
    <w:rsid w:val="00DF2D05"/>
    <w:rsid w:val="00E455B4"/>
    <w:rsid w:val="00E5307E"/>
    <w:rsid w:val="00E56945"/>
    <w:rsid w:val="00E71732"/>
    <w:rsid w:val="00E81AC5"/>
    <w:rsid w:val="00E822B9"/>
    <w:rsid w:val="00E968F3"/>
    <w:rsid w:val="00EA69DD"/>
    <w:rsid w:val="00EB4549"/>
    <w:rsid w:val="00EC41A8"/>
    <w:rsid w:val="00ED7B05"/>
    <w:rsid w:val="00EE1DD5"/>
    <w:rsid w:val="00EF6FCF"/>
    <w:rsid w:val="00F2413E"/>
    <w:rsid w:val="00F3235E"/>
    <w:rsid w:val="00F50D3F"/>
    <w:rsid w:val="00F56419"/>
    <w:rsid w:val="00F57189"/>
    <w:rsid w:val="00F731B0"/>
    <w:rsid w:val="00F963E4"/>
    <w:rsid w:val="00FB19FE"/>
    <w:rsid w:val="00FD4576"/>
    <w:rsid w:val="00FE5D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416DF"/>
  <w15:chartTrackingRefBased/>
  <w15:docId w15:val="{B24DD48D-5340-4C37-AECF-459C41FA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E6081"/>
    <w:pPr>
      <w:spacing w:after="200" w:line="240" w:lineRule="auto"/>
    </w:pPr>
    <w:rPr>
      <w:iCs/>
      <w:szCs w:val="18"/>
    </w:rPr>
  </w:style>
  <w:style w:type="paragraph" w:styleId="Header">
    <w:name w:val="header"/>
    <w:basedOn w:val="Normal"/>
    <w:link w:val="HeaderChar"/>
    <w:uiPriority w:val="99"/>
    <w:unhideWhenUsed/>
    <w:rsid w:val="00275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846"/>
  </w:style>
  <w:style w:type="paragraph" w:styleId="Footer">
    <w:name w:val="footer"/>
    <w:basedOn w:val="Normal"/>
    <w:link w:val="FooterChar"/>
    <w:uiPriority w:val="99"/>
    <w:unhideWhenUsed/>
    <w:rsid w:val="002758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846"/>
  </w:style>
  <w:style w:type="character" w:styleId="Hyperlink">
    <w:name w:val="Hyperlink"/>
    <w:basedOn w:val="DefaultParagraphFont"/>
    <w:uiPriority w:val="99"/>
    <w:unhideWhenUsed/>
    <w:rsid w:val="00C76580"/>
    <w:rPr>
      <w:color w:val="0563C1" w:themeColor="hyperlink"/>
      <w:u w:val="single"/>
    </w:rPr>
  </w:style>
  <w:style w:type="character" w:customStyle="1" w:styleId="UnresolvedMention1">
    <w:name w:val="Unresolved Mention1"/>
    <w:basedOn w:val="DefaultParagraphFont"/>
    <w:uiPriority w:val="99"/>
    <w:semiHidden/>
    <w:unhideWhenUsed/>
    <w:rsid w:val="00C76580"/>
    <w:rPr>
      <w:color w:val="605E5C"/>
      <w:shd w:val="clear" w:color="auto" w:fill="E1DFDD"/>
    </w:rPr>
  </w:style>
  <w:style w:type="character" w:styleId="FollowedHyperlink">
    <w:name w:val="FollowedHyperlink"/>
    <w:basedOn w:val="DefaultParagraphFont"/>
    <w:uiPriority w:val="99"/>
    <w:semiHidden/>
    <w:unhideWhenUsed/>
    <w:rsid w:val="00F57189"/>
    <w:rPr>
      <w:color w:val="954F72" w:themeColor="followedHyperlink"/>
      <w:u w:val="single"/>
    </w:rPr>
  </w:style>
  <w:style w:type="paragraph" w:styleId="ListParagraph">
    <w:name w:val="List Paragraph"/>
    <w:basedOn w:val="Normal"/>
    <w:uiPriority w:val="34"/>
    <w:qFormat/>
    <w:rsid w:val="00E5307E"/>
    <w:pPr>
      <w:ind w:left="720"/>
      <w:contextualSpacing/>
    </w:pPr>
  </w:style>
  <w:style w:type="character" w:styleId="CommentReference">
    <w:name w:val="annotation reference"/>
    <w:basedOn w:val="DefaultParagraphFont"/>
    <w:uiPriority w:val="99"/>
    <w:semiHidden/>
    <w:unhideWhenUsed/>
    <w:rsid w:val="00F2413E"/>
    <w:rPr>
      <w:sz w:val="16"/>
      <w:szCs w:val="16"/>
    </w:rPr>
  </w:style>
  <w:style w:type="paragraph" w:styleId="CommentText">
    <w:name w:val="annotation text"/>
    <w:basedOn w:val="Normal"/>
    <w:link w:val="CommentTextChar"/>
    <w:uiPriority w:val="99"/>
    <w:unhideWhenUsed/>
    <w:rsid w:val="00F2413E"/>
    <w:pPr>
      <w:spacing w:line="240" w:lineRule="auto"/>
    </w:pPr>
    <w:rPr>
      <w:sz w:val="20"/>
      <w:szCs w:val="20"/>
    </w:rPr>
  </w:style>
  <w:style w:type="character" w:customStyle="1" w:styleId="CommentTextChar">
    <w:name w:val="Comment Text Char"/>
    <w:basedOn w:val="DefaultParagraphFont"/>
    <w:link w:val="CommentText"/>
    <w:uiPriority w:val="99"/>
    <w:rsid w:val="00F2413E"/>
    <w:rPr>
      <w:sz w:val="20"/>
      <w:szCs w:val="20"/>
    </w:rPr>
  </w:style>
  <w:style w:type="paragraph" w:styleId="CommentSubject">
    <w:name w:val="annotation subject"/>
    <w:basedOn w:val="CommentText"/>
    <w:next w:val="CommentText"/>
    <w:link w:val="CommentSubjectChar"/>
    <w:uiPriority w:val="99"/>
    <w:semiHidden/>
    <w:unhideWhenUsed/>
    <w:rsid w:val="00F2413E"/>
    <w:rPr>
      <w:b/>
      <w:bCs/>
    </w:rPr>
  </w:style>
  <w:style w:type="character" w:customStyle="1" w:styleId="CommentSubjectChar">
    <w:name w:val="Comment Subject Char"/>
    <w:basedOn w:val="CommentTextChar"/>
    <w:link w:val="CommentSubject"/>
    <w:uiPriority w:val="99"/>
    <w:semiHidden/>
    <w:rsid w:val="00F2413E"/>
    <w:rPr>
      <w:b/>
      <w:bCs/>
      <w:sz w:val="20"/>
      <w:szCs w:val="20"/>
    </w:rPr>
  </w:style>
  <w:style w:type="table" w:styleId="TableGrid">
    <w:name w:val="Table Grid"/>
    <w:basedOn w:val="TableNormal"/>
    <w:uiPriority w:val="39"/>
    <w:rsid w:val="001B1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1EEA"/>
    <w:rPr>
      <w:color w:val="808080"/>
    </w:rPr>
  </w:style>
  <w:style w:type="paragraph" w:styleId="BalloonText">
    <w:name w:val="Balloon Text"/>
    <w:basedOn w:val="Normal"/>
    <w:link w:val="BalloonTextChar"/>
    <w:uiPriority w:val="99"/>
    <w:semiHidden/>
    <w:unhideWhenUsed/>
    <w:rsid w:val="00C82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256"/>
    <w:rPr>
      <w:rFonts w:ascii="Segoe UI" w:hAnsi="Segoe UI" w:cs="Segoe UI"/>
      <w:sz w:val="18"/>
      <w:szCs w:val="18"/>
    </w:rPr>
  </w:style>
  <w:style w:type="paragraph" w:styleId="Revision">
    <w:name w:val="Revision"/>
    <w:hidden/>
    <w:uiPriority w:val="99"/>
    <w:semiHidden/>
    <w:rsid w:val="00DF2D05"/>
    <w:pPr>
      <w:spacing w:after="0" w:line="240" w:lineRule="auto"/>
    </w:pPr>
  </w:style>
  <w:style w:type="paragraph" w:styleId="FootnoteText">
    <w:name w:val="footnote text"/>
    <w:basedOn w:val="Normal"/>
    <w:link w:val="FootnoteTextChar"/>
    <w:uiPriority w:val="99"/>
    <w:semiHidden/>
    <w:unhideWhenUsed/>
    <w:rsid w:val="00DF2D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2D05"/>
    <w:rPr>
      <w:sz w:val="20"/>
      <w:szCs w:val="20"/>
    </w:rPr>
  </w:style>
  <w:style w:type="character" w:styleId="FootnoteReference">
    <w:name w:val="footnote reference"/>
    <w:basedOn w:val="DefaultParagraphFont"/>
    <w:uiPriority w:val="99"/>
    <w:semiHidden/>
    <w:unhideWhenUsed/>
    <w:rsid w:val="00DF2D05"/>
    <w:rPr>
      <w:vertAlign w:val="superscript"/>
    </w:rPr>
  </w:style>
  <w:style w:type="character" w:customStyle="1" w:styleId="cf01">
    <w:name w:val="cf01"/>
    <w:basedOn w:val="DefaultParagraphFont"/>
    <w:rsid w:val="00DF2D05"/>
    <w:rPr>
      <w:rFonts w:ascii="Segoe UI" w:hAnsi="Segoe UI" w:cs="Segoe UI" w:hint="default"/>
      <w:sz w:val="18"/>
      <w:szCs w:val="18"/>
    </w:rPr>
  </w:style>
  <w:style w:type="paragraph" w:styleId="NoSpacing">
    <w:name w:val="No Spacing"/>
    <w:uiPriority w:val="1"/>
    <w:qFormat/>
    <w:rsid w:val="00727D23"/>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afegraph.com/covid-19-data-consortiu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www.safegraph.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dc08a9c-5151-426b-acb4-4848965349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BFEF50D6044242BFF7A445D1B5CA8B" ma:contentTypeVersion="13" ma:contentTypeDescription="Create a new document." ma:contentTypeScope="" ma:versionID="331d62487e7d328e7a272188f1cce80f">
  <xsd:schema xmlns:xsd="http://www.w3.org/2001/XMLSchema" xmlns:xs="http://www.w3.org/2001/XMLSchema" xmlns:p="http://schemas.microsoft.com/office/2006/metadata/properties" xmlns:ns3="48d4c6b2-e671-43c6-af14-85c2d1e1c1f2" xmlns:ns4="cdc08a9c-5151-426b-acb4-4848965349b9" targetNamespace="http://schemas.microsoft.com/office/2006/metadata/properties" ma:root="true" ma:fieldsID="35ec08ace56e270480431cd153fd589d" ns3:_="" ns4:_="">
    <xsd:import namespace="48d4c6b2-e671-43c6-af14-85c2d1e1c1f2"/>
    <xsd:import namespace="cdc08a9c-5151-426b-acb4-4848965349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4c6b2-e671-43c6-af14-85c2d1e1c1f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08a9c-5151-426b-acb4-4848965349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85D2E0-B1AB-48C9-B5F4-9FCE901C1147}">
  <ds:schemaRefs>
    <ds:schemaRef ds:uri="http://schemas.microsoft.com/office/2006/metadata/properties"/>
    <ds:schemaRef ds:uri="http://schemas.microsoft.com/office/infopath/2007/PartnerControls"/>
    <ds:schemaRef ds:uri="cdc08a9c-5151-426b-acb4-4848965349b9"/>
  </ds:schemaRefs>
</ds:datastoreItem>
</file>

<file path=customXml/itemProps2.xml><?xml version="1.0" encoding="utf-8"?>
<ds:datastoreItem xmlns:ds="http://schemas.openxmlformats.org/officeDocument/2006/customXml" ds:itemID="{72AF1780-8A9B-4B14-9880-0E7B5A5C5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4c6b2-e671-43c6-af14-85c2d1e1c1f2"/>
    <ds:schemaRef ds:uri="cdc08a9c-5151-426b-acb4-484896534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457B51-0030-4424-AFE3-2ACAC15666F3}">
  <ds:schemaRefs>
    <ds:schemaRef ds:uri="http://schemas.openxmlformats.org/officeDocument/2006/bibliography"/>
  </ds:schemaRefs>
</ds:datastoreItem>
</file>

<file path=customXml/itemProps4.xml><?xml version="1.0" encoding="utf-8"?>
<ds:datastoreItem xmlns:ds="http://schemas.openxmlformats.org/officeDocument/2006/customXml" ds:itemID="{BBA67181-31C7-438C-B05A-4672C26E6F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4103</Words>
  <Characters>23392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Fardad Haghpanah</dc:creator>
  <cp:keywords/>
  <dc:description/>
  <cp:lastModifiedBy>Jerald Cherian</cp:lastModifiedBy>
  <cp:revision>6</cp:revision>
  <dcterms:created xsi:type="dcterms:W3CDTF">2022-12-17T19:06:00Z</dcterms:created>
  <dcterms:modified xsi:type="dcterms:W3CDTF">2023-03-03T04:21:00Z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http://www.zotero.org/styles/plos-computational-biology</vt:lpwstr>
  </property>
  <property fmtid="{D5CDD505-2E9C-101B-9397-08002B2CF9AE}" pid="17" name="Mendeley Recent Style Name 7_1">
    <vt:lpwstr>PLOS Computational Biology</vt:lpwstr>
  </property>
  <property fmtid="{D5CDD505-2E9C-101B-9397-08002B2CF9AE}" pid="18" name="Mendeley Recent Style Id 8_1">
    <vt:lpwstr>http://www.zotero.org/styles/simulation-modelling-practice-and-theory</vt:lpwstr>
  </property>
  <property fmtid="{D5CDD505-2E9C-101B-9397-08002B2CF9AE}" pid="19" name="Mendeley Recent Style Name 8_1">
    <vt:lpwstr>Simulation Modelling Practice and Theory</vt:lpwstr>
  </property>
  <property fmtid="{D5CDD505-2E9C-101B-9397-08002B2CF9AE}" pid="20" name="Mendeley Recent Style Id 9_1">
    <vt:lpwstr>http://www.zotero.org/styles/vaccine</vt:lpwstr>
  </property>
  <property fmtid="{D5CDD505-2E9C-101B-9397-08002B2CF9AE}" pid="21" name="Mendeley Recent Style Name 9_1">
    <vt:lpwstr>Vaccine</vt:lpwstr>
  </property>
  <property fmtid="{D5CDD505-2E9C-101B-9397-08002B2CF9AE}" pid="22" name="Mendeley Document_1">
    <vt:lpwstr>True</vt:lpwstr>
  </property>
  <property fmtid="{D5CDD505-2E9C-101B-9397-08002B2CF9AE}" pid="23" name="Mendeley Unique User Id_1">
    <vt:lpwstr>8a266a18-f2b3-3d52-b2b3-13f8f2216c38</vt:lpwstr>
  </property>
  <property fmtid="{D5CDD505-2E9C-101B-9397-08002B2CF9AE}" pid="24" name="Mendeley Citation Style_1">
    <vt:lpwstr>http://www.zotero.org/styles/nature</vt:lpwstr>
  </property>
  <property fmtid="{D5CDD505-2E9C-101B-9397-08002B2CF9AE}" pid="25" name="ContentTypeId">
    <vt:lpwstr>0x0101005BBFEF50D6044242BFF7A445D1B5CA8B</vt:lpwstr>
  </property>
</Properties>
</file>