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1A53" w14:textId="6881397E" w:rsidR="000B40E3" w:rsidRDefault="000B40E3" w:rsidP="000B40E3">
      <w:pPr>
        <w:rPr>
          <w:rFonts w:ascii="Times New Roman" w:hAnsi="Times New Roman" w:cs="Times New Roman"/>
          <w:b/>
          <w:bCs/>
          <w:sz w:val="24"/>
          <w:szCs w:val="24"/>
          <w:lang w:val="en"/>
        </w:rPr>
      </w:pPr>
      <w:r>
        <w:rPr>
          <w:rFonts w:ascii="Times New Roman" w:hAnsi="Times New Roman" w:cs="Times New Roman"/>
          <w:b/>
          <w:bCs/>
          <w:sz w:val="24"/>
          <w:szCs w:val="24"/>
        </w:rPr>
        <w:t xml:space="preserve">Supplement for: </w:t>
      </w:r>
      <w:r w:rsidR="00A83A5C">
        <w:rPr>
          <w:rFonts w:ascii="Times New Roman" w:hAnsi="Times New Roman" w:cs="Times New Roman"/>
          <w:b/>
          <w:bCs/>
          <w:sz w:val="24"/>
          <w:szCs w:val="24"/>
        </w:rPr>
        <w:t xml:space="preserve">Effects of </w:t>
      </w:r>
      <w:r>
        <w:rPr>
          <w:rFonts w:ascii="Times New Roman" w:hAnsi="Times New Roman" w:cs="Times New Roman"/>
          <w:b/>
          <w:bCs/>
          <w:sz w:val="24"/>
          <w:szCs w:val="24"/>
        </w:rPr>
        <w:t>Procalcitonin on Antimicrobial Treatment Decisions</w:t>
      </w:r>
      <w:r w:rsidRPr="007C386B">
        <w:rPr>
          <w:rFonts w:ascii="Times New Roman" w:hAnsi="Times New Roman" w:cs="Times New Roman"/>
          <w:b/>
          <w:bCs/>
          <w:sz w:val="24"/>
          <w:szCs w:val="24"/>
          <w:lang w:val="en"/>
        </w:rPr>
        <w:t xml:space="preserve"> in Patients with COVID-19</w:t>
      </w:r>
    </w:p>
    <w:p w14:paraId="3CFC4CCD" w14:textId="42026933" w:rsidR="000B40E3" w:rsidRPr="000B40E3" w:rsidRDefault="000B40E3" w:rsidP="000B40E3">
      <w:pPr>
        <w:spacing w:line="480" w:lineRule="auto"/>
        <w:rPr>
          <w:rFonts w:ascii="Times New Roman" w:hAnsi="Times New Roman" w:cs="Times New Roman"/>
          <w:sz w:val="24"/>
          <w:szCs w:val="24"/>
        </w:rPr>
      </w:pPr>
      <w:r w:rsidRPr="007C386B">
        <w:rPr>
          <w:rFonts w:ascii="Times New Roman" w:hAnsi="Times New Roman" w:cs="Times New Roman"/>
          <w:sz w:val="24"/>
          <w:szCs w:val="24"/>
        </w:rPr>
        <w:t>Authors: Anna Conlon, PhD,</w:t>
      </w:r>
      <w:r w:rsidRPr="007C386B">
        <w:rPr>
          <w:rFonts w:ascii="Times New Roman" w:hAnsi="Times New Roman" w:cs="Times New Roman"/>
          <w:sz w:val="24"/>
          <w:szCs w:val="24"/>
          <w:vertAlign w:val="superscript"/>
        </w:rPr>
        <w:t>1</w:t>
      </w:r>
      <w:r w:rsidRPr="007C386B">
        <w:rPr>
          <w:rFonts w:ascii="Times New Roman" w:hAnsi="Times New Roman" w:cs="Times New Roman"/>
          <w:sz w:val="24"/>
          <w:szCs w:val="24"/>
        </w:rPr>
        <w:t xml:space="preserve"> Zoey Chopra,</w:t>
      </w:r>
      <w:r w:rsidRPr="007C386B">
        <w:rPr>
          <w:rFonts w:ascii="Times New Roman" w:hAnsi="Times New Roman" w:cs="Times New Roman"/>
          <w:sz w:val="24"/>
          <w:szCs w:val="24"/>
          <w:vertAlign w:val="superscript"/>
        </w:rPr>
        <w:t>1</w:t>
      </w:r>
      <w:r w:rsidRPr="007C386B">
        <w:rPr>
          <w:rFonts w:ascii="Times New Roman" w:hAnsi="Times New Roman" w:cs="Times New Roman"/>
          <w:sz w:val="24"/>
          <w:szCs w:val="24"/>
        </w:rPr>
        <w:t xml:space="preserve"> Shannon Cahalan,</w:t>
      </w:r>
      <w:r w:rsidRPr="007C386B">
        <w:rPr>
          <w:rFonts w:ascii="Times New Roman" w:hAnsi="Times New Roman" w:cs="Times New Roman"/>
          <w:sz w:val="24"/>
          <w:szCs w:val="24"/>
          <w:vertAlign w:val="superscript"/>
        </w:rPr>
        <w:t>1</w:t>
      </w:r>
      <w:r w:rsidRPr="007C386B">
        <w:rPr>
          <w:rFonts w:ascii="Times New Roman" w:hAnsi="Times New Roman" w:cs="Times New Roman"/>
          <w:sz w:val="24"/>
          <w:szCs w:val="24"/>
        </w:rPr>
        <w:t xml:space="preserve"> Sandro Cinti, MD,</w:t>
      </w:r>
      <w:r w:rsidRPr="007C386B">
        <w:rPr>
          <w:rFonts w:ascii="Times New Roman" w:hAnsi="Times New Roman" w:cs="Times New Roman"/>
          <w:sz w:val="24"/>
          <w:szCs w:val="24"/>
          <w:vertAlign w:val="superscript"/>
        </w:rPr>
        <w:t>2</w:t>
      </w:r>
      <w:r w:rsidRPr="007C386B">
        <w:rPr>
          <w:rFonts w:ascii="Times New Roman" w:hAnsi="Times New Roman" w:cs="Times New Roman"/>
          <w:sz w:val="24"/>
          <w:szCs w:val="24"/>
        </w:rPr>
        <w:t xml:space="preserve"> Krishna Rao, MD, MS</w:t>
      </w:r>
      <w:r w:rsidRPr="007C386B">
        <w:rPr>
          <w:rFonts w:ascii="Times New Roman" w:hAnsi="Times New Roman" w:cs="Times New Roman"/>
          <w:sz w:val="24"/>
          <w:szCs w:val="24"/>
          <w:vertAlign w:val="superscript"/>
        </w:rPr>
        <w:t>2,*</w:t>
      </w:r>
    </w:p>
    <w:p w14:paraId="27638D09" w14:textId="77777777" w:rsidR="0012604D" w:rsidRDefault="0012604D" w:rsidP="000B40E3">
      <w:pPr>
        <w:rPr>
          <w:rFonts w:ascii="Times New Roman" w:hAnsi="Times New Roman" w:cs="Times New Roman"/>
          <w:b/>
          <w:bCs/>
          <w:sz w:val="24"/>
          <w:szCs w:val="24"/>
        </w:rPr>
      </w:pPr>
    </w:p>
    <w:p w14:paraId="668A5E3E" w14:textId="00EC5AB0" w:rsidR="0012604D" w:rsidRDefault="00991546" w:rsidP="0012604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Supplemental Section 1: </w:t>
      </w:r>
      <w:r w:rsidR="0012604D">
        <w:rPr>
          <w:rFonts w:ascii="Times New Roman" w:hAnsi="Times New Roman" w:cs="Times New Roman"/>
          <w:b/>
          <w:bCs/>
          <w:sz w:val="24"/>
          <w:szCs w:val="24"/>
        </w:rPr>
        <w:t>Detailed statistical methodology</w:t>
      </w:r>
    </w:p>
    <w:p w14:paraId="654E7106" w14:textId="1D8C7309" w:rsidR="0012604D" w:rsidRDefault="0012604D" w:rsidP="0012604D">
      <w:pPr>
        <w:spacing w:line="480" w:lineRule="auto"/>
        <w:rPr>
          <w:rFonts w:ascii="Times New Roman" w:eastAsia="Times New Roman" w:hAnsi="Times New Roman" w:cs="Times New Roman"/>
          <w:color w:val="000000"/>
          <w:sz w:val="24"/>
          <w:szCs w:val="24"/>
        </w:rPr>
      </w:pPr>
      <w:r w:rsidRPr="007C386B">
        <w:rPr>
          <w:rFonts w:ascii="Times New Roman" w:eastAsia="Times New Roman" w:hAnsi="Times New Roman" w:cs="Times New Roman"/>
          <w:color w:val="000000"/>
          <w:sz w:val="24"/>
          <w:szCs w:val="24"/>
        </w:rPr>
        <w:t xml:space="preserve">Baseline patient characteristics considered </w:t>
      </w:r>
      <w:r>
        <w:rPr>
          <w:rFonts w:ascii="Times New Roman" w:eastAsia="Times New Roman" w:hAnsi="Times New Roman" w:cs="Times New Roman"/>
          <w:color w:val="000000"/>
          <w:sz w:val="24"/>
          <w:szCs w:val="24"/>
        </w:rPr>
        <w:t xml:space="preserve">in multivariable modeling </w:t>
      </w:r>
      <w:r w:rsidRPr="007C386B">
        <w:rPr>
          <w:rFonts w:ascii="Times New Roman" w:eastAsia="Times New Roman" w:hAnsi="Times New Roman" w:cs="Times New Roman"/>
          <w:color w:val="000000"/>
          <w:sz w:val="24"/>
          <w:szCs w:val="24"/>
        </w:rPr>
        <w:t xml:space="preserve">included gender, ethnicity, race, age, </w:t>
      </w:r>
      <w:r>
        <w:rPr>
          <w:rFonts w:ascii="Times New Roman" w:eastAsia="Times New Roman" w:hAnsi="Times New Roman" w:cs="Times New Roman"/>
          <w:color w:val="000000"/>
          <w:sz w:val="24"/>
          <w:szCs w:val="24"/>
        </w:rPr>
        <w:t xml:space="preserve">and </w:t>
      </w:r>
      <w:r w:rsidRPr="007C386B">
        <w:rPr>
          <w:rFonts w:ascii="Times New Roman" w:eastAsia="Times New Roman" w:hAnsi="Times New Roman" w:cs="Times New Roman"/>
          <w:color w:val="000000"/>
          <w:sz w:val="24"/>
          <w:szCs w:val="24"/>
        </w:rPr>
        <w:t>weighted Elixhauser score</w:t>
      </w:r>
      <w:r w:rsidR="006C6212">
        <w:rPr>
          <w:rFonts w:ascii="Times New Roman" w:eastAsia="Times New Roman" w:hAnsi="Times New Roman" w:cs="Times New Roman"/>
          <w:color w:val="000000"/>
          <w:sz w:val="24"/>
          <w:szCs w:val="24"/>
        </w:rPr>
        <w:fldChar w:fldCharType="begin"/>
      </w:r>
      <w:r w:rsidR="006C6212">
        <w:rPr>
          <w:rFonts w:ascii="Times New Roman" w:eastAsia="Times New Roman" w:hAnsi="Times New Roman" w:cs="Times New Roman"/>
          <w:color w:val="000000"/>
          <w:sz w:val="24"/>
          <w:szCs w:val="24"/>
        </w:rPr>
        <w:instrText xml:space="preserve"> ADDIN EN.CITE &lt;EndNote&gt;&lt;Cite&gt;&lt;Author&gt;Thompson&lt;/Author&gt;&lt;Year&gt;2015&lt;/Year&gt;&lt;RecNum&gt;66&lt;/RecNum&gt;&lt;DisplayText&gt;&lt;style face="superscript"&gt;1&lt;/style&gt;&lt;/DisplayText&gt;&lt;record&gt;&lt;rec-number&gt;66&lt;/rec-number&gt;&lt;foreign-keys&gt;&lt;key app="EN" db-id="tdxtpsea0pxzasewrz7xdvzx20da9szppdfp" timestamp="1652204471"&gt;66&lt;/key&gt;&lt;/foreign-keys&gt;&lt;ref-type name="Journal Article"&gt;17&lt;/ref-type&gt;&lt;contributors&gt;&lt;authors&gt;&lt;author&gt;Thompson, Nicolas R.&lt;/author&gt;&lt;author&gt;Fan, Youran&lt;/author&gt;&lt;author&gt;Dalton, Jarrod E.&lt;/author&gt;&lt;author&gt;Jehi, Lara&lt;/author&gt;&lt;author&gt;Rosenbaum, Benjamin P.&lt;/author&gt;&lt;author&gt;Vadera, Sumeet&lt;/author&gt;&lt;author&gt;Griffith, Sandra D.&lt;/author&gt;&lt;/authors&gt;&lt;/contributors&gt;&lt;titles&gt;&lt;title&gt;A new Elixhauser-based comorbidity summary measure to predict in-hospital mortality&lt;/title&gt;&lt;secondary-title&gt;Medical care&lt;/secondary-title&gt;&lt;alt-title&gt;Med Care&lt;/alt-title&gt;&lt;/titles&gt;&lt;periodical&gt;&lt;full-title&gt;Medical care&lt;/full-title&gt;&lt;abbr-1&gt;Med Care&lt;/abbr-1&gt;&lt;/periodical&gt;&lt;alt-periodical&gt;&lt;full-title&gt;Medical care&lt;/full-title&gt;&lt;abbr-1&gt;Med Care&lt;/abbr-1&gt;&lt;/alt-periodical&gt;&lt;pages&gt;374-379&lt;/pages&gt;&lt;volume&gt;53&lt;/volume&gt;&lt;number&gt;4&lt;/number&gt;&lt;keywords&gt;&lt;keyword&gt;*Comorbidity&lt;/keyword&gt;&lt;keyword&gt;*Health Status Indicators&lt;/keyword&gt;&lt;keyword&gt;*Hospital Mortality&lt;/keyword&gt;&lt;keyword&gt;Humans&lt;/keyword&gt;&lt;keyword&gt;Inpatients&lt;/keyword&gt;&lt;keyword&gt;Maryland&lt;/keyword&gt;&lt;/keywords&gt;&lt;dates&gt;&lt;year&gt;2015&lt;/year&gt;&lt;/dates&gt;&lt;isbn&gt;1537-1948&amp;#xD;0025-7079&lt;/isbn&gt;&lt;accession-num&gt;25769057&lt;/accession-num&gt;&lt;urls&gt;&lt;related-urls&gt;&lt;url&gt;https://pubmed.ncbi.nlm.nih.gov/25769057&lt;/url&gt;&lt;url&gt;https://www.ncbi.nlm.nih.gov/pmc/articles/PMC4812819/&lt;/url&gt;&lt;/related-urls&gt;&lt;/urls&gt;&lt;electronic-resource-num&gt;10.1097/MLR.0000000000000326&lt;/electronic-resource-num&gt;&lt;remote-database-name&gt;PubMed&lt;/remote-database-name&gt;&lt;language&gt;eng&lt;/language&gt;&lt;/record&gt;&lt;/Cite&gt;&lt;/EndNote&gt;</w:instrText>
      </w:r>
      <w:r w:rsidR="006C6212">
        <w:rPr>
          <w:rFonts w:ascii="Times New Roman" w:eastAsia="Times New Roman" w:hAnsi="Times New Roman" w:cs="Times New Roman"/>
          <w:color w:val="000000"/>
          <w:sz w:val="24"/>
          <w:szCs w:val="24"/>
        </w:rPr>
        <w:fldChar w:fldCharType="separate"/>
      </w:r>
      <w:r w:rsidR="006C6212" w:rsidRPr="006C6212">
        <w:rPr>
          <w:rFonts w:ascii="Times New Roman" w:eastAsia="Times New Roman" w:hAnsi="Times New Roman" w:cs="Times New Roman"/>
          <w:noProof/>
          <w:color w:val="000000"/>
          <w:sz w:val="24"/>
          <w:szCs w:val="24"/>
          <w:vertAlign w:val="superscript"/>
        </w:rPr>
        <w:t>1</w:t>
      </w:r>
      <w:r w:rsidR="006C6212">
        <w:rPr>
          <w:rFonts w:ascii="Times New Roman" w:eastAsia="Times New Roman" w:hAnsi="Times New Roman" w:cs="Times New Roman"/>
          <w:color w:val="000000"/>
          <w:sz w:val="24"/>
          <w:szCs w:val="24"/>
        </w:rPr>
        <w:fldChar w:fldCharType="end"/>
      </w:r>
      <w:r w:rsidR="006C6212">
        <w:rPr>
          <w:rFonts w:ascii="Times New Roman" w:eastAsia="Times New Roman" w:hAnsi="Times New Roman" w:cs="Times New Roman"/>
          <w:color w:val="000000"/>
          <w:sz w:val="24"/>
          <w:szCs w:val="24"/>
        </w:rPr>
        <w:t xml:space="preserve"> </w:t>
      </w:r>
      <w:r w:rsidRPr="007C386B">
        <w:rPr>
          <w:rFonts w:ascii="Times New Roman" w:eastAsia="Times New Roman" w:hAnsi="Times New Roman" w:cs="Times New Roman"/>
          <w:color w:val="000000"/>
          <w:sz w:val="24"/>
          <w:szCs w:val="24"/>
        </w:rPr>
        <w:t xml:space="preserve">as well as individual variables </w:t>
      </w:r>
      <w:r>
        <w:rPr>
          <w:rFonts w:ascii="Times New Roman" w:eastAsia="Times New Roman" w:hAnsi="Times New Roman" w:cs="Times New Roman"/>
          <w:color w:val="000000"/>
          <w:sz w:val="24"/>
          <w:szCs w:val="24"/>
        </w:rPr>
        <w:t xml:space="preserve">contained </w:t>
      </w:r>
      <w:r w:rsidRPr="007C386B">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in</w:t>
      </w:r>
      <w:r w:rsidRPr="007C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weighted </w:t>
      </w:r>
      <w:r w:rsidRPr="007C386B">
        <w:rPr>
          <w:rFonts w:ascii="Times New Roman" w:eastAsia="Times New Roman" w:hAnsi="Times New Roman" w:cs="Times New Roman"/>
          <w:color w:val="000000"/>
          <w:sz w:val="24"/>
          <w:szCs w:val="24"/>
        </w:rPr>
        <w:t>Elixhauser</w:t>
      </w:r>
      <w:r>
        <w:rPr>
          <w:rFonts w:ascii="Times New Roman" w:eastAsia="Times New Roman" w:hAnsi="Times New Roman" w:cs="Times New Roman"/>
          <w:color w:val="000000"/>
          <w:sz w:val="24"/>
          <w:szCs w:val="24"/>
        </w:rPr>
        <w:t xml:space="preserve"> score but with a</w:t>
      </w:r>
      <w:r w:rsidRPr="007C386B">
        <w:rPr>
          <w:rFonts w:ascii="Times New Roman" w:eastAsia="Times New Roman" w:hAnsi="Times New Roman" w:cs="Times New Roman"/>
          <w:color w:val="000000"/>
          <w:sz w:val="24"/>
          <w:szCs w:val="24"/>
        </w:rPr>
        <w:t xml:space="preserve"> zero</w:t>
      </w:r>
      <w:r>
        <w:rPr>
          <w:rFonts w:ascii="Times New Roman" w:eastAsia="Times New Roman" w:hAnsi="Times New Roman" w:cs="Times New Roman"/>
          <w:color w:val="000000"/>
          <w:sz w:val="24"/>
          <w:szCs w:val="24"/>
        </w:rPr>
        <w:t xml:space="preserve"> contributing</w:t>
      </w:r>
      <w:r w:rsidRPr="007C386B">
        <w:rPr>
          <w:rFonts w:ascii="Times New Roman" w:eastAsia="Times New Roman" w:hAnsi="Times New Roman" w:cs="Times New Roman"/>
          <w:color w:val="000000"/>
          <w:sz w:val="24"/>
          <w:szCs w:val="24"/>
        </w:rPr>
        <w:t xml:space="preserve"> weight </w:t>
      </w:r>
      <w:r>
        <w:rPr>
          <w:rFonts w:ascii="Times New Roman" w:eastAsia="Times New Roman" w:hAnsi="Times New Roman" w:cs="Times New Roman"/>
          <w:color w:val="000000"/>
          <w:sz w:val="24"/>
          <w:szCs w:val="24"/>
        </w:rPr>
        <w:t>to</w:t>
      </w:r>
      <w:r w:rsidRPr="007C386B">
        <w:rPr>
          <w:rFonts w:ascii="Times New Roman" w:eastAsia="Times New Roman" w:hAnsi="Times New Roman" w:cs="Times New Roman"/>
          <w:color w:val="000000"/>
          <w:sz w:val="24"/>
          <w:szCs w:val="24"/>
        </w:rPr>
        <w:t xml:space="preserve"> this score, including hypertension, diabetes, hypothyroidism, peptic ulcer disease, HIV/AIDS, rheumatoid arthritis, alcohol abuse, and psychoses.</w:t>
      </w:r>
    </w:p>
    <w:p w14:paraId="0D52E0BA" w14:textId="084108C7" w:rsidR="0012604D" w:rsidRDefault="0012604D" w:rsidP="0012604D">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multivariable model for antibiotic initiation included </w:t>
      </w:r>
      <w:r w:rsidRPr="007C386B">
        <w:rPr>
          <w:rFonts w:ascii="Times New Roman" w:eastAsia="Times New Roman" w:hAnsi="Times New Roman" w:cs="Times New Roman"/>
          <w:color w:val="000000"/>
          <w:sz w:val="24"/>
          <w:szCs w:val="24"/>
        </w:rPr>
        <w:t>initial PCT (log</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transformed to normalize the left</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skewed distribution)</w:t>
      </w:r>
      <w:r>
        <w:rPr>
          <w:rFonts w:ascii="Times New Roman" w:eastAsia="Times New Roman" w:hAnsi="Times New Roman" w:cs="Times New Roman"/>
          <w:color w:val="000000"/>
          <w:sz w:val="24"/>
          <w:szCs w:val="24"/>
        </w:rPr>
        <w:t xml:space="preserve"> and </w:t>
      </w:r>
      <w:r w:rsidRPr="007C386B">
        <w:rPr>
          <w:rFonts w:ascii="Times New Roman" w:eastAsia="Times New Roman" w:hAnsi="Times New Roman" w:cs="Times New Roman"/>
          <w:color w:val="000000"/>
          <w:sz w:val="24"/>
          <w:szCs w:val="24"/>
        </w:rPr>
        <w:t xml:space="preserve">time from start of pandemic </w:t>
      </w:r>
      <w:r>
        <w:rPr>
          <w:rFonts w:ascii="Times New Roman" w:eastAsia="Times New Roman" w:hAnsi="Times New Roman" w:cs="Times New Roman"/>
          <w:color w:val="000000"/>
          <w:sz w:val="24"/>
          <w:szCs w:val="24"/>
        </w:rPr>
        <w:t>(March 1, 2020) as the main covariates of interest. M</w:t>
      </w:r>
      <w:r w:rsidRPr="007C386B">
        <w:rPr>
          <w:rFonts w:ascii="Times New Roman" w:eastAsia="Times New Roman" w:hAnsi="Times New Roman" w:cs="Times New Roman"/>
          <w:color w:val="000000"/>
          <w:sz w:val="24"/>
          <w:szCs w:val="24"/>
        </w:rPr>
        <w:t>ultivariable models</w:t>
      </w:r>
      <w:r>
        <w:rPr>
          <w:rFonts w:ascii="Times New Roman" w:eastAsia="Times New Roman" w:hAnsi="Times New Roman" w:cs="Times New Roman"/>
          <w:color w:val="000000"/>
          <w:sz w:val="24"/>
          <w:szCs w:val="24"/>
        </w:rPr>
        <w:t xml:space="preserve"> for antibiotic duration</w:t>
      </w:r>
      <w:r w:rsidRPr="007C38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antibiotic risk classes, survival, and length of stay included these covariates as well as </w:t>
      </w:r>
      <w:r w:rsidRPr="007C386B">
        <w:rPr>
          <w:rFonts w:ascii="Times New Roman" w:eastAsia="Times New Roman" w:hAnsi="Times New Roman" w:cs="Times New Roman"/>
          <w:color w:val="000000"/>
          <w:sz w:val="24"/>
          <w:szCs w:val="24"/>
        </w:rPr>
        <w:t>change in PCT over time</w:t>
      </w:r>
      <w:r>
        <w:rPr>
          <w:rFonts w:ascii="Times New Roman" w:eastAsia="Times New Roman" w:hAnsi="Times New Roman" w:cs="Times New Roman"/>
          <w:color w:val="000000"/>
          <w:sz w:val="24"/>
          <w:szCs w:val="24"/>
        </w:rPr>
        <w:t xml:space="preserve"> and </w:t>
      </w:r>
      <w:r w:rsidRPr="007C386B">
        <w:rPr>
          <w:rFonts w:ascii="Times New Roman" w:eastAsia="Times New Roman" w:hAnsi="Times New Roman" w:cs="Times New Roman"/>
          <w:color w:val="000000"/>
          <w:sz w:val="24"/>
          <w:szCs w:val="24"/>
        </w:rPr>
        <w:t>bPNA group</w:t>
      </w:r>
      <w:r>
        <w:rPr>
          <w:rFonts w:ascii="Times New Roman" w:eastAsia="Times New Roman" w:hAnsi="Times New Roman" w:cs="Times New Roman"/>
          <w:color w:val="000000"/>
          <w:sz w:val="24"/>
          <w:szCs w:val="24"/>
        </w:rPr>
        <w:t>. P</w:t>
      </w:r>
      <w:r w:rsidRPr="007C386B">
        <w:rPr>
          <w:rFonts w:ascii="Times New Roman" w:eastAsia="Times New Roman" w:hAnsi="Times New Roman" w:cs="Times New Roman"/>
          <w:color w:val="000000"/>
          <w:sz w:val="24"/>
          <w:szCs w:val="24"/>
        </w:rPr>
        <w:t>atient</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level baseline characteristics were</w:t>
      </w:r>
      <w:r>
        <w:rPr>
          <w:rFonts w:ascii="Times New Roman" w:eastAsia="Times New Roman" w:hAnsi="Times New Roman" w:cs="Times New Roman"/>
          <w:color w:val="000000"/>
          <w:sz w:val="24"/>
          <w:szCs w:val="24"/>
        </w:rPr>
        <w:t xml:space="preserve"> then added to the models</w:t>
      </w:r>
      <w:r w:rsidRPr="007C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Pr="007C386B">
        <w:rPr>
          <w:rFonts w:ascii="Times New Roman" w:eastAsia="Times New Roman" w:hAnsi="Times New Roman" w:cs="Times New Roman"/>
          <w:color w:val="000000"/>
          <w:sz w:val="24"/>
          <w:szCs w:val="24"/>
        </w:rPr>
        <w:t xml:space="preserve">assessed for their association with </w:t>
      </w:r>
      <w:r>
        <w:rPr>
          <w:rFonts w:ascii="Times New Roman" w:eastAsia="Times New Roman" w:hAnsi="Times New Roman" w:cs="Times New Roman"/>
          <w:color w:val="000000"/>
          <w:sz w:val="24"/>
          <w:szCs w:val="24"/>
        </w:rPr>
        <w:t>the outcome</w:t>
      </w:r>
      <w:r w:rsidRPr="007C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interest </w:t>
      </w:r>
      <w:r w:rsidRPr="007C386B">
        <w:rPr>
          <w:rFonts w:ascii="Times New Roman" w:eastAsia="Times New Roman" w:hAnsi="Times New Roman" w:cs="Times New Roman"/>
          <w:color w:val="000000"/>
          <w:sz w:val="24"/>
          <w:szCs w:val="24"/>
        </w:rPr>
        <w:t>and confounding effects</w:t>
      </w:r>
      <w:r>
        <w:rPr>
          <w:rFonts w:ascii="Times New Roman" w:eastAsia="Times New Roman" w:hAnsi="Times New Roman" w:cs="Times New Roman"/>
          <w:color w:val="000000"/>
          <w:sz w:val="24"/>
          <w:szCs w:val="24"/>
        </w:rPr>
        <w:t xml:space="preserve"> on other model covariates</w:t>
      </w:r>
      <w:r w:rsidRPr="007C386B">
        <w:rPr>
          <w:rFonts w:ascii="Times New Roman" w:eastAsia="Times New Roman" w:hAnsi="Times New Roman" w:cs="Times New Roman"/>
          <w:color w:val="000000"/>
          <w:sz w:val="24"/>
          <w:szCs w:val="24"/>
        </w:rPr>
        <w:t>. Change in PCT over time was derived from a mixed</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effect linear regression model with subject</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specific random intercepts and slopes. Log</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 xml:space="preserve">transformed PCT value </w:t>
      </w:r>
      <w:r>
        <w:rPr>
          <w:rFonts w:ascii="Times New Roman" w:eastAsia="Times New Roman" w:hAnsi="Times New Roman" w:cs="Times New Roman"/>
          <w:color w:val="000000"/>
          <w:sz w:val="24"/>
          <w:szCs w:val="24"/>
        </w:rPr>
        <w:t>was</w:t>
      </w:r>
      <w:r w:rsidRPr="007C386B">
        <w:rPr>
          <w:rFonts w:ascii="Times New Roman" w:eastAsia="Times New Roman" w:hAnsi="Times New Roman" w:cs="Times New Roman"/>
          <w:color w:val="000000"/>
          <w:sz w:val="24"/>
          <w:szCs w:val="24"/>
        </w:rPr>
        <w:t xml:space="preserve"> the outcome in this model and days from initial PCT </w:t>
      </w:r>
      <w:r>
        <w:rPr>
          <w:rFonts w:ascii="Times New Roman" w:eastAsia="Times New Roman" w:hAnsi="Times New Roman" w:cs="Times New Roman"/>
          <w:color w:val="000000"/>
          <w:sz w:val="24"/>
          <w:szCs w:val="24"/>
        </w:rPr>
        <w:t xml:space="preserve">test </w:t>
      </w:r>
      <w:r w:rsidRPr="007C386B">
        <w:rPr>
          <w:rFonts w:ascii="Times New Roman" w:eastAsia="Times New Roman" w:hAnsi="Times New Roman" w:cs="Times New Roman"/>
          <w:color w:val="000000"/>
          <w:sz w:val="24"/>
          <w:szCs w:val="24"/>
        </w:rPr>
        <w:t xml:space="preserve">was the </w:t>
      </w:r>
      <w:r>
        <w:rPr>
          <w:rFonts w:ascii="Times New Roman" w:eastAsia="Times New Roman" w:hAnsi="Times New Roman" w:cs="Times New Roman"/>
          <w:color w:val="000000"/>
          <w:sz w:val="24"/>
          <w:szCs w:val="24"/>
        </w:rPr>
        <w:t>independent variable</w:t>
      </w:r>
      <w:r w:rsidRPr="007C386B">
        <w:rPr>
          <w:rFonts w:ascii="Times New Roman" w:eastAsia="Times New Roman" w:hAnsi="Times New Roman" w:cs="Times New Roman"/>
          <w:color w:val="000000"/>
          <w:sz w:val="24"/>
          <w:szCs w:val="24"/>
        </w:rPr>
        <w:t>. Subject</w:t>
      </w:r>
      <w:r>
        <w:rPr>
          <w:rFonts w:ascii="Times New Roman" w:eastAsia="Times New Roman" w:hAnsi="Times New Roman" w:cs="Times New Roman"/>
          <w:color w:val="000000"/>
          <w:sz w:val="24"/>
          <w:szCs w:val="24"/>
        </w:rPr>
        <w:t>-</w:t>
      </w:r>
      <w:r w:rsidRPr="007C386B">
        <w:rPr>
          <w:rFonts w:ascii="Times New Roman" w:eastAsia="Times New Roman" w:hAnsi="Times New Roman" w:cs="Times New Roman"/>
          <w:color w:val="000000"/>
          <w:sz w:val="24"/>
          <w:szCs w:val="24"/>
        </w:rPr>
        <w:t xml:space="preserve">specific slopes were </w:t>
      </w:r>
      <w:r>
        <w:rPr>
          <w:rFonts w:ascii="Times New Roman" w:eastAsia="Times New Roman" w:hAnsi="Times New Roman" w:cs="Times New Roman"/>
          <w:color w:val="000000"/>
          <w:sz w:val="24"/>
          <w:szCs w:val="24"/>
        </w:rPr>
        <w:t>estimated</w:t>
      </w:r>
      <w:r w:rsidRPr="007C386B">
        <w:rPr>
          <w:rFonts w:ascii="Times New Roman" w:eastAsia="Times New Roman" w:hAnsi="Times New Roman" w:cs="Times New Roman"/>
          <w:color w:val="000000"/>
          <w:sz w:val="24"/>
          <w:szCs w:val="24"/>
        </w:rPr>
        <w:t xml:space="preserve"> and transformed to represent the estimated daily percentage change in PCT, which was then used as a covariate for</w:t>
      </w:r>
      <w:r>
        <w:rPr>
          <w:rFonts w:ascii="Times New Roman" w:eastAsia="Times New Roman" w:hAnsi="Times New Roman" w:cs="Times New Roman"/>
          <w:color w:val="000000"/>
          <w:sz w:val="24"/>
          <w:szCs w:val="24"/>
        </w:rPr>
        <w:t xml:space="preserve"> subsequent </w:t>
      </w:r>
      <w:r w:rsidRPr="007C386B">
        <w:rPr>
          <w:rFonts w:ascii="Times New Roman" w:eastAsia="Times New Roman" w:hAnsi="Times New Roman" w:cs="Times New Roman"/>
          <w:color w:val="000000"/>
          <w:sz w:val="24"/>
          <w:szCs w:val="24"/>
        </w:rPr>
        <w:t>analyses. A purposeful selection algorithm</w:t>
      </w:r>
      <w:r w:rsidRPr="007C386B">
        <w:rPr>
          <w:rFonts w:ascii="Times New Roman" w:eastAsia="Times New Roman" w:hAnsi="Times New Roman" w:cs="Times New Roman"/>
          <w:color w:val="000000"/>
          <w:sz w:val="24"/>
          <w:szCs w:val="24"/>
        </w:rPr>
        <w:fldChar w:fldCharType="begin"/>
      </w:r>
      <w:r w:rsidR="006C6212">
        <w:rPr>
          <w:rFonts w:ascii="Times New Roman" w:eastAsia="Times New Roman" w:hAnsi="Times New Roman" w:cs="Times New Roman"/>
          <w:color w:val="000000"/>
          <w:sz w:val="24"/>
          <w:szCs w:val="24"/>
        </w:rPr>
        <w:instrText xml:space="preserve"> ADDIN EN.CITE &lt;EndNote&gt;&lt;Cite&gt;&lt;Author&gt;Bursac&lt;/Author&gt;&lt;Year&gt;2008&lt;/Year&gt;&lt;RecNum&gt;68&lt;/RecNum&gt;&lt;DisplayText&gt;&lt;style face="superscript"&gt;2&lt;/style&gt;&lt;/DisplayText&gt;&lt;record&gt;&lt;rec-number&gt;68&lt;/rec-number&gt;&lt;foreign-keys&gt;&lt;key app="EN" db-id="tdxtpsea0pxzasewrz7xdvzx20da9szppdfp" timestamp="1652204563"&gt;68&lt;/key&gt;&lt;/foreign-keys&gt;&lt;ref-type name="Journal Article"&gt;17&lt;/ref-type&gt;&lt;contributors&gt;&lt;authors&gt;&lt;author&gt;Bursac, Zoran&lt;/author&gt;&lt;author&gt;Gauss, C. Heath&lt;/author&gt;&lt;author&gt;Williams, David Keith&lt;/author&gt;&lt;author&gt;Hosmer, David W.&lt;/author&gt;&lt;/authors&gt;&lt;/contributors&gt;&lt;titles&gt;&lt;title&gt;Purposeful selection of variables in logistic regression&lt;/title&gt;&lt;secondary-title&gt;Source Code for Biology and Medicine&lt;/secondary-title&gt;&lt;/titles&gt;&lt;periodical&gt;&lt;full-title&gt;Source Code for Biology and Medicine&lt;/full-title&gt;&lt;/periodical&gt;&lt;pages&gt;17&lt;/pages&gt;&lt;volume&gt;3&lt;/volume&gt;&lt;number&gt;1&lt;/number&gt;&lt;dates&gt;&lt;year&gt;2008&lt;/year&gt;&lt;pub-dates&gt;&lt;date&gt;2008/12/16&lt;/date&gt;&lt;/pub-dates&gt;&lt;/dates&gt;&lt;isbn&gt;1751-0473&lt;/isbn&gt;&lt;urls&gt;&lt;related-urls&gt;&lt;url&gt;https://doi.org/10.1186/1751-0473-3-17&lt;/url&gt;&lt;/related-urls&gt;&lt;/urls&gt;&lt;electronic-resource-num&gt;10.1186/1751-0473-3-17&lt;/electronic-resource-num&gt;&lt;/record&gt;&lt;/Cite&gt;&lt;/EndNote&gt;</w:instrText>
      </w:r>
      <w:r w:rsidRPr="007C386B">
        <w:rPr>
          <w:rFonts w:ascii="Times New Roman" w:eastAsia="Times New Roman" w:hAnsi="Times New Roman" w:cs="Times New Roman"/>
          <w:color w:val="000000"/>
          <w:sz w:val="24"/>
          <w:szCs w:val="24"/>
        </w:rPr>
        <w:fldChar w:fldCharType="separate"/>
      </w:r>
      <w:r w:rsidR="006C6212" w:rsidRPr="006C6212">
        <w:rPr>
          <w:rFonts w:ascii="Times New Roman" w:eastAsia="Times New Roman" w:hAnsi="Times New Roman" w:cs="Times New Roman"/>
          <w:noProof/>
          <w:color w:val="000000"/>
          <w:sz w:val="24"/>
          <w:szCs w:val="24"/>
          <w:vertAlign w:val="superscript"/>
        </w:rPr>
        <w:t>2</w:t>
      </w:r>
      <w:r w:rsidRPr="007C386B">
        <w:rPr>
          <w:rFonts w:ascii="Times New Roman" w:eastAsia="Times New Roman" w:hAnsi="Times New Roman" w:cs="Times New Roman"/>
          <w:color w:val="000000"/>
          <w:sz w:val="24"/>
          <w:szCs w:val="24"/>
        </w:rPr>
        <w:fldChar w:fldCharType="end"/>
      </w:r>
      <w:r w:rsidRPr="007C386B">
        <w:rPr>
          <w:rFonts w:ascii="Times New Roman" w:eastAsia="Times New Roman" w:hAnsi="Times New Roman" w:cs="Times New Roman"/>
          <w:color w:val="000000"/>
          <w:sz w:val="24"/>
          <w:szCs w:val="24"/>
        </w:rPr>
        <w:t xml:space="preserve"> was utilized to determine the final multivariable model. This process included </w:t>
      </w:r>
      <w:r w:rsidRPr="007C386B">
        <w:rPr>
          <w:rFonts w:ascii="Times New Roman" w:eastAsia="Times New Roman" w:hAnsi="Times New Roman" w:cs="Times New Roman"/>
          <w:color w:val="000000"/>
          <w:sz w:val="24"/>
          <w:szCs w:val="24"/>
        </w:rPr>
        <w:lastRenderedPageBreak/>
        <w:t>assessing univariable associations of covariates with the outcome of interest and retaining those with a p-value &gt;0.25 as candidate</w:t>
      </w:r>
      <w:r>
        <w:rPr>
          <w:rFonts w:ascii="Times New Roman" w:eastAsia="Times New Roman" w:hAnsi="Times New Roman" w:cs="Times New Roman"/>
          <w:color w:val="000000"/>
          <w:sz w:val="24"/>
          <w:szCs w:val="24"/>
        </w:rPr>
        <w:t>s</w:t>
      </w:r>
      <w:r w:rsidRPr="007C386B">
        <w:rPr>
          <w:rFonts w:ascii="Times New Roman" w:eastAsia="Times New Roman" w:hAnsi="Times New Roman" w:cs="Times New Roman"/>
          <w:color w:val="000000"/>
          <w:sz w:val="24"/>
          <w:szCs w:val="24"/>
        </w:rPr>
        <w:t xml:space="preserve"> for the final model. </w:t>
      </w:r>
      <w:bookmarkStart w:id="0" w:name="_Hlk109198811"/>
      <w:r>
        <w:rPr>
          <w:rFonts w:ascii="Times New Roman" w:eastAsia="Times New Roman" w:hAnsi="Times New Roman" w:cs="Times New Roman"/>
          <w:color w:val="000000"/>
          <w:sz w:val="24"/>
          <w:szCs w:val="24"/>
        </w:rPr>
        <w:t>Retained v</w:t>
      </w:r>
      <w:r w:rsidRPr="007C386B">
        <w:rPr>
          <w:rFonts w:ascii="Times New Roman" w:eastAsia="Times New Roman" w:hAnsi="Times New Roman" w:cs="Times New Roman"/>
          <w:color w:val="000000"/>
          <w:sz w:val="24"/>
          <w:szCs w:val="24"/>
        </w:rPr>
        <w:t xml:space="preserve">ariables were assessed for </w:t>
      </w:r>
      <w:r>
        <w:rPr>
          <w:rFonts w:ascii="Times New Roman" w:eastAsia="Times New Roman" w:hAnsi="Times New Roman" w:cs="Times New Roman"/>
          <w:color w:val="000000"/>
          <w:sz w:val="24"/>
          <w:szCs w:val="24"/>
        </w:rPr>
        <w:t xml:space="preserve">their individual </w:t>
      </w:r>
      <w:r w:rsidRPr="007C386B">
        <w:rPr>
          <w:rFonts w:ascii="Times New Roman" w:eastAsia="Times New Roman" w:hAnsi="Times New Roman" w:cs="Times New Roman"/>
          <w:color w:val="000000"/>
          <w:sz w:val="24"/>
          <w:szCs w:val="24"/>
        </w:rPr>
        <w:t>significance</w:t>
      </w:r>
      <w:r>
        <w:rPr>
          <w:rFonts w:ascii="Times New Roman" w:eastAsia="Times New Roman" w:hAnsi="Times New Roman" w:cs="Times New Roman"/>
          <w:color w:val="000000"/>
          <w:sz w:val="24"/>
          <w:szCs w:val="24"/>
        </w:rPr>
        <w:t xml:space="preserve"> as well as effects on other model covariates</w:t>
      </w:r>
      <w:r w:rsidRPr="007C386B">
        <w:rPr>
          <w:rFonts w:ascii="Times New Roman" w:eastAsia="Times New Roman" w:hAnsi="Times New Roman" w:cs="Times New Roman"/>
          <w:color w:val="000000"/>
          <w:sz w:val="24"/>
          <w:szCs w:val="24"/>
        </w:rPr>
        <w:t xml:space="preserve"> in a full multivariable model containing primary covariates of interest and all candidate predictors. Covariates with a p-value &lt;0.1 in the multivariable mode</w:t>
      </w:r>
      <w:r>
        <w:rPr>
          <w:rFonts w:ascii="Times New Roman" w:eastAsia="Times New Roman" w:hAnsi="Times New Roman" w:cs="Times New Roman"/>
          <w:color w:val="000000"/>
          <w:sz w:val="24"/>
          <w:szCs w:val="24"/>
        </w:rPr>
        <w:t>l</w:t>
      </w:r>
      <w:r w:rsidRPr="007C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7C386B">
        <w:rPr>
          <w:rFonts w:ascii="Times New Roman" w:eastAsia="Times New Roman" w:hAnsi="Times New Roman" w:cs="Times New Roman"/>
          <w:color w:val="000000"/>
          <w:sz w:val="24"/>
          <w:szCs w:val="24"/>
        </w:rPr>
        <w:t xml:space="preserve"> those whose exclusion from the model resulted in &gt;20% change in the parameter estimate of any other covariate</w:t>
      </w:r>
      <w:r>
        <w:rPr>
          <w:rFonts w:ascii="Times New Roman" w:eastAsia="Times New Roman" w:hAnsi="Times New Roman" w:cs="Times New Roman"/>
          <w:color w:val="000000"/>
          <w:sz w:val="24"/>
          <w:szCs w:val="24"/>
        </w:rPr>
        <w:t xml:space="preserve"> were retained</w:t>
      </w:r>
      <w:r w:rsidRPr="007C386B">
        <w:rPr>
          <w:rFonts w:ascii="Times New Roman" w:eastAsia="Times New Roman" w:hAnsi="Times New Roman" w:cs="Times New Roman"/>
          <w:color w:val="000000"/>
          <w:sz w:val="24"/>
          <w:szCs w:val="24"/>
        </w:rPr>
        <w:t xml:space="preserve">. </w:t>
      </w:r>
      <w:bookmarkEnd w:id="0"/>
    </w:p>
    <w:p w14:paraId="3F84087A" w14:textId="77777777" w:rsidR="0012604D" w:rsidRPr="00957223" w:rsidRDefault="0012604D" w:rsidP="0012604D">
      <w:pPr>
        <w:spacing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For secondary outcomes, a</w:t>
      </w:r>
      <w:r w:rsidRPr="007C386B">
        <w:rPr>
          <w:rFonts w:ascii="Times New Roman" w:hAnsi="Times New Roman" w:cs="Times New Roman"/>
          <w:sz w:val="24"/>
          <w:szCs w:val="24"/>
        </w:rPr>
        <w:t xml:space="preserve"> multivariable negative binomial model and Cox proportional hazards</w:t>
      </w:r>
      <w:r>
        <w:rPr>
          <w:rFonts w:ascii="Times New Roman" w:hAnsi="Times New Roman" w:cs="Times New Roman"/>
          <w:sz w:val="24"/>
          <w:szCs w:val="24"/>
        </w:rPr>
        <w:t xml:space="preserve"> </w:t>
      </w:r>
      <w:r w:rsidRPr="007C386B">
        <w:rPr>
          <w:rFonts w:ascii="Times New Roman" w:hAnsi="Times New Roman" w:cs="Times New Roman"/>
          <w:sz w:val="24"/>
          <w:szCs w:val="24"/>
        </w:rPr>
        <w:t>model, derived using the same purposeful selection algorithm as above, were used to assess associations between PCT and covariates with length of stay and survival, respectively. For secondary analyses, patients not initiated on antibiotics were classified as having no bPNA, as clinical suspicion for an underlying bacterial process was assumed to be very low when antibiotics were not begun.</w:t>
      </w:r>
    </w:p>
    <w:p w14:paraId="7104F726" w14:textId="77777777" w:rsidR="0012604D" w:rsidRDefault="0012604D" w:rsidP="000B40E3">
      <w:pPr>
        <w:rPr>
          <w:rFonts w:ascii="Times New Roman" w:hAnsi="Times New Roman" w:cs="Times New Roman"/>
          <w:b/>
          <w:bCs/>
          <w:sz w:val="24"/>
          <w:szCs w:val="24"/>
        </w:rPr>
      </w:pPr>
    </w:p>
    <w:p w14:paraId="41454558" w14:textId="2B26646C" w:rsidR="00E56B4D" w:rsidRDefault="00E56B4D" w:rsidP="000B40E3">
      <w:pPr>
        <w:rPr>
          <w:rFonts w:ascii="Times New Roman" w:hAnsi="Times New Roman" w:cs="Times New Roman"/>
          <w:b/>
          <w:bCs/>
          <w:sz w:val="24"/>
          <w:szCs w:val="24"/>
        </w:rPr>
      </w:pPr>
      <w:r>
        <w:rPr>
          <w:rFonts w:ascii="Times New Roman" w:hAnsi="Times New Roman" w:cs="Times New Roman"/>
          <w:b/>
          <w:bCs/>
          <w:sz w:val="24"/>
          <w:szCs w:val="24"/>
        </w:rPr>
        <w:t>Supplemental Table</w:t>
      </w:r>
      <w:r w:rsidRPr="007C386B">
        <w:rPr>
          <w:rFonts w:ascii="Times New Roman" w:hAnsi="Times New Roman" w:cs="Times New Roman"/>
          <w:b/>
          <w:bCs/>
          <w:sz w:val="24"/>
          <w:szCs w:val="24"/>
        </w:rPr>
        <w:t xml:space="preserve"> </w:t>
      </w:r>
      <w:r>
        <w:rPr>
          <w:rFonts w:ascii="Times New Roman" w:hAnsi="Times New Roman" w:cs="Times New Roman"/>
          <w:b/>
          <w:bCs/>
          <w:sz w:val="24"/>
          <w:szCs w:val="24"/>
        </w:rPr>
        <w:t>1</w:t>
      </w:r>
      <w:r w:rsidRPr="007C386B">
        <w:rPr>
          <w:rFonts w:ascii="Times New Roman" w:hAnsi="Times New Roman" w:cs="Times New Roman"/>
          <w:b/>
          <w:bCs/>
          <w:sz w:val="24"/>
          <w:szCs w:val="24"/>
        </w:rPr>
        <w:t>:</w:t>
      </w:r>
      <w:r>
        <w:rPr>
          <w:rFonts w:ascii="Times New Roman" w:hAnsi="Times New Roman" w:cs="Times New Roman"/>
          <w:b/>
          <w:bCs/>
          <w:sz w:val="24"/>
          <w:szCs w:val="24"/>
        </w:rPr>
        <w:t xml:space="preserve"> Bacterial pneumonia (bPNA) classification</w:t>
      </w:r>
    </w:p>
    <w:p w14:paraId="7AE75654" w14:textId="309F6DA2" w:rsidR="009236F7" w:rsidRPr="009236F7" w:rsidRDefault="009236F7" w:rsidP="009236F7">
      <w:pPr>
        <w:spacing w:line="480" w:lineRule="auto"/>
        <w:rPr>
          <w:rFonts w:ascii="Times New Roman" w:hAnsi="Times New Roman" w:cs="Times New Roman"/>
          <w:sz w:val="24"/>
          <w:szCs w:val="24"/>
        </w:rPr>
      </w:pPr>
      <w:r w:rsidRPr="007C386B">
        <w:rPr>
          <w:rFonts w:ascii="Times New Roman" w:hAnsi="Times New Roman" w:cs="Times New Roman"/>
          <w:sz w:val="24"/>
          <w:szCs w:val="24"/>
        </w:rPr>
        <w:t xml:space="preserve">In cases where a note was present in the chart from an infectious diseases physician prior to the time of a PCT lab resulting, the patient assessment in this note was also used to inform bPNA classification. Patient charts were </w:t>
      </w:r>
      <w:r>
        <w:rPr>
          <w:rFonts w:ascii="Times New Roman" w:hAnsi="Times New Roman" w:cs="Times New Roman"/>
          <w:sz w:val="24"/>
          <w:szCs w:val="24"/>
        </w:rPr>
        <w:t xml:space="preserve">each </w:t>
      </w:r>
      <w:r w:rsidRPr="007C386B">
        <w:rPr>
          <w:rFonts w:ascii="Times New Roman" w:hAnsi="Times New Roman" w:cs="Times New Roman"/>
          <w:sz w:val="24"/>
          <w:szCs w:val="24"/>
        </w:rPr>
        <w:t>evaluated independently by two reviewers</w:t>
      </w:r>
      <w:r>
        <w:rPr>
          <w:rFonts w:ascii="Times New Roman" w:hAnsi="Times New Roman" w:cs="Times New Roman"/>
          <w:sz w:val="24"/>
          <w:szCs w:val="24"/>
        </w:rPr>
        <w:t xml:space="preserve"> (AC, SC, &amp; ZC)</w:t>
      </w:r>
      <w:r w:rsidRPr="007C386B">
        <w:rPr>
          <w:rFonts w:ascii="Times New Roman" w:hAnsi="Times New Roman" w:cs="Times New Roman"/>
          <w:sz w:val="24"/>
          <w:szCs w:val="24"/>
        </w:rPr>
        <w:t xml:space="preserve">, with discrepant classifications adjudicated by an infectious diseases physician (KR). </w:t>
      </w: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4"/>
        <w:gridCol w:w="5241"/>
      </w:tblGrid>
      <w:tr w:rsidR="00E56B4D" w:rsidRPr="007C386B" w14:paraId="1A4848A7" w14:textId="4F38A12D" w:rsidTr="00E56B4D">
        <w:trPr>
          <w:trHeight w:val="391"/>
        </w:trPr>
        <w:tc>
          <w:tcPr>
            <w:tcW w:w="4934"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632E4E80" w14:textId="65C31FC5" w:rsidR="00E56B4D" w:rsidRPr="007C386B" w:rsidRDefault="00E56B4D" w:rsidP="00065A49">
            <w:pPr>
              <w:pStyle w:val="Normal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Clinical Criteria*</w:t>
            </w:r>
          </w:p>
        </w:tc>
        <w:tc>
          <w:tcPr>
            <w:tcW w:w="5241" w:type="dxa"/>
            <w:tcBorders>
              <w:top w:val="single" w:sz="6" w:space="0" w:color="000000"/>
              <w:left w:val="single" w:sz="6" w:space="0" w:color="000000"/>
              <w:bottom w:val="single" w:sz="6" w:space="0" w:color="000000"/>
              <w:right w:val="single" w:sz="6" w:space="0" w:color="000000"/>
            </w:tcBorders>
            <w:shd w:val="clear" w:color="auto" w:fill="BBBBBB"/>
          </w:tcPr>
          <w:p w14:paraId="4A8C27B2" w14:textId="78D9D558" w:rsidR="00E56B4D" w:rsidRDefault="00E56B4D" w:rsidP="00E56B4D">
            <w:pPr>
              <w:pStyle w:val="Normal1"/>
              <w:jc w:val="center"/>
              <w:rPr>
                <w:rFonts w:ascii="Times New Roman" w:hAnsi="Times New Roman" w:cs="Times New Roman"/>
                <w:b/>
                <w:bCs/>
                <w:color w:val="000000"/>
                <w:sz w:val="24"/>
                <w:szCs w:val="24"/>
              </w:rPr>
            </w:pPr>
            <w:r w:rsidRPr="00E56B4D">
              <w:rPr>
                <w:rFonts w:ascii="Times New Roman" w:hAnsi="Times New Roman" w:cs="Times New Roman"/>
                <w:b/>
                <w:bCs/>
                <w:color w:val="000000"/>
                <w:sz w:val="24"/>
                <w:szCs w:val="24"/>
              </w:rPr>
              <w:t>Microbiologic criteria</w:t>
            </w:r>
          </w:p>
        </w:tc>
      </w:tr>
      <w:tr w:rsidR="00E56B4D" w:rsidRPr="007C386B" w14:paraId="27F45F65" w14:textId="7DDBA42A" w:rsidTr="00E56B4D">
        <w:trPr>
          <w:trHeight w:val="401"/>
        </w:trPr>
        <w:tc>
          <w:tcPr>
            <w:tcW w:w="4934" w:type="dxa"/>
            <w:tcBorders>
              <w:top w:val="single" w:sz="6" w:space="0" w:color="000000"/>
              <w:left w:val="single" w:sz="6" w:space="0" w:color="000000"/>
              <w:bottom w:val="single" w:sz="6" w:space="0" w:color="000000"/>
              <w:right w:val="single" w:sz="6" w:space="0" w:color="000000"/>
            </w:tcBorders>
          </w:tcPr>
          <w:p w14:paraId="6217F446" w14:textId="57826326" w:rsidR="00E56B4D" w:rsidRPr="007C386B" w:rsidRDefault="00E56B4D" w:rsidP="00065A49">
            <w:pPr>
              <w:pStyle w:val="Normal1"/>
              <w:rPr>
                <w:rFonts w:ascii="Times New Roman" w:hAnsi="Times New Roman" w:cs="Times New Roman"/>
                <w:color w:val="000000"/>
                <w:sz w:val="24"/>
                <w:szCs w:val="24"/>
              </w:rPr>
            </w:pPr>
            <w:r>
              <w:rPr>
                <w:rFonts w:ascii="Times New Roman" w:hAnsi="Times New Roman" w:cs="Times New Roman"/>
                <w:sz w:val="24"/>
                <w:szCs w:val="24"/>
              </w:rPr>
              <w:t>F</w:t>
            </w:r>
            <w:r w:rsidRPr="007C386B">
              <w:rPr>
                <w:rFonts w:ascii="Times New Roman" w:hAnsi="Times New Roman" w:cs="Times New Roman"/>
                <w:sz w:val="24"/>
                <w:szCs w:val="24"/>
              </w:rPr>
              <w:t>ever (T&gt;38°) or hypothermia (T&lt;36°)</w:t>
            </w:r>
          </w:p>
        </w:tc>
        <w:tc>
          <w:tcPr>
            <w:tcW w:w="5241" w:type="dxa"/>
            <w:tcBorders>
              <w:top w:val="single" w:sz="6" w:space="0" w:color="000000"/>
              <w:left w:val="single" w:sz="6" w:space="0" w:color="000000"/>
              <w:bottom w:val="single" w:sz="6" w:space="0" w:color="000000"/>
              <w:right w:val="single" w:sz="6" w:space="0" w:color="000000"/>
            </w:tcBorders>
          </w:tcPr>
          <w:p w14:paraId="6E35CA8D" w14:textId="283F3199" w:rsidR="00E56B4D" w:rsidRDefault="00E56B4D" w:rsidP="00E56B4D">
            <w:pPr>
              <w:pStyle w:val="Normal1"/>
              <w:jc w:val="both"/>
              <w:rPr>
                <w:rFonts w:ascii="Times New Roman" w:hAnsi="Times New Roman" w:cs="Times New Roman"/>
                <w:sz w:val="24"/>
                <w:szCs w:val="24"/>
              </w:rPr>
            </w:pPr>
            <w:r>
              <w:rPr>
                <w:rFonts w:ascii="Times New Roman" w:hAnsi="Times New Roman" w:cs="Times New Roman"/>
                <w:sz w:val="24"/>
                <w:szCs w:val="24"/>
              </w:rPr>
              <w:t>P</w:t>
            </w:r>
            <w:r w:rsidRPr="007C386B">
              <w:rPr>
                <w:rFonts w:ascii="Times New Roman" w:hAnsi="Times New Roman" w:cs="Times New Roman"/>
                <w:sz w:val="24"/>
                <w:szCs w:val="24"/>
              </w:rPr>
              <w:t>athogen identified on a respiratory culture</w:t>
            </w:r>
          </w:p>
        </w:tc>
      </w:tr>
      <w:tr w:rsidR="00E56B4D" w:rsidRPr="007C386B" w14:paraId="39009CD5" w14:textId="20A887A0" w:rsidTr="00E56B4D">
        <w:trPr>
          <w:trHeight w:val="391"/>
        </w:trPr>
        <w:tc>
          <w:tcPr>
            <w:tcW w:w="4934" w:type="dxa"/>
            <w:tcBorders>
              <w:top w:val="single" w:sz="6" w:space="0" w:color="000000"/>
              <w:left w:val="single" w:sz="6" w:space="0" w:color="000000"/>
              <w:bottom w:val="single" w:sz="6" w:space="0" w:color="000000"/>
              <w:right w:val="single" w:sz="6" w:space="0" w:color="000000"/>
            </w:tcBorders>
          </w:tcPr>
          <w:p w14:paraId="64FC6933" w14:textId="43469F49" w:rsidR="00E56B4D" w:rsidRPr="007C386B" w:rsidRDefault="00E56B4D" w:rsidP="00065A49">
            <w:pPr>
              <w:pStyle w:val="Normal1"/>
              <w:rPr>
                <w:rFonts w:ascii="Times New Roman" w:hAnsi="Times New Roman" w:cs="Times New Roman"/>
                <w:color w:val="000000"/>
                <w:sz w:val="24"/>
                <w:szCs w:val="24"/>
              </w:rPr>
            </w:pPr>
            <w:r>
              <w:rPr>
                <w:rFonts w:ascii="Times New Roman" w:hAnsi="Times New Roman" w:cs="Times New Roman"/>
                <w:sz w:val="24"/>
                <w:szCs w:val="24"/>
              </w:rPr>
              <w:t>E</w:t>
            </w:r>
            <w:r w:rsidRPr="007C386B">
              <w:rPr>
                <w:rFonts w:ascii="Times New Roman" w:hAnsi="Times New Roman" w:cs="Times New Roman"/>
                <w:sz w:val="24"/>
                <w:szCs w:val="24"/>
              </w:rPr>
              <w:t>levated WBC count ≥12,000/mm</w:t>
            </w:r>
            <w:r w:rsidRPr="007C386B">
              <w:rPr>
                <w:rFonts w:ascii="Times New Roman" w:hAnsi="Times New Roman" w:cs="Times New Roman"/>
                <w:sz w:val="24"/>
                <w:szCs w:val="24"/>
                <w:vertAlign w:val="superscript"/>
              </w:rPr>
              <w:t>3</w:t>
            </w:r>
          </w:p>
        </w:tc>
        <w:tc>
          <w:tcPr>
            <w:tcW w:w="5241" w:type="dxa"/>
            <w:tcBorders>
              <w:top w:val="single" w:sz="6" w:space="0" w:color="000000"/>
              <w:left w:val="single" w:sz="6" w:space="0" w:color="000000"/>
              <w:bottom w:val="single" w:sz="6" w:space="0" w:color="000000"/>
              <w:right w:val="single" w:sz="6" w:space="0" w:color="000000"/>
            </w:tcBorders>
          </w:tcPr>
          <w:p w14:paraId="7C67B719" w14:textId="34086BB8" w:rsidR="00E56B4D" w:rsidRPr="00E56B4D" w:rsidRDefault="00E56B4D" w:rsidP="00E56B4D">
            <w:pPr>
              <w:pStyle w:val="Normal1"/>
              <w:jc w:val="both"/>
              <w:rPr>
                <w:rFonts w:ascii="Times New Roman" w:hAnsi="Times New Roman" w:cs="Times New Roman"/>
                <w:sz w:val="24"/>
                <w:szCs w:val="24"/>
              </w:rPr>
            </w:pPr>
            <w:r>
              <w:rPr>
                <w:rFonts w:ascii="Times New Roman" w:hAnsi="Times New Roman" w:cs="Times New Roman"/>
                <w:sz w:val="24"/>
                <w:szCs w:val="24"/>
              </w:rPr>
              <w:t>P</w:t>
            </w:r>
            <w:r w:rsidRPr="007C386B">
              <w:rPr>
                <w:rFonts w:ascii="Times New Roman" w:hAnsi="Times New Roman" w:cs="Times New Roman"/>
                <w:sz w:val="24"/>
                <w:szCs w:val="24"/>
              </w:rPr>
              <w:t xml:space="preserve">ositive </w:t>
            </w:r>
            <w:r w:rsidRPr="007C386B">
              <w:rPr>
                <w:rFonts w:ascii="Times New Roman" w:hAnsi="Times New Roman" w:cs="Times New Roman"/>
                <w:i/>
                <w:iCs/>
                <w:sz w:val="24"/>
                <w:szCs w:val="24"/>
              </w:rPr>
              <w:t>S. pneumoniae</w:t>
            </w:r>
            <w:r>
              <w:rPr>
                <w:rFonts w:ascii="Times New Roman" w:hAnsi="Times New Roman" w:cs="Times New Roman"/>
                <w:sz w:val="24"/>
                <w:szCs w:val="24"/>
              </w:rPr>
              <w:t xml:space="preserve"> </w:t>
            </w:r>
            <w:r w:rsidRPr="007C386B">
              <w:rPr>
                <w:rFonts w:ascii="Times New Roman" w:hAnsi="Times New Roman" w:cs="Times New Roman"/>
                <w:sz w:val="24"/>
                <w:szCs w:val="24"/>
              </w:rPr>
              <w:t>bacterial urinary antigen</w:t>
            </w:r>
          </w:p>
        </w:tc>
      </w:tr>
      <w:tr w:rsidR="00E56B4D" w:rsidRPr="007C386B" w14:paraId="405AF0E2" w14:textId="31E84034" w:rsidTr="00E56B4D">
        <w:trPr>
          <w:trHeight w:val="401"/>
        </w:trPr>
        <w:tc>
          <w:tcPr>
            <w:tcW w:w="4934" w:type="dxa"/>
            <w:tcBorders>
              <w:top w:val="single" w:sz="6" w:space="0" w:color="000000"/>
              <w:left w:val="single" w:sz="6" w:space="0" w:color="000000"/>
              <w:bottom w:val="single" w:sz="6" w:space="0" w:color="000000"/>
              <w:right w:val="single" w:sz="6" w:space="0" w:color="000000"/>
            </w:tcBorders>
          </w:tcPr>
          <w:p w14:paraId="678D70EB" w14:textId="272AD439" w:rsidR="00E56B4D" w:rsidRPr="007C386B" w:rsidRDefault="00E56B4D" w:rsidP="00E56B4D">
            <w:pPr>
              <w:pStyle w:val="Normal1"/>
              <w:rPr>
                <w:rFonts w:ascii="Times New Roman" w:hAnsi="Times New Roman" w:cs="Times New Roman"/>
                <w:color w:val="000000"/>
                <w:sz w:val="24"/>
                <w:szCs w:val="24"/>
              </w:rPr>
            </w:pPr>
            <w:r>
              <w:rPr>
                <w:rFonts w:ascii="Times New Roman" w:hAnsi="Times New Roman" w:cs="Times New Roman"/>
                <w:sz w:val="24"/>
                <w:szCs w:val="24"/>
              </w:rPr>
              <w:t>C</w:t>
            </w:r>
            <w:r w:rsidRPr="007C386B">
              <w:rPr>
                <w:rFonts w:ascii="Times New Roman" w:hAnsi="Times New Roman" w:cs="Times New Roman"/>
                <w:sz w:val="24"/>
                <w:szCs w:val="24"/>
              </w:rPr>
              <w:t>hest imaging consistent with bacterial infection</w:t>
            </w:r>
          </w:p>
        </w:tc>
        <w:tc>
          <w:tcPr>
            <w:tcW w:w="5241" w:type="dxa"/>
            <w:tcBorders>
              <w:top w:val="single" w:sz="6" w:space="0" w:color="000000"/>
              <w:left w:val="single" w:sz="6" w:space="0" w:color="000000"/>
              <w:bottom w:val="single" w:sz="6" w:space="0" w:color="000000"/>
              <w:right w:val="single" w:sz="6" w:space="0" w:color="000000"/>
            </w:tcBorders>
          </w:tcPr>
          <w:p w14:paraId="35F3EA20" w14:textId="4612BA08" w:rsidR="00E56B4D" w:rsidRDefault="00E56B4D" w:rsidP="00E56B4D">
            <w:pPr>
              <w:pStyle w:val="Normal1"/>
              <w:jc w:val="both"/>
              <w:rPr>
                <w:rFonts w:ascii="Times New Roman" w:hAnsi="Times New Roman" w:cs="Times New Roman"/>
                <w:sz w:val="24"/>
                <w:szCs w:val="24"/>
              </w:rPr>
            </w:pPr>
            <w:r>
              <w:rPr>
                <w:rFonts w:ascii="Times New Roman" w:hAnsi="Times New Roman" w:cs="Times New Roman"/>
                <w:sz w:val="24"/>
                <w:szCs w:val="24"/>
              </w:rPr>
              <w:t>P</w:t>
            </w:r>
            <w:r w:rsidRPr="007C386B">
              <w:rPr>
                <w:rFonts w:ascii="Times New Roman" w:hAnsi="Times New Roman" w:cs="Times New Roman"/>
                <w:sz w:val="24"/>
                <w:szCs w:val="24"/>
              </w:rPr>
              <w:t xml:space="preserve">ositive </w:t>
            </w:r>
            <w:r w:rsidRPr="007C386B">
              <w:rPr>
                <w:rFonts w:ascii="Times New Roman" w:hAnsi="Times New Roman" w:cs="Times New Roman"/>
                <w:i/>
                <w:iCs/>
                <w:sz w:val="24"/>
                <w:szCs w:val="24"/>
              </w:rPr>
              <w:t>Legionella</w:t>
            </w:r>
            <w:r w:rsidRPr="007C386B">
              <w:rPr>
                <w:rFonts w:ascii="Times New Roman" w:hAnsi="Times New Roman" w:cs="Times New Roman"/>
                <w:sz w:val="24"/>
                <w:szCs w:val="24"/>
              </w:rPr>
              <w:t xml:space="preserve"> bacterial urinary antigen</w:t>
            </w:r>
          </w:p>
        </w:tc>
      </w:tr>
      <w:tr w:rsidR="00E56B4D" w:rsidRPr="007C386B" w14:paraId="6641CB0C" w14:textId="6969A24B" w:rsidTr="00E56B4D">
        <w:trPr>
          <w:trHeight w:val="648"/>
        </w:trPr>
        <w:tc>
          <w:tcPr>
            <w:tcW w:w="4934" w:type="dxa"/>
            <w:tcBorders>
              <w:top w:val="single" w:sz="6" w:space="0" w:color="000000"/>
              <w:left w:val="single" w:sz="6" w:space="0" w:color="000000"/>
              <w:bottom w:val="single" w:sz="6" w:space="0" w:color="000000"/>
              <w:right w:val="single" w:sz="6" w:space="0" w:color="000000"/>
            </w:tcBorders>
          </w:tcPr>
          <w:p w14:paraId="7BD7E7F0" w14:textId="4CDBC090" w:rsidR="00E56B4D" w:rsidRPr="007C386B" w:rsidRDefault="00E56B4D" w:rsidP="00E56B4D">
            <w:pPr>
              <w:pStyle w:val="Normal1"/>
              <w:rPr>
                <w:rFonts w:ascii="Times New Roman" w:hAnsi="Times New Roman" w:cs="Times New Roman"/>
                <w:color w:val="000000"/>
                <w:sz w:val="24"/>
                <w:szCs w:val="24"/>
              </w:rPr>
            </w:pPr>
            <w:r>
              <w:rPr>
                <w:rFonts w:ascii="Times New Roman" w:hAnsi="Times New Roman" w:cs="Times New Roman"/>
                <w:sz w:val="24"/>
                <w:szCs w:val="24"/>
              </w:rPr>
              <w:t>N</w:t>
            </w:r>
            <w:r w:rsidRPr="007C386B">
              <w:rPr>
                <w:rFonts w:ascii="Times New Roman" w:hAnsi="Times New Roman" w:cs="Times New Roman"/>
                <w:sz w:val="24"/>
                <w:szCs w:val="24"/>
              </w:rPr>
              <w:t>eed for supplemental oxygen</w:t>
            </w:r>
            <w:r>
              <w:rPr>
                <w:rFonts w:ascii="Times New Roman" w:hAnsi="Times New Roman" w:cs="Times New Roman"/>
                <w:sz w:val="24"/>
                <w:szCs w:val="24"/>
              </w:rPr>
              <w:t xml:space="preserve"> or oxygen saturation &lt;90%</w:t>
            </w:r>
          </w:p>
        </w:tc>
        <w:tc>
          <w:tcPr>
            <w:tcW w:w="5241" w:type="dxa"/>
            <w:tcBorders>
              <w:top w:val="single" w:sz="6" w:space="0" w:color="000000"/>
              <w:left w:val="single" w:sz="6" w:space="0" w:color="000000"/>
              <w:bottom w:val="single" w:sz="6" w:space="0" w:color="000000"/>
              <w:right w:val="single" w:sz="6" w:space="0" w:color="000000"/>
            </w:tcBorders>
          </w:tcPr>
          <w:p w14:paraId="1483FAD4" w14:textId="77777777" w:rsidR="00E56B4D" w:rsidRDefault="00E56B4D" w:rsidP="00E56B4D">
            <w:pPr>
              <w:pStyle w:val="Normal1"/>
              <w:jc w:val="both"/>
              <w:rPr>
                <w:rFonts w:ascii="Times New Roman" w:hAnsi="Times New Roman" w:cs="Times New Roman"/>
                <w:sz w:val="24"/>
                <w:szCs w:val="24"/>
              </w:rPr>
            </w:pPr>
          </w:p>
        </w:tc>
      </w:tr>
      <w:tr w:rsidR="00E56B4D" w:rsidRPr="007C386B" w14:paraId="30556095" w14:textId="263A59DB" w:rsidTr="00E56B4D">
        <w:trPr>
          <w:trHeight w:val="391"/>
        </w:trPr>
        <w:tc>
          <w:tcPr>
            <w:tcW w:w="4934" w:type="dxa"/>
            <w:tcBorders>
              <w:top w:val="single" w:sz="6" w:space="0" w:color="000000"/>
              <w:left w:val="single" w:sz="6" w:space="0" w:color="000000"/>
              <w:bottom w:val="single" w:sz="6" w:space="0" w:color="000000"/>
              <w:right w:val="single" w:sz="6" w:space="0" w:color="000000"/>
            </w:tcBorders>
          </w:tcPr>
          <w:p w14:paraId="5B92F888" w14:textId="7258ACD1" w:rsidR="00E56B4D" w:rsidRDefault="00E56B4D" w:rsidP="00E56B4D">
            <w:pPr>
              <w:pStyle w:val="Normal1"/>
              <w:rPr>
                <w:rFonts w:ascii="Times New Roman" w:hAnsi="Times New Roman" w:cs="Times New Roman"/>
                <w:sz w:val="24"/>
                <w:szCs w:val="24"/>
              </w:rPr>
            </w:pPr>
            <w:r>
              <w:rPr>
                <w:rFonts w:ascii="Times New Roman" w:hAnsi="Times New Roman" w:cs="Times New Roman"/>
                <w:sz w:val="24"/>
                <w:szCs w:val="24"/>
              </w:rPr>
              <w:lastRenderedPageBreak/>
              <w:t>P</w:t>
            </w:r>
            <w:r w:rsidRPr="007C386B">
              <w:rPr>
                <w:rFonts w:ascii="Times New Roman" w:hAnsi="Times New Roman" w:cs="Times New Roman"/>
                <w:sz w:val="24"/>
                <w:szCs w:val="24"/>
              </w:rPr>
              <w:t>urulent sputum production</w:t>
            </w:r>
            <w:r>
              <w:rPr>
                <w:rFonts w:ascii="Times New Roman" w:hAnsi="Times New Roman" w:cs="Times New Roman"/>
                <w:sz w:val="24"/>
                <w:szCs w:val="24"/>
              </w:rPr>
              <w:t>**</w:t>
            </w:r>
          </w:p>
        </w:tc>
        <w:tc>
          <w:tcPr>
            <w:tcW w:w="5241" w:type="dxa"/>
            <w:tcBorders>
              <w:top w:val="single" w:sz="6" w:space="0" w:color="000000"/>
              <w:left w:val="single" w:sz="6" w:space="0" w:color="000000"/>
              <w:bottom w:val="single" w:sz="6" w:space="0" w:color="000000"/>
              <w:right w:val="single" w:sz="6" w:space="0" w:color="000000"/>
            </w:tcBorders>
          </w:tcPr>
          <w:p w14:paraId="2795DAEF" w14:textId="77777777" w:rsidR="00E56B4D" w:rsidRDefault="00E56B4D" w:rsidP="00E56B4D">
            <w:pPr>
              <w:pStyle w:val="Normal1"/>
              <w:jc w:val="both"/>
              <w:rPr>
                <w:rFonts w:ascii="Times New Roman" w:hAnsi="Times New Roman" w:cs="Times New Roman"/>
                <w:sz w:val="24"/>
                <w:szCs w:val="24"/>
              </w:rPr>
            </w:pPr>
          </w:p>
        </w:tc>
      </w:tr>
    </w:tbl>
    <w:p w14:paraId="22CF2C07" w14:textId="4EEAB5B4" w:rsidR="00E56B4D" w:rsidRDefault="00E56B4D" w:rsidP="00E56B4D">
      <w:pPr>
        <w:spacing w:after="0"/>
        <w:rPr>
          <w:rFonts w:ascii="Times New Roman" w:hAnsi="Times New Roman" w:cs="Times New Roman"/>
          <w:b/>
          <w:bCs/>
          <w:sz w:val="16"/>
          <w:szCs w:val="16"/>
        </w:rPr>
      </w:pPr>
      <w:r>
        <w:rPr>
          <w:rFonts w:ascii="Times New Roman" w:hAnsi="Times New Roman" w:cs="Times New Roman"/>
          <w:b/>
          <w:bCs/>
          <w:sz w:val="16"/>
          <w:szCs w:val="16"/>
        </w:rPr>
        <w:t>*Present in 1</w:t>
      </w:r>
      <w:r w:rsidRPr="00E56B4D">
        <w:rPr>
          <w:rFonts w:ascii="Times New Roman" w:hAnsi="Times New Roman" w:cs="Times New Roman"/>
          <w:b/>
          <w:bCs/>
          <w:sz w:val="16"/>
          <w:szCs w:val="16"/>
          <w:vertAlign w:val="superscript"/>
        </w:rPr>
        <w:t>st</w:t>
      </w:r>
      <w:r>
        <w:rPr>
          <w:rFonts w:ascii="Times New Roman" w:hAnsi="Times New Roman" w:cs="Times New Roman"/>
          <w:b/>
          <w:bCs/>
          <w:sz w:val="16"/>
          <w:szCs w:val="16"/>
        </w:rPr>
        <w:t xml:space="preserve"> 48 hours of hospital presentation</w:t>
      </w:r>
    </w:p>
    <w:p w14:paraId="1D499AD3" w14:textId="64E52921" w:rsidR="00E56B4D" w:rsidRPr="00E56B4D" w:rsidRDefault="00E56B4D" w:rsidP="00E56B4D">
      <w:pPr>
        <w:spacing w:after="0"/>
        <w:rPr>
          <w:rFonts w:ascii="Times New Roman" w:hAnsi="Times New Roman" w:cs="Times New Roman"/>
          <w:b/>
          <w:bCs/>
          <w:sz w:val="16"/>
          <w:szCs w:val="16"/>
        </w:rPr>
      </w:pPr>
      <w:r>
        <w:rPr>
          <w:rFonts w:ascii="Times New Roman" w:hAnsi="Times New Roman" w:cs="Times New Roman"/>
          <w:b/>
          <w:bCs/>
          <w:sz w:val="16"/>
          <w:szCs w:val="16"/>
        </w:rPr>
        <w:t>**</w:t>
      </w:r>
      <w:r w:rsidRPr="00E56B4D">
        <w:rPr>
          <w:rFonts w:ascii="Times New Roman" w:hAnsi="Times New Roman" w:cs="Times New Roman"/>
          <w:sz w:val="16"/>
          <w:szCs w:val="16"/>
        </w:rPr>
        <w:t>A</w:t>
      </w:r>
      <w:r w:rsidRPr="00E56B4D">
        <w:rPr>
          <w:rFonts w:ascii="Times New Roman" w:hAnsi="Times New Roman" w:cs="Times New Roman"/>
          <w:b/>
          <w:bCs/>
          <w:sz w:val="16"/>
          <w:szCs w:val="16"/>
        </w:rPr>
        <w:t>t least moderate PMNs on sputum Gram stain</w:t>
      </w:r>
    </w:p>
    <w:p w14:paraId="480388AD" w14:textId="77777777" w:rsidR="00E56B4D" w:rsidRDefault="00E56B4D" w:rsidP="00E56B4D">
      <w:pPr>
        <w:spacing w:after="0" w:line="240" w:lineRule="auto"/>
        <w:rPr>
          <w:rFonts w:ascii="Times New Roman" w:hAnsi="Times New Roman" w:cs="Times New Roman"/>
          <w:b/>
          <w:bCs/>
          <w:sz w:val="24"/>
          <w:szCs w:val="24"/>
        </w:rPr>
      </w:pPr>
    </w:p>
    <w:p w14:paraId="320BB4C6" w14:textId="7D873B86" w:rsidR="00E56B4D" w:rsidRDefault="00E56B4D" w:rsidP="00E56B4D">
      <w:pPr>
        <w:spacing w:after="0" w:line="240" w:lineRule="auto"/>
        <w:rPr>
          <w:rFonts w:ascii="Times New Roman" w:hAnsi="Times New Roman" w:cs="Times New Roman"/>
          <w:sz w:val="24"/>
          <w:szCs w:val="24"/>
        </w:rPr>
      </w:pPr>
      <w:r w:rsidRPr="00E56B4D">
        <w:rPr>
          <w:rFonts w:ascii="Times New Roman" w:hAnsi="Times New Roman" w:cs="Times New Roman"/>
          <w:b/>
          <w:bCs/>
          <w:sz w:val="24"/>
          <w:szCs w:val="24"/>
        </w:rPr>
        <w:t>Proven bPNA</w:t>
      </w:r>
      <w:r>
        <w:rPr>
          <w:rFonts w:ascii="Times New Roman" w:hAnsi="Times New Roman" w:cs="Times New Roman"/>
          <w:sz w:val="24"/>
          <w:szCs w:val="24"/>
        </w:rPr>
        <w:t>:</w:t>
      </w:r>
      <w:r w:rsidRPr="007C386B">
        <w:rPr>
          <w:rFonts w:ascii="Times New Roman" w:hAnsi="Times New Roman" w:cs="Times New Roman"/>
          <w:sz w:val="24"/>
          <w:szCs w:val="24"/>
        </w:rPr>
        <w:t xml:space="preserve"> met </w:t>
      </w:r>
      <w:r>
        <w:rPr>
          <w:rFonts w:ascii="Times New Roman" w:hAnsi="Times New Roman" w:cs="Times New Roman"/>
          <w:sz w:val="24"/>
          <w:szCs w:val="24"/>
        </w:rPr>
        <w:t>all</w:t>
      </w:r>
      <w:r w:rsidRPr="007C386B">
        <w:rPr>
          <w:rFonts w:ascii="Times New Roman" w:hAnsi="Times New Roman" w:cs="Times New Roman"/>
          <w:sz w:val="24"/>
          <w:szCs w:val="24"/>
        </w:rPr>
        <w:t xml:space="preserve"> clinical and </w:t>
      </w:r>
      <w:r>
        <w:rPr>
          <w:rFonts w:ascii="Times New Roman" w:hAnsi="Times New Roman" w:cs="Times New Roman"/>
          <w:sz w:val="24"/>
          <w:szCs w:val="24"/>
        </w:rPr>
        <w:t xml:space="preserve">at least one </w:t>
      </w:r>
      <w:r w:rsidRPr="007C386B">
        <w:rPr>
          <w:rFonts w:ascii="Times New Roman" w:hAnsi="Times New Roman" w:cs="Times New Roman"/>
          <w:sz w:val="24"/>
          <w:szCs w:val="24"/>
        </w:rPr>
        <w:t>microbiologic criterion</w:t>
      </w:r>
    </w:p>
    <w:p w14:paraId="1C006D52" w14:textId="77777777" w:rsidR="00E56B4D" w:rsidRDefault="00E56B4D" w:rsidP="00E56B4D">
      <w:pPr>
        <w:spacing w:after="0" w:line="240" w:lineRule="auto"/>
        <w:rPr>
          <w:rFonts w:ascii="Times New Roman" w:hAnsi="Times New Roman" w:cs="Times New Roman"/>
          <w:sz w:val="24"/>
          <w:szCs w:val="24"/>
        </w:rPr>
      </w:pPr>
    </w:p>
    <w:p w14:paraId="50984D53" w14:textId="576E997C" w:rsidR="00E56B4D" w:rsidRDefault="00E56B4D" w:rsidP="00E56B4D">
      <w:pPr>
        <w:spacing w:after="0" w:line="240" w:lineRule="auto"/>
        <w:rPr>
          <w:rFonts w:ascii="Times New Roman" w:hAnsi="Times New Roman" w:cs="Times New Roman"/>
          <w:sz w:val="24"/>
          <w:szCs w:val="24"/>
        </w:rPr>
      </w:pPr>
      <w:r w:rsidRPr="00E56B4D">
        <w:rPr>
          <w:rFonts w:ascii="Times New Roman" w:hAnsi="Times New Roman" w:cs="Times New Roman"/>
          <w:b/>
          <w:bCs/>
          <w:sz w:val="24"/>
          <w:szCs w:val="24"/>
        </w:rPr>
        <w:t>Probable bPNA</w:t>
      </w:r>
      <w:r>
        <w:rPr>
          <w:rFonts w:ascii="Times New Roman" w:hAnsi="Times New Roman" w:cs="Times New Roman"/>
          <w:sz w:val="24"/>
          <w:szCs w:val="24"/>
        </w:rPr>
        <w:t xml:space="preserve">: </w:t>
      </w:r>
      <w:r w:rsidRPr="007C386B">
        <w:rPr>
          <w:rFonts w:ascii="Times New Roman" w:hAnsi="Times New Roman" w:cs="Times New Roman"/>
          <w:sz w:val="24"/>
          <w:szCs w:val="24"/>
        </w:rPr>
        <w:t xml:space="preserve">met </w:t>
      </w:r>
      <w:r>
        <w:rPr>
          <w:rFonts w:ascii="Times New Roman" w:hAnsi="Times New Roman" w:cs="Times New Roman"/>
          <w:sz w:val="24"/>
          <w:szCs w:val="24"/>
        </w:rPr>
        <w:t xml:space="preserve">all </w:t>
      </w:r>
      <w:r w:rsidRPr="007C386B">
        <w:rPr>
          <w:rFonts w:ascii="Times New Roman" w:hAnsi="Times New Roman" w:cs="Times New Roman"/>
          <w:sz w:val="24"/>
          <w:szCs w:val="24"/>
        </w:rPr>
        <w:t>clinical</w:t>
      </w:r>
      <w:r>
        <w:rPr>
          <w:rFonts w:ascii="Times New Roman" w:hAnsi="Times New Roman" w:cs="Times New Roman"/>
          <w:sz w:val="24"/>
          <w:szCs w:val="24"/>
        </w:rPr>
        <w:t xml:space="preserve"> criteria</w:t>
      </w:r>
      <w:r w:rsidRPr="007C386B">
        <w:rPr>
          <w:rFonts w:ascii="Times New Roman" w:hAnsi="Times New Roman" w:cs="Times New Roman"/>
          <w:sz w:val="24"/>
          <w:szCs w:val="24"/>
        </w:rPr>
        <w:t xml:space="preserve"> but </w:t>
      </w:r>
      <w:r>
        <w:rPr>
          <w:rFonts w:ascii="Times New Roman" w:hAnsi="Times New Roman" w:cs="Times New Roman"/>
          <w:sz w:val="24"/>
          <w:szCs w:val="24"/>
        </w:rPr>
        <w:t xml:space="preserve">had </w:t>
      </w:r>
      <w:r w:rsidRPr="007C386B">
        <w:rPr>
          <w:rFonts w:ascii="Times New Roman" w:hAnsi="Times New Roman" w:cs="Times New Roman"/>
          <w:sz w:val="24"/>
          <w:szCs w:val="24"/>
        </w:rPr>
        <w:t>no microbiologic criteria and had clinical improvement on antibiotics within 48-72 hours</w:t>
      </w:r>
    </w:p>
    <w:p w14:paraId="49031AD0" w14:textId="77777777" w:rsidR="00E56B4D" w:rsidRDefault="00E56B4D" w:rsidP="00E56B4D">
      <w:pPr>
        <w:spacing w:after="0" w:line="240" w:lineRule="auto"/>
        <w:rPr>
          <w:rFonts w:ascii="Times New Roman" w:hAnsi="Times New Roman" w:cs="Times New Roman"/>
          <w:sz w:val="24"/>
          <w:szCs w:val="24"/>
        </w:rPr>
      </w:pPr>
    </w:p>
    <w:p w14:paraId="4F54A7BE" w14:textId="17288591" w:rsidR="00E56B4D" w:rsidRDefault="00E56B4D" w:rsidP="00E56B4D">
      <w:pPr>
        <w:spacing w:after="0" w:line="240" w:lineRule="auto"/>
        <w:rPr>
          <w:rFonts w:ascii="Times New Roman" w:hAnsi="Times New Roman" w:cs="Times New Roman"/>
          <w:sz w:val="24"/>
          <w:szCs w:val="24"/>
        </w:rPr>
      </w:pPr>
      <w:r w:rsidRPr="00E56B4D">
        <w:rPr>
          <w:rFonts w:ascii="Times New Roman" w:hAnsi="Times New Roman" w:cs="Times New Roman"/>
          <w:b/>
          <w:bCs/>
          <w:sz w:val="24"/>
          <w:szCs w:val="24"/>
        </w:rPr>
        <w:t>Possible bPNA</w:t>
      </w:r>
      <w:r>
        <w:rPr>
          <w:rFonts w:ascii="Times New Roman" w:hAnsi="Times New Roman" w:cs="Times New Roman"/>
          <w:sz w:val="24"/>
          <w:szCs w:val="24"/>
        </w:rPr>
        <w:t>: met</w:t>
      </w:r>
      <w:r w:rsidRPr="007C386B">
        <w:rPr>
          <w:rFonts w:ascii="Times New Roman" w:hAnsi="Times New Roman" w:cs="Times New Roman"/>
          <w:sz w:val="24"/>
          <w:szCs w:val="24"/>
        </w:rPr>
        <w:t xml:space="preserve"> at least one clinical criterion </w:t>
      </w:r>
      <w:r>
        <w:rPr>
          <w:rFonts w:ascii="Times New Roman" w:hAnsi="Times New Roman" w:cs="Times New Roman"/>
          <w:sz w:val="24"/>
          <w:szCs w:val="24"/>
        </w:rPr>
        <w:t xml:space="preserve">(except </w:t>
      </w:r>
      <w:r w:rsidRPr="007C386B">
        <w:rPr>
          <w:rFonts w:ascii="Times New Roman" w:hAnsi="Times New Roman" w:cs="Times New Roman"/>
          <w:sz w:val="24"/>
          <w:szCs w:val="24"/>
        </w:rPr>
        <w:t>hypoxia alone</w:t>
      </w:r>
      <w:r>
        <w:rPr>
          <w:rFonts w:ascii="Times New Roman" w:hAnsi="Times New Roman" w:cs="Times New Roman"/>
          <w:sz w:val="24"/>
          <w:szCs w:val="24"/>
        </w:rPr>
        <w:t>,</w:t>
      </w:r>
      <w:r w:rsidRPr="007C386B">
        <w:rPr>
          <w:rFonts w:ascii="Times New Roman" w:hAnsi="Times New Roman" w:cs="Times New Roman"/>
          <w:sz w:val="24"/>
          <w:szCs w:val="24"/>
        </w:rPr>
        <w:t xml:space="preserve"> as this was the presenting symptom for nearly all patients with COVID-19</w:t>
      </w:r>
      <w:r>
        <w:rPr>
          <w:rFonts w:ascii="Times New Roman" w:hAnsi="Times New Roman" w:cs="Times New Roman"/>
          <w:sz w:val="24"/>
          <w:szCs w:val="24"/>
        </w:rPr>
        <w:t>)</w:t>
      </w:r>
    </w:p>
    <w:p w14:paraId="0898C3A7" w14:textId="77777777" w:rsidR="00E56B4D" w:rsidRDefault="00E56B4D" w:rsidP="00E56B4D">
      <w:pPr>
        <w:spacing w:after="0" w:line="240" w:lineRule="auto"/>
        <w:rPr>
          <w:rFonts w:ascii="Times New Roman" w:hAnsi="Times New Roman" w:cs="Times New Roman"/>
          <w:sz w:val="24"/>
          <w:szCs w:val="24"/>
        </w:rPr>
      </w:pPr>
    </w:p>
    <w:p w14:paraId="70506B16" w14:textId="67968514" w:rsidR="00E56B4D" w:rsidRDefault="00E56B4D" w:rsidP="00E56B4D">
      <w:pPr>
        <w:spacing w:after="0" w:line="240" w:lineRule="auto"/>
        <w:rPr>
          <w:rFonts w:ascii="Times New Roman" w:hAnsi="Times New Roman" w:cs="Times New Roman"/>
          <w:sz w:val="24"/>
          <w:szCs w:val="24"/>
        </w:rPr>
      </w:pPr>
      <w:r w:rsidRPr="00E56B4D">
        <w:rPr>
          <w:rFonts w:ascii="Times New Roman" w:hAnsi="Times New Roman" w:cs="Times New Roman"/>
          <w:b/>
          <w:bCs/>
          <w:sz w:val="24"/>
          <w:szCs w:val="24"/>
        </w:rPr>
        <w:t>No bPNA</w:t>
      </w:r>
      <w:r>
        <w:rPr>
          <w:rFonts w:ascii="Times New Roman" w:hAnsi="Times New Roman" w:cs="Times New Roman"/>
          <w:sz w:val="24"/>
          <w:szCs w:val="24"/>
        </w:rPr>
        <w:t>: met</w:t>
      </w:r>
      <w:r w:rsidRPr="007C386B">
        <w:rPr>
          <w:rFonts w:ascii="Times New Roman" w:hAnsi="Times New Roman" w:cs="Times New Roman"/>
          <w:sz w:val="24"/>
          <w:szCs w:val="24"/>
        </w:rPr>
        <w:t xml:space="preserve"> no clinical or microbiologic criteria or had hypoxia alone as their presenting symptom </w:t>
      </w:r>
    </w:p>
    <w:p w14:paraId="176B2827" w14:textId="77777777" w:rsidR="00C078C3" w:rsidRPr="00C078C3" w:rsidRDefault="00C078C3" w:rsidP="00E56B4D">
      <w:pPr>
        <w:spacing w:line="480" w:lineRule="auto"/>
        <w:rPr>
          <w:rFonts w:ascii="Times New Roman" w:hAnsi="Times New Roman" w:cs="Times New Roman"/>
          <w:sz w:val="24"/>
          <w:szCs w:val="24"/>
        </w:rPr>
      </w:pPr>
    </w:p>
    <w:p w14:paraId="45914CBA" w14:textId="18AD1D38" w:rsidR="003B6628" w:rsidRDefault="003B6628" w:rsidP="00E56B4D">
      <w:pPr>
        <w:spacing w:line="480" w:lineRule="auto"/>
        <w:rPr>
          <w:rFonts w:ascii="Times New Roman" w:hAnsi="Times New Roman" w:cs="Times New Roman"/>
          <w:b/>
          <w:bCs/>
          <w:sz w:val="24"/>
          <w:szCs w:val="24"/>
        </w:rPr>
      </w:pPr>
      <w:r>
        <w:rPr>
          <w:rFonts w:ascii="Times New Roman" w:hAnsi="Times New Roman" w:cs="Times New Roman"/>
          <w:b/>
          <w:bCs/>
          <w:sz w:val="24"/>
          <w:szCs w:val="24"/>
        </w:rPr>
        <w:t>Supplemental Table 2: Antibiotic Risk Classification</w:t>
      </w:r>
    </w:p>
    <w:p w14:paraId="4446B666" w14:textId="697636E4" w:rsidR="00A073E6" w:rsidRPr="00A073E6" w:rsidRDefault="00A073E6" w:rsidP="00E56B4D">
      <w:pPr>
        <w:spacing w:line="480" w:lineRule="auto"/>
        <w:rPr>
          <w:rFonts w:ascii="Times New Roman" w:hAnsi="Times New Roman" w:cs="Times New Roman"/>
          <w:sz w:val="24"/>
          <w:szCs w:val="24"/>
        </w:rPr>
      </w:pPr>
      <w:r>
        <w:rPr>
          <w:rFonts w:ascii="Times New Roman" w:hAnsi="Times New Roman" w:cs="Times New Roman"/>
          <w:sz w:val="24"/>
          <w:szCs w:val="24"/>
        </w:rPr>
        <w:t xml:space="preserve">Antibiotics were classified into three risk categories based on published epidemiological data on their strength of association with </w:t>
      </w:r>
      <w:r w:rsidRPr="00A073E6">
        <w:rPr>
          <w:rFonts w:ascii="Times New Roman" w:hAnsi="Times New Roman" w:cs="Times New Roman"/>
          <w:i/>
          <w:iCs/>
          <w:sz w:val="24"/>
          <w:szCs w:val="24"/>
        </w:rPr>
        <w:t>Clostridium difficile</w:t>
      </w:r>
      <w:r>
        <w:rPr>
          <w:rFonts w:ascii="Times New Roman" w:hAnsi="Times New Roman" w:cs="Times New Roman"/>
          <w:sz w:val="24"/>
          <w:szCs w:val="24"/>
        </w:rPr>
        <w:t xml:space="preserve"> infection</w:t>
      </w:r>
      <w:r w:rsidR="00582F5C">
        <w:rPr>
          <w:rFonts w:ascii="Times New Roman" w:hAnsi="Times New Roman" w:cs="Times New Roman"/>
          <w:sz w:val="24"/>
          <w:szCs w:val="24"/>
        </w:rPr>
        <w:t>.</w:t>
      </w:r>
      <w:r w:rsidR="0029721A">
        <w:rPr>
          <w:rFonts w:ascii="Times New Roman" w:hAnsi="Times New Roman" w:cs="Times New Roman"/>
          <w:sz w:val="24"/>
          <w:szCs w:val="24"/>
        </w:rPr>
        <w:fldChar w:fldCharType="begin">
          <w:fldData xml:space="preserve">PEVuZE5vdGU+PENpdGU+PEF1dGhvcj5CYWdnczwvQXV0aG9yPjxZZWFyPjIwMTc8L1llYXI+PFJl
Y051bT45MTwvUmVjTnVtPjxEaXNwbGF5VGV4dD48c3R5bGUgZmFjZT0ic3VwZXJzY3JpcHQiPjMt
Njwvc3R5bGU+PC9EaXNwbGF5VGV4dD48cmVjb3JkPjxyZWMtbnVtYmVyPjkxPC9yZWMtbnVtYmVy
Pjxmb3JlaWduLWtleXM+PGtleSBhcHA9IkVOIiBkYi1pZD0idGR4dHBzZWEwcHh6YXNld3J6N3hk
dnp4MjBkYTlzenBwZGZwIiB0aW1lc3RhbXA9IjE2NTM4Mjg0NTYiPjkxPC9rZXk+PC9mb3JlaWdu
LWtleXM+PHJlZi10eXBlIG5hbWU9IkpvdXJuYWwgQXJ0aWNsZSI+MTc8L3JlZi10eXBlPjxjb250
cmlidXRvcnM+PGF1dGhvcnM+PGF1dGhvcj5CYWdncywgSmFtZXM8L2F1dGhvcj48YXV0aG9yPkpl
cm5pZ2FuLCBKb2huIEE8L2F1dGhvcj48YXV0aG9yPkhhbHBpbiwgQWxpc29uIExhdWZlcjwvYXV0
aG9yPjxhdXRob3I+RXBzdGVpbiwgTGF1cmVuPC9hdXRob3I+PGF1dGhvcj5IYXRmaWVsZCwgS2Vs
bHkgTTwvYXV0aG9yPjxhdXRob3I+TWNEb25hbGQsIEwgQ2xpZmZvcmQ8L2F1dGhvcj48L2F1dGhv
cnM+PC9jb250cmlidXRvcnM+PHRpdGxlcz48dGl0bGU+UmlzayBvZiBTdWJzZXF1ZW50IFNlcHNp
cyBXaXRoaW4gOTAgRGF5cyBBZnRlciBhIEhvc3BpdGFsIFN0YXkgYnkgVHlwZSBvZiBBbnRpYmlv
dGljIEV4cG9zdXJlPC90aXRsZT48c2Vjb25kYXJ5LXRpdGxlPkNsaW5pY2FsIEluZmVjdGlvdXMg
RGlzZWFzZXM8L3NlY29uZGFyeS10aXRsZT48L3RpdGxlcz48cGVyaW9kaWNhbD48ZnVsbC10aXRs
ZT5DbGluaWNhbCBJbmZlY3Rpb3VzIERpc2Vhc2VzPC9mdWxsLXRpdGxlPjwvcGVyaW9kaWNhbD48
cGFnZXM+MTAwNC0xMDEyPC9wYWdlcz48dm9sdW1lPjY2PC92b2x1bWU+PG51bWJlcj43PC9udW1i
ZXI+PGRhdGVzPjx5ZWFyPjIwMTc8L3llYXI+PC9kYXRlcz48aXNibj4xMDU4LTQ4Mzg8L2lzYm4+
PHVybHM+PHJlbGF0ZWQtdXJscz48dXJsPmh0dHBzOi8vZG9pLm9yZy8xMC4xMDkzL2NpZC9jaXg5
NDc8L3VybD48L3JlbGF0ZWQtdXJscz48L3VybHM+PGVsZWN0cm9uaWMtcmVzb3VyY2UtbnVtPjEw
LjEwOTMvY2lkL2NpeDk0NzwvZWxlY3Ryb25pYy1yZXNvdXJjZS1udW0+PGFjY2Vzcy1kYXRlPjUv
MjkvMjAyMjwvYWNjZXNzLWRhdGU+PC9yZWNvcmQ+PC9DaXRlPjxDaXRlPjxBdXRob3I+U2xpbWlu
Z3M8L0F1dGhvcj48WWVhcj4yMDE0PC9ZZWFyPjxSZWNOdW0+OTM8L1JlY051bT48cmVjb3JkPjxy
ZWMtbnVtYmVyPjkzPC9yZWMtbnVtYmVyPjxmb3JlaWduLWtleXM+PGtleSBhcHA9IkVOIiBkYi1p
ZD0idGR4dHBzZWEwcHh6YXNld3J6N3hkdnp4MjBkYTlzenBwZGZwIiB0aW1lc3RhbXA9IjE2NjMy
NTEwMzYiPjkzPC9rZXk+PC9mb3JlaWduLWtleXM+PHJlZi10eXBlIG5hbWU9IkpvdXJuYWwgQXJ0
aWNsZSI+MTc8L3JlZi10eXBlPjxjb250cmlidXRvcnM+PGF1dGhvcnM+PGF1dGhvcj5TbGltaW5n
cywgQy48L2F1dGhvcj48YXV0aG9yPlJpbGV5LCBULiBWLjwvYXV0aG9yPjwvYXV0aG9ycz48L2Nv
bnRyaWJ1dG9ycz48YXV0aC1hZGRyZXNzPlNjaG9vbCBvZiBQYXRob2xvZ3kgYW5kIExhYm9yYXRv
cnkgTWVkaWNpbmUsIFRoZSBVbml2ZXJzaXR5IG9mIFdlc3Rlcm4gQXVzdHJhbGlhLCAzNSBTdGly
bGluZyBIaWdod2F5LCBDcmF3bGV5LCBXZXN0ZXJuIEF1c3RyYWxpYSwgQXVzdHJhbGlhLjwvYXV0
aC1hZGRyZXNzPjx0aXRsZXM+PHRpdGxlPkFudGliaW90aWNzIGFuZCBob3NwaXRhbC1hY3F1aXJl
ZCBDbG9zdHJpZGl1bSBkaWZmaWNpbGUgaW5mZWN0aW9uOiB1cGRhdGUgb2Ygc3lzdGVtYXRpYyBy
ZXZpZXcgYW5kIG1ldGEtYW5hbHlzaXM8L3RpdGxlPjxzZWNvbmRhcnktdGl0bGU+SiBBbnRpbWlj
cm9iIENoZW1vdGhlcjwvc2Vjb25kYXJ5LXRpdGxlPjwvdGl0bGVzPjxwZXJpb2RpY2FsPjxmdWxs
LXRpdGxlPkogQW50aW1pY3JvYiBDaGVtb3RoZXI8L2Z1bGwtdGl0bGU+PC9wZXJpb2RpY2FsPjxw
YWdlcz44ODEtOTE8L3BhZ2VzPjx2b2x1bWU+Njk8L3ZvbHVtZT48bnVtYmVyPjQ8L251bWJlcj48
ZWRpdGlvbj4yMDEzLzEyLzExPC9lZGl0aW9uPjxrZXl3b3Jkcz48a2V5d29yZD5BbnRpLUJhY3Rl
cmlhbCBBZ2VudHMvYWR2ZXJzZSBlZmZlY3RzLyp0aGVyYXBldXRpYyB1c2U8L2tleXdvcmQ+PGtl
eXdvcmQ+Q2xvc3RyaWRpb2lkZXMgZGlmZmljaWxlLyppc29sYXRpb24gJmFtcDsgcHVyaWZpY2F0
aW9uPC9rZXl3b3JkPjxrZXl3b3JkPkNsb3N0cmlkaXVtIEluZmVjdGlvbnMvY2hlbWljYWxseSBp
bmR1Y2VkLyplcGlkZW1pb2xvZ3k8L2tleXdvcmQ+PGtleXdvcmQ+Q3Jvc3MgSW5mZWN0aW9uL2No
ZW1pY2FsbHkgaW5kdWNlZC8qZXBpZGVtaW9sb2d5PC9rZXl3b3JkPjxrZXl3b3JkPkRpYXJyaGVh
L2NoZW1pY2FsbHkgaW5kdWNlZC8qZXBpZGVtaW9sb2d5PC9rZXl3b3JkPjxrZXl3b3JkPkhvc3Bp
dGFsczwva2V5d29yZD48a2V5d29yZD5IdW1hbnM8L2tleXdvcmQ+PGtleXdvcmQ+YW50aW1pY3Jv
YmlhbHM8L2tleXdvcmQ+PGtleXdvcmQ+ZGlhcnJob2VhPC9rZXl3b3JkPjxrZXl3b3JkPmhlYWx0
aGNhcmUgZmFjaWxpdGllczwva2V5d29yZD48a2V5d29yZD5yaXNrIGZhY3RvcnM8L2tleXdvcmQ+
PC9rZXl3b3Jkcz48ZGF0ZXM+PHllYXI+MjAxNDwveWVhcj48cHViLWRhdGVzPjxkYXRlPkFwcjwv
ZGF0ZT48L3B1Yi1kYXRlcz48L2RhdGVzPjxpc2JuPjAzMDUtNzQ1MzwvaXNibj48YWNjZXNzaW9u
LW51bT4yNDMyNDIyNDwvYWNjZXNzaW9uLW51bT48dXJscz48L3VybHM+PGVsZWN0cm9uaWMtcmVz
b3VyY2UtbnVtPjEwLjEwOTMvamFjL2RrdDQ3NzwvZWxlY3Ryb25pYy1yZXNvdXJjZS1udW0+PHJl
bW90ZS1kYXRhYmFzZS1wcm92aWRlcj5OTE08L3JlbW90ZS1kYXRhYmFzZS1wcm92aWRlcj48bGFu
Z3VhZ2U+ZW5nPC9sYW5ndWFnZT48L3JlY29yZD48L0NpdGU+PENpdGU+PEF1dGhvcj5Ccm93bjwv
QXV0aG9yPjxZZWFyPjIwMTM8L1llYXI+PFJlY051bT45NDwvUmVjTnVtPjxyZWNvcmQ+PHJlYy1u
dW1iZXI+OTQ8L3JlYy1udW1iZXI+PGZvcmVpZ24ta2V5cz48a2V5IGFwcD0iRU4iIGRiLWlkPSJ0
ZHh0cHNlYTBweHphc2V3cno3eGR2engyMGRhOXN6cHBkZnAiIHRpbWVzdGFtcD0iMTY2MzI1MTE2
OCI+OTQ8L2tleT48L2ZvcmVpZ24ta2V5cz48cmVmLXR5cGUgbmFtZT0iSm91cm5hbCBBcnRpY2xl
Ij4xNzwvcmVmLXR5cGU+PGNvbnRyaWJ1dG9ycz48YXV0aG9ycz48YXV0aG9yPkJyb3duLCBLLiBB
LjwvYXV0aG9yPjxhdXRob3I+S2hhbmFmZXIsIE4uPC9hdXRob3I+PGF1dGhvcj5EYW5lbWFuLCBO
LjwvYXV0aG9yPjxhdXRob3I+RmlzbWFuLCBELiBOLjwvYXV0aG9yPjwvYXV0aG9ycz48L2NvbnRy
aWJ1dG9ycz48YXV0aC1hZGRyZXNzPkVwaWRlbWlvbG9neSBEaXZpc2lvbiwgRGFsbGEgTGFuYSBT
Y2hvb2wgb2YgUHVibGljIEhlYWx0aCwgVW5pdmVyc2l0eSBvZiBUb3JvbnRvLCBUb3JvbnRvLCBP
bnRhcmlvLCBDYW5hZGEuIGtldmluLmJyb3duQG1haWwudXRvcm9udG8uY2E8L2F1dGgtYWRkcmVz
cz48dGl0bGVzPjx0aXRsZT5NZXRhLWFuYWx5c2lzIG9mIGFudGliaW90aWNzIGFuZCB0aGUgcmlz
ayBvZiBjb21tdW5pdHktYXNzb2NpYXRlZCBDbG9zdHJpZGl1bSBkaWZmaWNpbGUgaW5mZWN0aW9u
PC90aXRsZT48c2Vjb25kYXJ5LXRpdGxlPkFudGltaWNyb2IgQWdlbnRzIENoZW1vdGhlcjwvc2Vj
b25kYXJ5LXRpdGxlPjwvdGl0bGVzPjxwZXJpb2RpY2FsPjxmdWxsLXRpdGxlPkFudGltaWNyb2Ig
QWdlbnRzIENoZW1vdGhlcjwvZnVsbC10aXRsZT48L3BlcmlvZGljYWw+PHBhZ2VzPjIzMjYtMzI8
L3BhZ2VzPjx2b2x1bWU+NTc8L3ZvbHVtZT48bnVtYmVyPjU8L251bWJlcj48ZWRpdGlvbj4yMDEz
LzAzLzEzPC9lZGl0aW9uPjxrZXl3b3Jkcz48a2V5d29yZD5BbnRpLUJhY3RlcmlhbCBBZ2VudHMv
KmFkdmVyc2UgZWZmZWN0cy9jbGFzc2lmaWNhdGlvbjwva2V5d29yZD48a2V5d29yZD5DbG9zdHJp
ZGlvaWRlcyBkaWZmaWNpbGUvKmRydWcgZWZmZWN0cy9waHlzaW9sb2d5PC9rZXl3b3JkPjxrZXl3
b3JkPkNvbW11bml0eS1BY3F1aXJlZCBJbmZlY3Rpb25zL2RydWcgdGhlcmFweS9lcGlkZW1pb2xv
Z3kvKmV0aW9sb2d5L21pY3JvYmlvbG9neTwva2V5d29yZD48a2V5d29yZD5EYXRhYmFzZXMsIEJp
Ymxpb2dyYXBoaWM8L2tleXdvcmQ+PGtleXdvcmQ+RW50ZXJvY29saXRpcywgUHNldWRvbWVtYnJh
bm91cy9kcnVnIHRoZXJhcHkvZXBpZGVtaW9sb2d5LypldGlvbG9neS9taWNyb2Jpb2xvZ3k8L2tl
eXdvcmQ+PGtleXdvcmQ+SHVtYW5zPC9rZXl3b3JkPjxrZXl3b3JkPk9kZHMgUmF0aW88L2tleXdv
cmQ+PGtleXdvcmQ+UmFuZG9taXplZCBDb250cm9sbGVkIFRyaWFscyBhcyBUb3BpYzwva2V5d29y
ZD48a2V5d29yZD5SaXNrIEFzc2Vzc21lbnQ8L2tleXdvcmQ+PC9rZXl3b3Jkcz48ZGF0ZXM+PHll
YXI+MjAxMzwveWVhcj48cHViLWRhdGVzPjxkYXRlPk1heTwvZGF0ZT48L3B1Yi1kYXRlcz48L2Rh
dGVzPjxpc2JuPjAwNjYtNDgwNCAoUHJpbnQpJiN4RDswMDY2LTQ4MDQ8L2lzYm4+PGFjY2Vzc2lv
bi1udW0+MjM0Nzg5NjE8L2FjY2Vzc2lvbi1udW0+PHVybHM+PC91cmxzPjxjdXN0b20yPlBNQzM2
MzI5MDA8L2N1c3RvbTI+PGVsZWN0cm9uaWMtcmVzb3VyY2UtbnVtPjEwLjExMjgvYWFjLjAyMTc2
LTEyPC9lbGVjdHJvbmljLXJlc291cmNlLW51bT48cmVtb3RlLWRhdGFiYXNlLXByb3ZpZGVyPk5M
TTwvcmVtb3RlLWRhdGFiYXNlLXByb3ZpZGVyPjxsYW5ndWFnZT5lbmc8L2xhbmd1YWdlPjwvcmVj
b3JkPjwvQ2l0ZT48Q2l0ZT48QXV0aG9yPklzYWFjPC9BdXRob3I+PFllYXI+MjAxNzwvWWVhcj48
UmVjTnVtPjk1PC9SZWNOdW0+PHJlY29yZD48cmVjLW51bWJlcj45NTwvcmVjLW51bWJlcj48Zm9y
ZWlnbi1rZXlzPjxrZXkgYXBwPSJFTiIgZGItaWQ9InRkeHRwc2VhMHB4emFzZXdyejd4ZHZ6eDIw
ZGE5c3pwcGRmcCIgdGltZXN0YW1wPSIxNjYzMjUxMjAzIj45NTwva2V5PjwvZm9yZWlnbi1rZXlz
PjxyZWYtdHlwZSBuYW1lPSJKb3VybmFsIEFydGljbGUiPjE3PC9yZWYtdHlwZT48Y29udHJpYnV0
b3JzPjxhdXRob3JzPjxhdXRob3I+SXNhYWMsIFMuPC9hdXRob3I+PGF1dGhvcj5TY2hlciwgSi4g
VS48L2F1dGhvcj48YXV0aG9yPkRqdWtvdmljLCBBLjwvYXV0aG9yPjxhdXRob3I+Smltw6luZXos
IE4uPC9hdXRob3I+PGF1dGhvcj5MaXR0bWFuLCBELiBSLjwvYXV0aG9yPjxhdXRob3I+QWJyYW1z
b24sIFMuIEIuPC9hdXRob3I+PGF1dGhvcj5QYW1lciwgRS4gRy48L2F1dGhvcj48YXV0aG9yPlVi
ZWRhLCBDLjwvYXV0aG9yPjwvYXV0aG9ycz48L2NvbnRyaWJ1dG9ycz48YXV0aC1hZGRyZXNzPkRl
cGFydGFtZW50byBkZSBHZW7Ds21pY2EgeSBTYWx1ZCwgQ2VudHJvIFN1cGVyaW9yIGRlIEludmVz
dGlnYWNpw7NuIGVuIFNhbHVkIFDDumJsaWNhIC0gRklTQUJJTywgVmFsZW5jaWEsIFNwYWluLiYj
eEQ7RGVwYXJ0bWVudCBvZiBNZWRpY2luZSwgTmV3IFlvcmsgVW5pdmVyc2l0eSBTY2hvb2wgb2Yg
TWVkaWNpbmUgYW5kIEhvc3BpdGFsIGZvciBKb2ludCBEaXNlYXNlcywgTmV3IFlvcmssIE5ZLCBV
U0EuJiN4RDtNb2xlY3VsYXIgUGF0aG9nZW5lc2lzIFByb2dyYW0sIFRoZSBLaW1tZWwgQ2VudGVy
IGZvciBCaW9sb2d5IGFuZCBNZWRpY2luZSBvZiB0aGUgU2tpcmJhbGwgSW5zdGl0dXRlLCBOZXcg
WW9yayBVbml2ZXJzaXR5IFNjaG9vbCBvZiBNZWRpY2luZSwgTmV3IFlvcmssIE5ZLCBVU0EuJiN4
RDtIb3dhcmQgSHVnaGVzIE1lZGljYWwgSW5zdGl0dXRlLCBOZXcgWW9yayBVbml2ZXJzaXR5IFNj
aG9vbCBvZiBNZWRpY2luZSwgTmV3IFlvcmssIE5ZLCBVU0EuJiN4RDtJbW11bm9sb2d5IFByb2dy
YW0gYW5kIEluZmVjdGlvdXMgRGlzZWFzZSBTZXJ2aWNlLCBNZW1vcmlhbCBTbG9hbi1LZXR0ZXJp
bmcgQ2FuY2VyIENlbnRlciwgTmV3IFlvcmssIE5ZLCBVU0EuJiN4RDtMdWNpbGxlIENhc3Rvcmkg
Q2VudGVyIGZvciBNaWNyb2JlcywgSW5mbGFtbWF0aW9uIGFuZCBDYW5jZXIsIE1lbW9yaWFsIFNs
b2FuLUtldHRlcmluZyBDYW5jZXIgQ2VudGVyLCBOZXcgWW9yaywgTlksIFVTQS4mI3hEO0RlcGFy
dGFtZW50byBkZSBHZW7Ds21pY2EgeSBTYWx1ZCwgQ2VudHJvIFN1cGVyaW9yIGRlIEludmVzdGln
YWNpw7NuIGVuIFNhbHVkIFDDumJsaWNhIC0gRklTQUJJTywgVmFsZW5jaWEsIFNwYWluIHViZWRh
X2Nhcm1vckBndmEuZXMuJiN4RDtDZW50ZXJzIG9mIEJpb21lZGljYWwgUmVzZWFyY2ggTmV0d29y
ayAoQ0lCRVIpIGluIEVwaWRlbWlvbG9neSBhbmQgUHVibGljIEhlYWx0aCwgTWFkcmlkLCBTcGFp
bi48L2F1dGgtYWRkcmVzcz48dGl0bGVzPjx0aXRsZT5TaG9ydC0gYW5kIGxvbmctdGVybSBlZmZl
Y3RzIG9mIG9yYWwgdmFuY29teWNpbiBvbiB0aGUgaHVtYW4gaW50ZXN0aW5hbCBtaWNyb2Jpb3Rh
PC90aXRsZT48c2Vjb25kYXJ5LXRpdGxlPkogQW50aW1pY3JvYiBDaGVtb3RoZXI8L3NlY29uZGFy
eS10aXRsZT48L3RpdGxlcz48cGVyaW9kaWNhbD48ZnVsbC10aXRsZT5KIEFudGltaWNyb2IgQ2hl
bW90aGVyPC9mdWxsLXRpdGxlPjwvcGVyaW9kaWNhbD48cGFnZXM+MTI4LTEzNjwvcGFnZXM+PHZv
bHVtZT43Mjwvdm9sdW1lPjxudW1iZXI+MTwvbnVtYmVyPjxlZGl0aW9uPjIwMTYvMTAvMDc8L2Vk
aXRpb24+PGtleXdvcmRzPjxrZXl3b3JkPkFkbWluaXN0cmF0aW9uLCBPcmFsPC9rZXl3b3JkPjxr
ZXl3b3JkPkFuaW1hbHM8L2tleXdvcmQ+PGtleXdvcmQ+QW50aS1CYWN0ZXJpYWwgQWdlbnRzLyph
ZG1pbmlzdHJhdGlvbiAmYW1wOyBkb3NhZ2U8L2tleXdvcmQ+PGtleXdvcmQ+RmVjZXMvbWljcm9i
aW9sb2d5PC9rZXl3b3JkPjxrZXl3b3JkPkdhc3Ryb2ludGVzdGluYWwgTWljcm9iaW9tZS8qZHJ1
ZyBlZmZlY3RzPC9rZXl3b3JkPjxrZXl3b3JkPkhpZ2gtVGhyb3VnaHB1dCBOdWNsZW90aWRlIFNl
cXVlbmNpbmc8L2tleXdvcmQ+PGtleXdvcmQ+SHVtYW5zPC9rZXl3b3JkPjxrZXl3b3JkPk1ldGFn
ZW5vbWljcy9tZXRob2RzPC9rZXl3b3JkPjxrZXl3b3JkPk1pY2U8L2tleXdvcmQ+PGtleXdvcmQ+
TWljcm9iaW90YS8qZHJ1ZyBlZmZlY3RzPC9rZXl3b3JkPjxrZXl3b3JkPk1vZGVscywgQW5pbWFs
PC9rZXl3b3JkPjxrZXl3b3JkPlRpbWU8L2tleXdvcmQ+PGtleXdvcmQ+VmFuY29teWNpbi8qYWRt
aW5pc3RyYXRpb24gJmFtcDsgZG9zYWdlPC9rZXl3b3JkPjwva2V5d29yZHM+PGRhdGVzPjx5ZWFy
PjIwMTc8L3llYXI+PHB1Yi1kYXRlcz48ZGF0ZT5KYW48L2RhdGU+PC9wdWItZGF0ZXM+PC9kYXRl
cz48aXNibj4wMzA1LTc0NTMgKFByaW50KSYjeEQ7MDMwNS03NDUzPC9pc2JuPjxhY2Nlc3Npb24t
bnVtPjI3NzA3OTkzPC9hY2Nlc3Npb24tbnVtPjx1cmxzPjwvdXJscz48Y3VzdG9tMj5QTUM1MTYx
MDQ2PC9jdXN0b20yPjxlbGVjdHJvbmljLXJlc291cmNlLW51bT4xMC4xMDkzL2phYy9ka3czODM8
L2VsZWN0cm9uaWMtcmVzb3VyY2UtbnVtPjxyZW1vdGUtZGF0YWJhc2UtcHJvdmlkZXI+TkxNPC9y
ZW1vdGUtZGF0YWJhc2UtcHJvdmlkZXI+PGxhbmd1YWdlPmVuZzwvbGFuZ3VhZ2U+PC9yZWNvcmQ+
PC9DaXRlPjwvRW5kTm90ZT5=
</w:fldData>
        </w:fldChar>
      </w:r>
      <w:r w:rsidR="0029721A">
        <w:rPr>
          <w:rFonts w:ascii="Times New Roman" w:hAnsi="Times New Roman" w:cs="Times New Roman"/>
          <w:sz w:val="24"/>
          <w:szCs w:val="24"/>
        </w:rPr>
        <w:instrText xml:space="preserve"> ADDIN EN.CITE </w:instrText>
      </w:r>
      <w:r w:rsidR="0029721A">
        <w:rPr>
          <w:rFonts w:ascii="Times New Roman" w:hAnsi="Times New Roman" w:cs="Times New Roman"/>
          <w:sz w:val="24"/>
          <w:szCs w:val="24"/>
        </w:rPr>
        <w:fldChar w:fldCharType="begin">
          <w:fldData xml:space="preserve">PEVuZE5vdGU+PENpdGU+PEF1dGhvcj5CYWdnczwvQXV0aG9yPjxZZWFyPjIwMTc8L1llYXI+PFJl
Y051bT45MTwvUmVjTnVtPjxEaXNwbGF5VGV4dD48c3R5bGUgZmFjZT0ic3VwZXJzY3JpcHQiPjMt
Njwvc3R5bGU+PC9EaXNwbGF5VGV4dD48cmVjb3JkPjxyZWMtbnVtYmVyPjkxPC9yZWMtbnVtYmVy
Pjxmb3JlaWduLWtleXM+PGtleSBhcHA9IkVOIiBkYi1pZD0idGR4dHBzZWEwcHh6YXNld3J6N3hk
dnp4MjBkYTlzenBwZGZwIiB0aW1lc3RhbXA9IjE2NTM4Mjg0NTYiPjkxPC9rZXk+PC9mb3JlaWdu
LWtleXM+PHJlZi10eXBlIG5hbWU9IkpvdXJuYWwgQXJ0aWNsZSI+MTc8L3JlZi10eXBlPjxjb250
cmlidXRvcnM+PGF1dGhvcnM+PGF1dGhvcj5CYWdncywgSmFtZXM8L2F1dGhvcj48YXV0aG9yPkpl
cm5pZ2FuLCBKb2huIEE8L2F1dGhvcj48YXV0aG9yPkhhbHBpbiwgQWxpc29uIExhdWZlcjwvYXV0
aG9yPjxhdXRob3I+RXBzdGVpbiwgTGF1cmVuPC9hdXRob3I+PGF1dGhvcj5IYXRmaWVsZCwgS2Vs
bHkgTTwvYXV0aG9yPjxhdXRob3I+TWNEb25hbGQsIEwgQ2xpZmZvcmQ8L2F1dGhvcj48L2F1dGhv
cnM+PC9jb250cmlidXRvcnM+PHRpdGxlcz48dGl0bGU+UmlzayBvZiBTdWJzZXF1ZW50IFNlcHNp
cyBXaXRoaW4gOTAgRGF5cyBBZnRlciBhIEhvc3BpdGFsIFN0YXkgYnkgVHlwZSBvZiBBbnRpYmlv
dGljIEV4cG9zdXJlPC90aXRsZT48c2Vjb25kYXJ5LXRpdGxlPkNsaW5pY2FsIEluZmVjdGlvdXMg
RGlzZWFzZXM8L3NlY29uZGFyeS10aXRsZT48L3RpdGxlcz48cGVyaW9kaWNhbD48ZnVsbC10aXRs
ZT5DbGluaWNhbCBJbmZlY3Rpb3VzIERpc2Vhc2VzPC9mdWxsLXRpdGxlPjwvcGVyaW9kaWNhbD48
cGFnZXM+MTAwNC0xMDEyPC9wYWdlcz48dm9sdW1lPjY2PC92b2x1bWU+PG51bWJlcj43PC9udW1i
ZXI+PGRhdGVzPjx5ZWFyPjIwMTc8L3llYXI+PC9kYXRlcz48aXNibj4xMDU4LTQ4Mzg8L2lzYm4+
PHVybHM+PHJlbGF0ZWQtdXJscz48dXJsPmh0dHBzOi8vZG9pLm9yZy8xMC4xMDkzL2NpZC9jaXg5
NDc8L3VybD48L3JlbGF0ZWQtdXJscz48L3VybHM+PGVsZWN0cm9uaWMtcmVzb3VyY2UtbnVtPjEw
LjEwOTMvY2lkL2NpeDk0NzwvZWxlY3Ryb25pYy1yZXNvdXJjZS1udW0+PGFjY2Vzcy1kYXRlPjUv
MjkvMjAyMjwvYWNjZXNzLWRhdGU+PC9yZWNvcmQ+PC9DaXRlPjxDaXRlPjxBdXRob3I+U2xpbWlu
Z3M8L0F1dGhvcj48WWVhcj4yMDE0PC9ZZWFyPjxSZWNOdW0+OTM8L1JlY051bT48cmVjb3JkPjxy
ZWMtbnVtYmVyPjkzPC9yZWMtbnVtYmVyPjxmb3JlaWduLWtleXM+PGtleSBhcHA9IkVOIiBkYi1p
ZD0idGR4dHBzZWEwcHh6YXNld3J6N3hkdnp4MjBkYTlzenBwZGZwIiB0aW1lc3RhbXA9IjE2NjMy
NTEwMzYiPjkzPC9rZXk+PC9mb3JlaWduLWtleXM+PHJlZi10eXBlIG5hbWU9IkpvdXJuYWwgQXJ0
aWNsZSI+MTc8L3JlZi10eXBlPjxjb250cmlidXRvcnM+PGF1dGhvcnM+PGF1dGhvcj5TbGltaW5n
cywgQy48L2F1dGhvcj48YXV0aG9yPlJpbGV5LCBULiBWLjwvYXV0aG9yPjwvYXV0aG9ycz48L2Nv
bnRyaWJ1dG9ycz48YXV0aC1hZGRyZXNzPlNjaG9vbCBvZiBQYXRob2xvZ3kgYW5kIExhYm9yYXRv
cnkgTWVkaWNpbmUsIFRoZSBVbml2ZXJzaXR5IG9mIFdlc3Rlcm4gQXVzdHJhbGlhLCAzNSBTdGly
bGluZyBIaWdod2F5LCBDcmF3bGV5LCBXZXN0ZXJuIEF1c3RyYWxpYSwgQXVzdHJhbGlhLjwvYXV0
aC1hZGRyZXNzPjx0aXRsZXM+PHRpdGxlPkFudGliaW90aWNzIGFuZCBob3NwaXRhbC1hY3F1aXJl
ZCBDbG9zdHJpZGl1bSBkaWZmaWNpbGUgaW5mZWN0aW9uOiB1cGRhdGUgb2Ygc3lzdGVtYXRpYyBy
ZXZpZXcgYW5kIG1ldGEtYW5hbHlzaXM8L3RpdGxlPjxzZWNvbmRhcnktdGl0bGU+SiBBbnRpbWlj
cm9iIENoZW1vdGhlcjwvc2Vjb25kYXJ5LXRpdGxlPjwvdGl0bGVzPjxwZXJpb2RpY2FsPjxmdWxs
LXRpdGxlPkogQW50aW1pY3JvYiBDaGVtb3RoZXI8L2Z1bGwtdGl0bGU+PC9wZXJpb2RpY2FsPjxw
YWdlcz44ODEtOTE8L3BhZ2VzPjx2b2x1bWU+Njk8L3ZvbHVtZT48bnVtYmVyPjQ8L251bWJlcj48
ZWRpdGlvbj4yMDEzLzEyLzExPC9lZGl0aW9uPjxrZXl3b3Jkcz48a2V5d29yZD5BbnRpLUJhY3Rl
cmlhbCBBZ2VudHMvYWR2ZXJzZSBlZmZlY3RzLyp0aGVyYXBldXRpYyB1c2U8L2tleXdvcmQ+PGtl
eXdvcmQ+Q2xvc3RyaWRpb2lkZXMgZGlmZmljaWxlLyppc29sYXRpb24gJmFtcDsgcHVyaWZpY2F0
aW9uPC9rZXl3b3JkPjxrZXl3b3JkPkNsb3N0cmlkaXVtIEluZmVjdGlvbnMvY2hlbWljYWxseSBp
bmR1Y2VkLyplcGlkZW1pb2xvZ3k8L2tleXdvcmQ+PGtleXdvcmQ+Q3Jvc3MgSW5mZWN0aW9uL2No
ZW1pY2FsbHkgaW5kdWNlZC8qZXBpZGVtaW9sb2d5PC9rZXl3b3JkPjxrZXl3b3JkPkRpYXJyaGVh
L2NoZW1pY2FsbHkgaW5kdWNlZC8qZXBpZGVtaW9sb2d5PC9rZXl3b3JkPjxrZXl3b3JkPkhvc3Bp
dGFsczwva2V5d29yZD48a2V5d29yZD5IdW1hbnM8L2tleXdvcmQ+PGtleXdvcmQ+YW50aW1pY3Jv
YmlhbHM8L2tleXdvcmQ+PGtleXdvcmQ+ZGlhcnJob2VhPC9rZXl3b3JkPjxrZXl3b3JkPmhlYWx0
aGNhcmUgZmFjaWxpdGllczwva2V5d29yZD48a2V5d29yZD5yaXNrIGZhY3RvcnM8L2tleXdvcmQ+
PC9rZXl3b3Jkcz48ZGF0ZXM+PHllYXI+MjAxNDwveWVhcj48cHViLWRhdGVzPjxkYXRlPkFwcjwv
ZGF0ZT48L3B1Yi1kYXRlcz48L2RhdGVzPjxpc2JuPjAzMDUtNzQ1MzwvaXNibj48YWNjZXNzaW9u
LW51bT4yNDMyNDIyNDwvYWNjZXNzaW9uLW51bT48dXJscz48L3VybHM+PGVsZWN0cm9uaWMtcmVz
b3VyY2UtbnVtPjEwLjEwOTMvamFjL2RrdDQ3NzwvZWxlY3Ryb25pYy1yZXNvdXJjZS1udW0+PHJl
bW90ZS1kYXRhYmFzZS1wcm92aWRlcj5OTE08L3JlbW90ZS1kYXRhYmFzZS1wcm92aWRlcj48bGFu
Z3VhZ2U+ZW5nPC9sYW5ndWFnZT48L3JlY29yZD48L0NpdGU+PENpdGU+PEF1dGhvcj5Ccm93bjwv
QXV0aG9yPjxZZWFyPjIwMTM8L1llYXI+PFJlY051bT45NDwvUmVjTnVtPjxyZWNvcmQ+PHJlYy1u
dW1iZXI+OTQ8L3JlYy1udW1iZXI+PGZvcmVpZ24ta2V5cz48a2V5IGFwcD0iRU4iIGRiLWlkPSJ0
ZHh0cHNlYTBweHphc2V3cno3eGR2engyMGRhOXN6cHBkZnAiIHRpbWVzdGFtcD0iMTY2MzI1MTE2
OCI+OTQ8L2tleT48L2ZvcmVpZ24ta2V5cz48cmVmLXR5cGUgbmFtZT0iSm91cm5hbCBBcnRpY2xl
Ij4xNzwvcmVmLXR5cGU+PGNvbnRyaWJ1dG9ycz48YXV0aG9ycz48YXV0aG9yPkJyb3duLCBLLiBB
LjwvYXV0aG9yPjxhdXRob3I+S2hhbmFmZXIsIE4uPC9hdXRob3I+PGF1dGhvcj5EYW5lbWFuLCBO
LjwvYXV0aG9yPjxhdXRob3I+RmlzbWFuLCBELiBOLjwvYXV0aG9yPjwvYXV0aG9ycz48L2NvbnRy
aWJ1dG9ycz48YXV0aC1hZGRyZXNzPkVwaWRlbWlvbG9neSBEaXZpc2lvbiwgRGFsbGEgTGFuYSBT
Y2hvb2wgb2YgUHVibGljIEhlYWx0aCwgVW5pdmVyc2l0eSBvZiBUb3JvbnRvLCBUb3JvbnRvLCBP
bnRhcmlvLCBDYW5hZGEuIGtldmluLmJyb3duQG1haWwudXRvcm9udG8uY2E8L2F1dGgtYWRkcmVz
cz48dGl0bGVzPjx0aXRsZT5NZXRhLWFuYWx5c2lzIG9mIGFudGliaW90aWNzIGFuZCB0aGUgcmlz
ayBvZiBjb21tdW5pdHktYXNzb2NpYXRlZCBDbG9zdHJpZGl1bSBkaWZmaWNpbGUgaW5mZWN0aW9u
PC90aXRsZT48c2Vjb25kYXJ5LXRpdGxlPkFudGltaWNyb2IgQWdlbnRzIENoZW1vdGhlcjwvc2Vj
b25kYXJ5LXRpdGxlPjwvdGl0bGVzPjxwZXJpb2RpY2FsPjxmdWxsLXRpdGxlPkFudGltaWNyb2Ig
QWdlbnRzIENoZW1vdGhlcjwvZnVsbC10aXRsZT48L3BlcmlvZGljYWw+PHBhZ2VzPjIzMjYtMzI8
L3BhZ2VzPjx2b2x1bWU+NTc8L3ZvbHVtZT48bnVtYmVyPjU8L251bWJlcj48ZWRpdGlvbj4yMDEz
LzAzLzEzPC9lZGl0aW9uPjxrZXl3b3Jkcz48a2V5d29yZD5BbnRpLUJhY3RlcmlhbCBBZ2VudHMv
KmFkdmVyc2UgZWZmZWN0cy9jbGFzc2lmaWNhdGlvbjwva2V5d29yZD48a2V5d29yZD5DbG9zdHJp
ZGlvaWRlcyBkaWZmaWNpbGUvKmRydWcgZWZmZWN0cy9waHlzaW9sb2d5PC9rZXl3b3JkPjxrZXl3
b3JkPkNvbW11bml0eS1BY3F1aXJlZCBJbmZlY3Rpb25zL2RydWcgdGhlcmFweS9lcGlkZW1pb2xv
Z3kvKmV0aW9sb2d5L21pY3JvYmlvbG9neTwva2V5d29yZD48a2V5d29yZD5EYXRhYmFzZXMsIEJp
Ymxpb2dyYXBoaWM8L2tleXdvcmQ+PGtleXdvcmQ+RW50ZXJvY29saXRpcywgUHNldWRvbWVtYnJh
bm91cy9kcnVnIHRoZXJhcHkvZXBpZGVtaW9sb2d5LypldGlvbG9neS9taWNyb2Jpb2xvZ3k8L2tl
eXdvcmQ+PGtleXdvcmQ+SHVtYW5zPC9rZXl3b3JkPjxrZXl3b3JkPk9kZHMgUmF0aW88L2tleXdv
cmQ+PGtleXdvcmQ+UmFuZG9taXplZCBDb250cm9sbGVkIFRyaWFscyBhcyBUb3BpYzwva2V5d29y
ZD48a2V5d29yZD5SaXNrIEFzc2Vzc21lbnQ8L2tleXdvcmQ+PC9rZXl3b3Jkcz48ZGF0ZXM+PHll
YXI+MjAxMzwveWVhcj48cHViLWRhdGVzPjxkYXRlPk1heTwvZGF0ZT48L3B1Yi1kYXRlcz48L2Rh
dGVzPjxpc2JuPjAwNjYtNDgwNCAoUHJpbnQpJiN4RDswMDY2LTQ4MDQ8L2lzYm4+PGFjY2Vzc2lv
bi1udW0+MjM0Nzg5NjE8L2FjY2Vzc2lvbi1udW0+PHVybHM+PC91cmxzPjxjdXN0b20yPlBNQzM2
MzI5MDA8L2N1c3RvbTI+PGVsZWN0cm9uaWMtcmVzb3VyY2UtbnVtPjEwLjExMjgvYWFjLjAyMTc2
LTEyPC9lbGVjdHJvbmljLXJlc291cmNlLW51bT48cmVtb3RlLWRhdGFiYXNlLXByb3ZpZGVyPk5M
TTwvcmVtb3RlLWRhdGFiYXNlLXByb3ZpZGVyPjxsYW5ndWFnZT5lbmc8L2xhbmd1YWdlPjwvcmVj
b3JkPjwvQ2l0ZT48Q2l0ZT48QXV0aG9yPklzYWFjPC9BdXRob3I+PFllYXI+MjAxNzwvWWVhcj48
UmVjTnVtPjk1PC9SZWNOdW0+PHJlY29yZD48cmVjLW51bWJlcj45NTwvcmVjLW51bWJlcj48Zm9y
ZWlnbi1rZXlzPjxrZXkgYXBwPSJFTiIgZGItaWQ9InRkeHRwc2VhMHB4emFzZXdyejd4ZHZ6eDIw
ZGE5c3pwcGRmcCIgdGltZXN0YW1wPSIxNjYzMjUxMjAzIj45NTwva2V5PjwvZm9yZWlnbi1rZXlz
PjxyZWYtdHlwZSBuYW1lPSJKb3VybmFsIEFydGljbGUiPjE3PC9yZWYtdHlwZT48Y29udHJpYnV0
b3JzPjxhdXRob3JzPjxhdXRob3I+SXNhYWMsIFMuPC9hdXRob3I+PGF1dGhvcj5TY2hlciwgSi4g
VS48L2F1dGhvcj48YXV0aG9yPkRqdWtvdmljLCBBLjwvYXV0aG9yPjxhdXRob3I+Smltw6luZXos
IE4uPC9hdXRob3I+PGF1dGhvcj5MaXR0bWFuLCBELiBSLjwvYXV0aG9yPjxhdXRob3I+QWJyYW1z
b24sIFMuIEIuPC9hdXRob3I+PGF1dGhvcj5QYW1lciwgRS4gRy48L2F1dGhvcj48YXV0aG9yPlVi
ZWRhLCBDLjwvYXV0aG9yPjwvYXV0aG9ycz48L2NvbnRyaWJ1dG9ycz48YXV0aC1hZGRyZXNzPkRl
cGFydGFtZW50byBkZSBHZW7Ds21pY2EgeSBTYWx1ZCwgQ2VudHJvIFN1cGVyaW9yIGRlIEludmVz
dGlnYWNpw7NuIGVuIFNhbHVkIFDDumJsaWNhIC0gRklTQUJJTywgVmFsZW5jaWEsIFNwYWluLiYj
eEQ7RGVwYXJ0bWVudCBvZiBNZWRpY2luZSwgTmV3IFlvcmsgVW5pdmVyc2l0eSBTY2hvb2wgb2Yg
TWVkaWNpbmUgYW5kIEhvc3BpdGFsIGZvciBKb2ludCBEaXNlYXNlcywgTmV3IFlvcmssIE5ZLCBV
U0EuJiN4RDtNb2xlY3VsYXIgUGF0aG9nZW5lc2lzIFByb2dyYW0sIFRoZSBLaW1tZWwgQ2VudGVy
IGZvciBCaW9sb2d5IGFuZCBNZWRpY2luZSBvZiB0aGUgU2tpcmJhbGwgSW5zdGl0dXRlLCBOZXcg
WW9yayBVbml2ZXJzaXR5IFNjaG9vbCBvZiBNZWRpY2luZSwgTmV3IFlvcmssIE5ZLCBVU0EuJiN4
RDtIb3dhcmQgSHVnaGVzIE1lZGljYWwgSW5zdGl0dXRlLCBOZXcgWW9yayBVbml2ZXJzaXR5IFNj
aG9vbCBvZiBNZWRpY2luZSwgTmV3IFlvcmssIE5ZLCBVU0EuJiN4RDtJbW11bm9sb2d5IFByb2dy
YW0gYW5kIEluZmVjdGlvdXMgRGlzZWFzZSBTZXJ2aWNlLCBNZW1vcmlhbCBTbG9hbi1LZXR0ZXJp
bmcgQ2FuY2VyIENlbnRlciwgTmV3IFlvcmssIE5ZLCBVU0EuJiN4RDtMdWNpbGxlIENhc3Rvcmkg
Q2VudGVyIGZvciBNaWNyb2JlcywgSW5mbGFtbWF0aW9uIGFuZCBDYW5jZXIsIE1lbW9yaWFsIFNs
b2FuLUtldHRlcmluZyBDYW5jZXIgQ2VudGVyLCBOZXcgWW9yaywgTlksIFVTQS4mI3hEO0RlcGFy
dGFtZW50byBkZSBHZW7Ds21pY2EgeSBTYWx1ZCwgQ2VudHJvIFN1cGVyaW9yIGRlIEludmVzdGln
YWNpw7NuIGVuIFNhbHVkIFDDumJsaWNhIC0gRklTQUJJTywgVmFsZW5jaWEsIFNwYWluIHViZWRh
X2Nhcm1vckBndmEuZXMuJiN4RDtDZW50ZXJzIG9mIEJpb21lZGljYWwgUmVzZWFyY2ggTmV0d29y
ayAoQ0lCRVIpIGluIEVwaWRlbWlvbG9neSBhbmQgUHVibGljIEhlYWx0aCwgTWFkcmlkLCBTcGFp
bi48L2F1dGgtYWRkcmVzcz48dGl0bGVzPjx0aXRsZT5TaG9ydC0gYW5kIGxvbmctdGVybSBlZmZl
Y3RzIG9mIG9yYWwgdmFuY29teWNpbiBvbiB0aGUgaHVtYW4gaW50ZXN0aW5hbCBtaWNyb2Jpb3Rh
PC90aXRsZT48c2Vjb25kYXJ5LXRpdGxlPkogQW50aW1pY3JvYiBDaGVtb3RoZXI8L3NlY29uZGFy
eS10aXRsZT48L3RpdGxlcz48cGVyaW9kaWNhbD48ZnVsbC10aXRsZT5KIEFudGltaWNyb2IgQ2hl
bW90aGVyPC9mdWxsLXRpdGxlPjwvcGVyaW9kaWNhbD48cGFnZXM+MTI4LTEzNjwvcGFnZXM+PHZv
bHVtZT43Mjwvdm9sdW1lPjxudW1iZXI+MTwvbnVtYmVyPjxlZGl0aW9uPjIwMTYvMTAvMDc8L2Vk
aXRpb24+PGtleXdvcmRzPjxrZXl3b3JkPkFkbWluaXN0cmF0aW9uLCBPcmFsPC9rZXl3b3JkPjxr
ZXl3b3JkPkFuaW1hbHM8L2tleXdvcmQ+PGtleXdvcmQ+QW50aS1CYWN0ZXJpYWwgQWdlbnRzLyph
ZG1pbmlzdHJhdGlvbiAmYW1wOyBkb3NhZ2U8L2tleXdvcmQ+PGtleXdvcmQ+RmVjZXMvbWljcm9i
aW9sb2d5PC9rZXl3b3JkPjxrZXl3b3JkPkdhc3Ryb2ludGVzdGluYWwgTWljcm9iaW9tZS8qZHJ1
ZyBlZmZlY3RzPC9rZXl3b3JkPjxrZXl3b3JkPkhpZ2gtVGhyb3VnaHB1dCBOdWNsZW90aWRlIFNl
cXVlbmNpbmc8L2tleXdvcmQ+PGtleXdvcmQ+SHVtYW5zPC9rZXl3b3JkPjxrZXl3b3JkPk1ldGFn
ZW5vbWljcy9tZXRob2RzPC9rZXl3b3JkPjxrZXl3b3JkPk1pY2U8L2tleXdvcmQ+PGtleXdvcmQ+
TWljcm9iaW90YS8qZHJ1ZyBlZmZlY3RzPC9rZXl3b3JkPjxrZXl3b3JkPk1vZGVscywgQW5pbWFs
PC9rZXl3b3JkPjxrZXl3b3JkPlRpbWU8L2tleXdvcmQ+PGtleXdvcmQ+VmFuY29teWNpbi8qYWRt
aW5pc3RyYXRpb24gJmFtcDsgZG9zYWdlPC9rZXl3b3JkPjwva2V5d29yZHM+PGRhdGVzPjx5ZWFy
PjIwMTc8L3llYXI+PHB1Yi1kYXRlcz48ZGF0ZT5KYW48L2RhdGU+PC9wdWItZGF0ZXM+PC9kYXRl
cz48aXNibj4wMzA1LTc0NTMgKFByaW50KSYjeEQ7MDMwNS03NDUzPC9pc2JuPjxhY2Nlc3Npb24t
bnVtPjI3NzA3OTkzPC9hY2Nlc3Npb24tbnVtPjx1cmxzPjwvdXJscz48Y3VzdG9tMj5QTUM1MTYx
MDQ2PC9jdXN0b20yPjxlbGVjdHJvbmljLXJlc291cmNlLW51bT4xMC4xMDkzL2phYy9ka3czODM8
L2VsZWN0cm9uaWMtcmVzb3VyY2UtbnVtPjxyZW1vdGUtZGF0YWJhc2UtcHJvdmlkZXI+TkxNPC9y
ZW1vdGUtZGF0YWJhc2UtcHJvdmlkZXI+PGxhbmd1YWdlPmVuZzwvbGFuZ3VhZ2U+PC9yZWNvcmQ+
PC9DaXRlPjwvRW5kTm90ZT5=
</w:fldData>
        </w:fldChar>
      </w:r>
      <w:r w:rsidR="0029721A">
        <w:rPr>
          <w:rFonts w:ascii="Times New Roman" w:hAnsi="Times New Roman" w:cs="Times New Roman"/>
          <w:sz w:val="24"/>
          <w:szCs w:val="24"/>
        </w:rPr>
        <w:instrText xml:space="preserve"> ADDIN EN.CITE.DATA </w:instrText>
      </w:r>
      <w:r w:rsidR="0029721A">
        <w:rPr>
          <w:rFonts w:ascii="Times New Roman" w:hAnsi="Times New Roman" w:cs="Times New Roman"/>
          <w:sz w:val="24"/>
          <w:szCs w:val="24"/>
        </w:rPr>
      </w:r>
      <w:r w:rsidR="0029721A">
        <w:rPr>
          <w:rFonts w:ascii="Times New Roman" w:hAnsi="Times New Roman" w:cs="Times New Roman"/>
          <w:sz w:val="24"/>
          <w:szCs w:val="24"/>
        </w:rPr>
        <w:fldChar w:fldCharType="end"/>
      </w:r>
      <w:r w:rsidR="0029721A">
        <w:rPr>
          <w:rFonts w:ascii="Times New Roman" w:hAnsi="Times New Roman" w:cs="Times New Roman"/>
          <w:sz w:val="24"/>
          <w:szCs w:val="24"/>
        </w:rPr>
      </w:r>
      <w:r w:rsidR="0029721A">
        <w:rPr>
          <w:rFonts w:ascii="Times New Roman" w:hAnsi="Times New Roman" w:cs="Times New Roman"/>
          <w:sz w:val="24"/>
          <w:szCs w:val="24"/>
        </w:rPr>
        <w:fldChar w:fldCharType="separate"/>
      </w:r>
      <w:r w:rsidR="0029721A" w:rsidRPr="0029721A">
        <w:rPr>
          <w:rFonts w:ascii="Times New Roman" w:hAnsi="Times New Roman" w:cs="Times New Roman"/>
          <w:noProof/>
          <w:sz w:val="24"/>
          <w:szCs w:val="24"/>
          <w:vertAlign w:val="superscript"/>
        </w:rPr>
        <w:t>3-6</w:t>
      </w:r>
      <w:r w:rsidR="0029721A">
        <w:rPr>
          <w:rFonts w:ascii="Times New Roman" w:hAnsi="Times New Roman" w:cs="Times New Roman"/>
          <w:sz w:val="24"/>
          <w:szCs w:val="24"/>
        </w:rPr>
        <w:fldChar w:fldCharType="end"/>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2610"/>
        <w:gridCol w:w="3330"/>
      </w:tblGrid>
      <w:tr w:rsidR="003B6628" w:rsidRPr="007C386B" w14:paraId="1B4D8754" w14:textId="77777777" w:rsidTr="008C0AC3">
        <w:tc>
          <w:tcPr>
            <w:tcW w:w="3258"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0A1C0EFC" w14:textId="6B85EC8B" w:rsidR="003B6628" w:rsidRPr="007C386B" w:rsidRDefault="003B6628" w:rsidP="00065A49">
            <w:pPr>
              <w:pStyle w:val="Normal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High Risk</w:t>
            </w:r>
          </w:p>
        </w:tc>
        <w:tc>
          <w:tcPr>
            <w:tcW w:w="2610"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71777EDC" w14:textId="04E0AE60" w:rsidR="003B6628" w:rsidRPr="007C386B" w:rsidRDefault="003B6628" w:rsidP="00065A49">
            <w:pPr>
              <w:pStyle w:val="Normal1"/>
              <w:jc w:val="center"/>
              <w:rPr>
                <w:rFonts w:ascii="Times New Roman" w:hAnsi="Times New Roman" w:cs="Times New Roman"/>
                <w:color w:val="000000"/>
                <w:sz w:val="24"/>
                <w:szCs w:val="24"/>
              </w:rPr>
            </w:pPr>
            <w:r>
              <w:rPr>
                <w:rFonts w:ascii="Times New Roman" w:hAnsi="Times New Roman" w:cs="Times New Roman"/>
                <w:b/>
                <w:sz w:val="24"/>
                <w:szCs w:val="24"/>
              </w:rPr>
              <w:t>Intermediated Risk</w:t>
            </w:r>
          </w:p>
        </w:tc>
        <w:tc>
          <w:tcPr>
            <w:tcW w:w="3330"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104AA94C" w14:textId="66EF4D6B" w:rsidR="003B6628" w:rsidRPr="007C386B" w:rsidRDefault="003B6628" w:rsidP="00065A49">
            <w:pPr>
              <w:pStyle w:val="Normal1"/>
              <w:jc w:val="center"/>
              <w:rPr>
                <w:rFonts w:ascii="Times New Roman" w:hAnsi="Times New Roman" w:cs="Times New Roman"/>
                <w:color w:val="000000"/>
                <w:sz w:val="24"/>
                <w:szCs w:val="24"/>
              </w:rPr>
            </w:pPr>
            <w:r>
              <w:rPr>
                <w:rFonts w:ascii="Times New Roman" w:hAnsi="Times New Roman" w:cs="Times New Roman"/>
                <w:b/>
                <w:color w:val="000000"/>
                <w:sz w:val="24"/>
                <w:szCs w:val="24"/>
              </w:rPr>
              <w:t>Low Risk</w:t>
            </w:r>
          </w:p>
        </w:tc>
      </w:tr>
      <w:tr w:rsidR="003B6628" w:rsidRPr="007C386B" w14:paraId="1781A803"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084D5645" w14:textId="259608F6" w:rsidR="003B6628" w:rsidRPr="007C386B" w:rsidRDefault="003B6628" w:rsidP="00065A49">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3</w:t>
            </w:r>
            <w:r w:rsidRPr="007C386B">
              <w:rPr>
                <w:rFonts w:ascii="Times New Roman" w:hAnsi="Times New Roman" w:cs="Times New Roman"/>
                <w:sz w:val="24"/>
                <w:szCs w:val="24"/>
                <w:vertAlign w:val="superscript"/>
              </w:rPr>
              <w:t>rd</w:t>
            </w:r>
            <w:r w:rsidRPr="007C386B">
              <w:rPr>
                <w:rFonts w:ascii="Times New Roman" w:hAnsi="Times New Roman" w:cs="Times New Roman"/>
                <w:sz w:val="24"/>
                <w:szCs w:val="24"/>
              </w:rPr>
              <w:t xml:space="preserve"> generation cephalosporins</w:t>
            </w:r>
          </w:p>
        </w:tc>
        <w:tc>
          <w:tcPr>
            <w:tcW w:w="2610" w:type="dxa"/>
            <w:tcBorders>
              <w:top w:val="single" w:sz="6" w:space="0" w:color="000000"/>
              <w:left w:val="single" w:sz="6" w:space="0" w:color="000000"/>
              <w:bottom w:val="single" w:sz="6" w:space="0" w:color="000000"/>
              <w:right w:val="single" w:sz="6" w:space="0" w:color="000000"/>
            </w:tcBorders>
          </w:tcPr>
          <w:p w14:paraId="19F343C0" w14:textId="17F761B5" w:rsidR="003B6628" w:rsidRPr="007C386B" w:rsidRDefault="003B6628" w:rsidP="003B6628">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aminoglycosides</w:t>
            </w:r>
          </w:p>
        </w:tc>
        <w:tc>
          <w:tcPr>
            <w:tcW w:w="3330" w:type="dxa"/>
            <w:tcBorders>
              <w:top w:val="single" w:sz="6" w:space="0" w:color="000000"/>
              <w:left w:val="single" w:sz="6" w:space="0" w:color="000000"/>
              <w:bottom w:val="single" w:sz="6" w:space="0" w:color="000000"/>
              <w:right w:val="single" w:sz="6" w:space="0" w:color="000000"/>
            </w:tcBorders>
          </w:tcPr>
          <w:p w14:paraId="247AD672" w14:textId="19DFBF57" w:rsidR="003B6628" w:rsidRPr="007C386B" w:rsidRDefault="003B6628" w:rsidP="008C0AC3">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1</w:t>
            </w:r>
            <w:r w:rsidRPr="007C386B">
              <w:rPr>
                <w:rFonts w:ascii="Times New Roman" w:hAnsi="Times New Roman" w:cs="Times New Roman"/>
                <w:sz w:val="24"/>
                <w:szCs w:val="24"/>
                <w:vertAlign w:val="superscript"/>
              </w:rPr>
              <w:t>st</w:t>
            </w:r>
            <w:r w:rsidRPr="007C386B">
              <w:rPr>
                <w:rFonts w:ascii="Times New Roman" w:hAnsi="Times New Roman" w:cs="Times New Roman"/>
                <w:sz w:val="24"/>
                <w:szCs w:val="24"/>
              </w:rPr>
              <w:t xml:space="preserve"> generation cephalosporins</w:t>
            </w:r>
          </w:p>
        </w:tc>
      </w:tr>
      <w:tr w:rsidR="003B6628" w:rsidRPr="007C386B" w14:paraId="0E8D03F0"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64173156" w14:textId="19F42D4B" w:rsidR="003B6628" w:rsidRPr="007C386B" w:rsidRDefault="003B6628" w:rsidP="00065A49">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4</w:t>
            </w:r>
            <w:r w:rsidRPr="007C386B">
              <w:rPr>
                <w:rFonts w:ascii="Times New Roman" w:hAnsi="Times New Roman" w:cs="Times New Roman"/>
                <w:sz w:val="24"/>
                <w:szCs w:val="24"/>
                <w:vertAlign w:val="superscript"/>
              </w:rPr>
              <w:t>th</w:t>
            </w:r>
            <w:r w:rsidRPr="007C386B">
              <w:rPr>
                <w:rFonts w:ascii="Times New Roman" w:hAnsi="Times New Roman" w:cs="Times New Roman"/>
                <w:sz w:val="24"/>
                <w:szCs w:val="24"/>
              </w:rPr>
              <w:t xml:space="preserve"> generation cephalosporins</w:t>
            </w:r>
          </w:p>
        </w:tc>
        <w:tc>
          <w:tcPr>
            <w:tcW w:w="2610" w:type="dxa"/>
            <w:tcBorders>
              <w:top w:val="single" w:sz="6" w:space="0" w:color="000000"/>
              <w:left w:val="single" w:sz="6" w:space="0" w:color="000000"/>
              <w:bottom w:val="single" w:sz="6" w:space="0" w:color="000000"/>
              <w:right w:val="single" w:sz="6" w:space="0" w:color="000000"/>
            </w:tcBorders>
          </w:tcPr>
          <w:p w14:paraId="68CC9D8F" w14:textId="0ED3F084" w:rsidR="003B6628" w:rsidRPr="007C386B" w:rsidRDefault="003B6628" w:rsidP="003B6628">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penicillins</w:t>
            </w:r>
          </w:p>
        </w:tc>
        <w:tc>
          <w:tcPr>
            <w:tcW w:w="3330" w:type="dxa"/>
            <w:tcBorders>
              <w:top w:val="single" w:sz="6" w:space="0" w:color="000000"/>
              <w:left w:val="single" w:sz="6" w:space="0" w:color="000000"/>
              <w:bottom w:val="single" w:sz="6" w:space="0" w:color="000000"/>
              <w:right w:val="single" w:sz="6" w:space="0" w:color="000000"/>
            </w:tcBorders>
          </w:tcPr>
          <w:p w14:paraId="0CC577AE" w14:textId="37BC1B83" w:rsidR="003B6628" w:rsidRPr="007C386B" w:rsidRDefault="003B6628" w:rsidP="008C0AC3">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2</w:t>
            </w:r>
            <w:r w:rsidRPr="007C386B">
              <w:rPr>
                <w:rFonts w:ascii="Times New Roman" w:hAnsi="Times New Roman" w:cs="Times New Roman"/>
                <w:sz w:val="24"/>
                <w:szCs w:val="24"/>
                <w:vertAlign w:val="superscript"/>
              </w:rPr>
              <w:t>nd</w:t>
            </w:r>
            <w:r w:rsidRPr="007C386B">
              <w:rPr>
                <w:rFonts w:ascii="Times New Roman" w:hAnsi="Times New Roman" w:cs="Times New Roman"/>
                <w:sz w:val="24"/>
                <w:szCs w:val="24"/>
              </w:rPr>
              <w:t xml:space="preserve"> generation cephalosporins</w:t>
            </w:r>
          </w:p>
        </w:tc>
      </w:tr>
      <w:tr w:rsidR="003B6628" w:rsidRPr="007C386B" w14:paraId="11F9BC9C"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52DCCABB" w14:textId="14D91952" w:rsidR="003B6628" w:rsidRPr="007C386B" w:rsidRDefault="003B6628" w:rsidP="00065A49">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fluoroquinolones</w:t>
            </w:r>
          </w:p>
        </w:tc>
        <w:tc>
          <w:tcPr>
            <w:tcW w:w="2610" w:type="dxa"/>
            <w:tcBorders>
              <w:top w:val="single" w:sz="6" w:space="0" w:color="000000"/>
              <w:left w:val="single" w:sz="6" w:space="0" w:color="000000"/>
              <w:bottom w:val="single" w:sz="6" w:space="0" w:color="000000"/>
              <w:right w:val="single" w:sz="6" w:space="0" w:color="000000"/>
            </w:tcBorders>
          </w:tcPr>
          <w:p w14:paraId="7B5A38C7" w14:textId="430DD9A9" w:rsidR="003B6628" w:rsidRPr="007C386B" w:rsidRDefault="003B6628" w:rsidP="003B6628">
            <w:pPr>
              <w:pStyle w:val="Normal1"/>
              <w:rPr>
                <w:rFonts w:ascii="Times New Roman" w:hAnsi="Times New Roman" w:cs="Times New Roman"/>
                <w:color w:val="000000"/>
                <w:sz w:val="24"/>
                <w:szCs w:val="24"/>
              </w:rPr>
            </w:pPr>
            <w:r>
              <w:rPr>
                <w:rFonts w:ascii="Times New Roman" w:hAnsi="Times New Roman" w:cs="Times New Roman"/>
                <w:sz w:val="24"/>
                <w:szCs w:val="24"/>
              </w:rPr>
              <w:t>vancomycin</w:t>
            </w:r>
          </w:p>
        </w:tc>
        <w:tc>
          <w:tcPr>
            <w:tcW w:w="3330" w:type="dxa"/>
            <w:tcBorders>
              <w:top w:val="single" w:sz="6" w:space="0" w:color="000000"/>
              <w:left w:val="single" w:sz="6" w:space="0" w:color="000000"/>
              <w:bottom w:val="single" w:sz="6" w:space="0" w:color="000000"/>
              <w:right w:val="single" w:sz="6" w:space="0" w:color="000000"/>
            </w:tcBorders>
          </w:tcPr>
          <w:p w14:paraId="4F412A1F" w14:textId="321EF380" w:rsidR="003B6628" w:rsidRPr="007C386B" w:rsidRDefault="003B6628" w:rsidP="008C0AC3">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macrolides</w:t>
            </w:r>
          </w:p>
        </w:tc>
      </w:tr>
      <w:tr w:rsidR="003B6628" w:rsidRPr="007C386B" w14:paraId="5C79F0C9"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34C55BE1" w14:textId="2F886DF6" w:rsidR="003B6628" w:rsidRPr="007C386B" w:rsidRDefault="003B6628" w:rsidP="00065A49">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β-lactam/β-lactamase inhibitor combinations</w:t>
            </w:r>
          </w:p>
        </w:tc>
        <w:tc>
          <w:tcPr>
            <w:tcW w:w="2610" w:type="dxa"/>
            <w:tcBorders>
              <w:top w:val="single" w:sz="6" w:space="0" w:color="000000"/>
              <w:left w:val="single" w:sz="6" w:space="0" w:color="000000"/>
              <w:bottom w:val="single" w:sz="6" w:space="0" w:color="000000"/>
              <w:right w:val="single" w:sz="6" w:space="0" w:color="000000"/>
            </w:tcBorders>
          </w:tcPr>
          <w:p w14:paraId="12628ADA" w14:textId="0563F2CD"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697584F1" w14:textId="5BAA42FE" w:rsidR="003B6628" w:rsidRPr="007C386B" w:rsidRDefault="003B6628" w:rsidP="008C0AC3">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tetracyclines</w:t>
            </w:r>
          </w:p>
        </w:tc>
      </w:tr>
      <w:tr w:rsidR="003B6628" w:rsidRPr="007C386B" w14:paraId="094F49E9"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4D1723B0" w14:textId="16AB623A" w:rsidR="003B6628" w:rsidRPr="007C386B" w:rsidRDefault="003B6628" w:rsidP="00065A49">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carbapenems</w:t>
            </w:r>
          </w:p>
        </w:tc>
        <w:tc>
          <w:tcPr>
            <w:tcW w:w="2610" w:type="dxa"/>
            <w:tcBorders>
              <w:top w:val="single" w:sz="6" w:space="0" w:color="000000"/>
              <w:left w:val="single" w:sz="6" w:space="0" w:color="000000"/>
              <w:bottom w:val="single" w:sz="6" w:space="0" w:color="000000"/>
              <w:right w:val="single" w:sz="6" w:space="0" w:color="000000"/>
            </w:tcBorders>
          </w:tcPr>
          <w:p w14:paraId="0BC0FA85" w14:textId="6666641C"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05578328" w14:textId="57EF0F22" w:rsidR="003B6628" w:rsidRPr="007C386B" w:rsidRDefault="003B6628" w:rsidP="008C0AC3">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metronidazole</w:t>
            </w:r>
          </w:p>
        </w:tc>
      </w:tr>
      <w:tr w:rsidR="003B6628" w:rsidRPr="007C386B" w14:paraId="79749A07"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66CE875B" w14:textId="4A5A5EE6" w:rsidR="003B6628" w:rsidRPr="007C386B" w:rsidRDefault="003B6628" w:rsidP="00065A49">
            <w:pPr>
              <w:pStyle w:val="Normal1"/>
              <w:rPr>
                <w:rFonts w:ascii="Times New Roman" w:hAnsi="Times New Roman" w:cs="Times New Roman"/>
                <w:sz w:val="24"/>
                <w:szCs w:val="24"/>
              </w:rPr>
            </w:pPr>
            <w:r w:rsidRPr="007C386B">
              <w:rPr>
                <w:rFonts w:ascii="Times New Roman" w:hAnsi="Times New Roman" w:cs="Times New Roman"/>
                <w:sz w:val="24"/>
                <w:szCs w:val="24"/>
              </w:rPr>
              <w:t>clindamycin</w:t>
            </w:r>
          </w:p>
        </w:tc>
        <w:tc>
          <w:tcPr>
            <w:tcW w:w="2610" w:type="dxa"/>
            <w:tcBorders>
              <w:top w:val="single" w:sz="6" w:space="0" w:color="000000"/>
              <w:left w:val="single" w:sz="6" w:space="0" w:color="000000"/>
              <w:bottom w:val="single" w:sz="6" w:space="0" w:color="000000"/>
              <w:right w:val="single" w:sz="6" w:space="0" w:color="000000"/>
            </w:tcBorders>
          </w:tcPr>
          <w:p w14:paraId="1C2B9B62" w14:textId="77777777"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4FF4B29A" w14:textId="5459CE5B" w:rsidR="003B6628" w:rsidRPr="007C386B" w:rsidRDefault="003B6628" w:rsidP="008C0AC3">
            <w:pPr>
              <w:pStyle w:val="Normal1"/>
              <w:rPr>
                <w:rFonts w:ascii="Times New Roman" w:hAnsi="Times New Roman" w:cs="Times New Roman"/>
                <w:color w:val="000000"/>
                <w:sz w:val="24"/>
                <w:szCs w:val="24"/>
              </w:rPr>
            </w:pPr>
            <w:r w:rsidRPr="007C386B">
              <w:rPr>
                <w:rFonts w:ascii="Times New Roman" w:hAnsi="Times New Roman" w:cs="Times New Roman"/>
                <w:sz w:val="24"/>
                <w:szCs w:val="24"/>
              </w:rPr>
              <w:t>trimethoprim/sulfamethoxazole</w:t>
            </w:r>
          </w:p>
        </w:tc>
      </w:tr>
      <w:tr w:rsidR="003B6628" w:rsidRPr="007C386B" w14:paraId="07210DAF"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1D14DB21" w14:textId="77777777" w:rsidR="003B6628" w:rsidRPr="007C386B" w:rsidRDefault="003B6628" w:rsidP="00065A49">
            <w:pPr>
              <w:pStyle w:val="Normal1"/>
              <w:rPr>
                <w:rFonts w:ascii="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14:paraId="44273178" w14:textId="77777777"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2EA19014" w14:textId="18E984CF" w:rsidR="003B6628" w:rsidRPr="007C386B" w:rsidRDefault="003B6628" w:rsidP="008C0AC3">
            <w:pPr>
              <w:pStyle w:val="Normal1"/>
              <w:rPr>
                <w:rFonts w:ascii="Times New Roman" w:hAnsi="Times New Roman" w:cs="Times New Roman"/>
                <w:sz w:val="24"/>
                <w:szCs w:val="24"/>
              </w:rPr>
            </w:pPr>
            <w:r w:rsidRPr="007C386B">
              <w:rPr>
                <w:rFonts w:ascii="Times New Roman" w:hAnsi="Times New Roman" w:cs="Times New Roman"/>
                <w:sz w:val="24"/>
                <w:szCs w:val="24"/>
              </w:rPr>
              <w:t>daptomycin</w:t>
            </w:r>
          </w:p>
        </w:tc>
      </w:tr>
      <w:tr w:rsidR="003B6628" w:rsidRPr="007C386B" w14:paraId="4207482C"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08DCD1D8" w14:textId="77777777" w:rsidR="003B6628" w:rsidRPr="007C386B" w:rsidRDefault="003B6628" w:rsidP="00065A49">
            <w:pPr>
              <w:pStyle w:val="Normal1"/>
              <w:rPr>
                <w:rFonts w:ascii="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14:paraId="1A6AEEFD" w14:textId="77777777"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135F1723" w14:textId="78E29A9C" w:rsidR="003B6628" w:rsidRPr="007C386B" w:rsidRDefault="003B6628" w:rsidP="008C0AC3">
            <w:pPr>
              <w:pStyle w:val="Normal1"/>
              <w:rPr>
                <w:rFonts w:ascii="Times New Roman" w:hAnsi="Times New Roman" w:cs="Times New Roman"/>
                <w:sz w:val="24"/>
                <w:szCs w:val="24"/>
              </w:rPr>
            </w:pPr>
            <w:r w:rsidRPr="007C386B">
              <w:rPr>
                <w:rFonts w:ascii="Times New Roman" w:hAnsi="Times New Roman" w:cs="Times New Roman"/>
                <w:sz w:val="24"/>
                <w:szCs w:val="24"/>
              </w:rPr>
              <w:t>nitrofurantoin</w:t>
            </w:r>
          </w:p>
        </w:tc>
      </w:tr>
      <w:tr w:rsidR="003B6628" w:rsidRPr="007C386B" w14:paraId="51C15F94"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12E0ACFB" w14:textId="77777777" w:rsidR="003B6628" w:rsidRPr="007C386B" w:rsidRDefault="003B6628" w:rsidP="00065A49">
            <w:pPr>
              <w:pStyle w:val="Normal1"/>
              <w:rPr>
                <w:rFonts w:ascii="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14:paraId="5058E4A3" w14:textId="77777777"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7D4817AE" w14:textId="2739768E" w:rsidR="003B6628" w:rsidRPr="007C386B" w:rsidRDefault="003B6628" w:rsidP="008C0AC3">
            <w:pPr>
              <w:pStyle w:val="Normal1"/>
              <w:rPr>
                <w:rFonts w:ascii="Times New Roman" w:hAnsi="Times New Roman" w:cs="Times New Roman"/>
                <w:sz w:val="24"/>
                <w:szCs w:val="24"/>
              </w:rPr>
            </w:pPr>
            <w:r w:rsidRPr="007C386B">
              <w:rPr>
                <w:rFonts w:ascii="Times New Roman" w:hAnsi="Times New Roman" w:cs="Times New Roman"/>
                <w:sz w:val="24"/>
                <w:szCs w:val="24"/>
              </w:rPr>
              <w:t>aztreonam</w:t>
            </w:r>
          </w:p>
        </w:tc>
      </w:tr>
      <w:tr w:rsidR="003B6628" w:rsidRPr="007C386B" w14:paraId="1AD6CA91"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4CF6ED98" w14:textId="77777777" w:rsidR="003B6628" w:rsidRPr="007C386B" w:rsidRDefault="003B6628" w:rsidP="00065A49">
            <w:pPr>
              <w:pStyle w:val="Normal1"/>
              <w:rPr>
                <w:rFonts w:ascii="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14:paraId="3805C466" w14:textId="77777777"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504C5146" w14:textId="2A8CB118" w:rsidR="003B6628" w:rsidRPr="007C386B" w:rsidRDefault="003B6628" w:rsidP="008C0AC3">
            <w:pPr>
              <w:pStyle w:val="Normal1"/>
              <w:rPr>
                <w:rFonts w:ascii="Times New Roman" w:hAnsi="Times New Roman" w:cs="Times New Roman"/>
                <w:sz w:val="24"/>
                <w:szCs w:val="24"/>
              </w:rPr>
            </w:pPr>
            <w:r w:rsidRPr="007C386B">
              <w:rPr>
                <w:rFonts w:ascii="Times New Roman" w:hAnsi="Times New Roman" w:cs="Times New Roman"/>
                <w:sz w:val="24"/>
                <w:szCs w:val="24"/>
              </w:rPr>
              <w:t>fosfomycin</w:t>
            </w:r>
          </w:p>
        </w:tc>
      </w:tr>
      <w:tr w:rsidR="003B6628" w:rsidRPr="007C386B" w14:paraId="24C44F9C" w14:textId="77777777" w:rsidTr="008C0AC3">
        <w:tc>
          <w:tcPr>
            <w:tcW w:w="3258" w:type="dxa"/>
            <w:tcBorders>
              <w:top w:val="single" w:sz="6" w:space="0" w:color="000000"/>
              <w:left w:val="single" w:sz="6" w:space="0" w:color="000000"/>
              <w:bottom w:val="single" w:sz="6" w:space="0" w:color="000000"/>
              <w:right w:val="single" w:sz="6" w:space="0" w:color="000000"/>
            </w:tcBorders>
          </w:tcPr>
          <w:p w14:paraId="4288F907" w14:textId="77777777" w:rsidR="003B6628" w:rsidRPr="007C386B" w:rsidRDefault="003B6628" w:rsidP="00065A49">
            <w:pPr>
              <w:pStyle w:val="Normal1"/>
              <w:rPr>
                <w:rFonts w:ascii="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14:paraId="1BC64907" w14:textId="77777777" w:rsidR="003B6628" w:rsidRPr="007C386B" w:rsidRDefault="003B6628" w:rsidP="00065A49">
            <w:pPr>
              <w:pStyle w:val="Normal1"/>
              <w:jc w:val="center"/>
              <w:rPr>
                <w:rFonts w:ascii="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tcPr>
          <w:p w14:paraId="20EC4FF6" w14:textId="6B30A917" w:rsidR="003B6628" w:rsidRPr="007C386B" w:rsidRDefault="003B6628" w:rsidP="008C0AC3">
            <w:pPr>
              <w:pStyle w:val="Normal1"/>
              <w:rPr>
                <w:rFonts w:ascii="Times New Roman" w:hAnsi="Times New Roman" w:cs="Times New Roman"/>
                <w:sz w:val="24"/>
                <w:szCs w:val="24"/>
              </w:rPr>
            </w:pPr>
            <w:r w:rsidRPr="007C386B">
              <w:rPr>
                <w:rFonts w:ascii="Times New Roman" w:hAnsi="Times New Roman" w:cs="Times New Roman"/>
                <w:sz w:val="24"/>
                <w:szCs w:val="24"/>
              </w:rPr>
              <w:t>linezolid</w:t>
            </w:r>
          </w:p>
        </w:tc>
      </w:tr>
    </w:tbl>
    <w:p w14:paraId="1B98AB71" w14:textId="77777777" w:rsidR="003B6628" w:rsidRDefault="003B6628" w:rsidP="00E56B4D">
      <w:pPr>
        <w:spacing w:line="480" w:lineRule="auto"/>
        <w:rPr>
          <w:rFonts w:ascii="Times New Roman" w:hAnsi="Times New Roman" w:cs="Times New Roman"/>
          <w:b/>
          <w:bCs/>
          <w:sz w:val="24"/>
          <w:szCs w:val="24"/>
        </w:rPr>
      </w:pPr>
    </w:p>
    <w:p w14:paraId="5A304C31" w14:textId="1161CD47" w:rsidR="00E56B4D" w:rsidRDefault="00E56B4D" w:rsidP="000B40E3">
      <w:pPr>
        <w:rPr>
          <w:rFonts w:ascii="Times New Roman" w:hAnsi="Times New Roman" w:cs="Times New Roman"/>
          <w:b/>
          <w:bCs/>
          <w:sz w:val="24"/>
          <w:szCs w:val="24"/>
        </w:rPr>
      </w:pPr>
    </w:p>
    <w:p w14:paraId="700CDF54" w14:textId="77777777" w:rsidR="00C078C3" w:rsidRDefault="00C078C3" w:rsidP="000B40E3">
      <w:pPr>
        <w:rPr>
          <w:rFonts w:ascii="Times New Roman" w:hAnsi="Times New Roman" w:cs="Times New Roman"/>
          <w:b/>
          <w:bCs/>
          <w:sz w:val="24"/>
          <w:szCs w:val="24"/>
        </w:rPr>
      </w:pPr>
    </w:p>
    <w:p w14:paraId="4D65BE50" w14:textId="08459D18" w:rsidR="000B40E3" w:rsidRPr="007C386B" w:rsidRDefault="000B40E3" w:rsidP="000B40E3">
      <w:pPr>
        <w:rPr>
          <w:rFonts w:ascii="Times New Roman" w:hAnsi="Times New Roman" w:cs="Times New Roman"/>
          <w:b/>
          <w:bCs/>
          <w:sz w:val="24"/>
          <w:szCs w:val="24"/>
        </w:rPr>
      </w:pPr>
      <w:r>
        <w:rPr>
          <w:rFonts w:ascii="Times New Roman" w:hAnsi="Times New Roman" w:cs="Times New Roman"/>
          <w:b/>
          <w:bCs/>
          <w:sz w:val="24"/>
          <w:szCs w:val="24"/>
        </w:rPr>
        <w:t>Supplemental Table</w:t>
      </w:r>
      <w:r w:rsidRPr="007C386B">
        <w:rPr>
          <w:rFonts w:ascii="Times New Roman" w:hAnsi="Times New Roman" w:cs="Times New Roman"/>
          <w:b/>
          <w:bCs/>
          <w:sz w:val="24"/>
          <w:szCs w:val="24"/>
        </w:rPr>
        <w:t xml:space="preserve"> </w:t>
      </w:r>
      <w:r w:rsidR="00C078C3">
        <w:rPr>
          <w:rFonts w:ascii="Times New Roman" w:hAnsi="Times New Roman" w:cs="Times New Roman"/>
          <w:b/>
          <w:bCs/>
          <w:sz w:val="24"/>
          <w:szCs w:val="24"/>
        </w:rPr>
        <w:t>3</w:t>
      </w:r>
      <w:r w:rsidRPr="007C386B">
        <w:rPr>
          <w:rFonts w:ascii="Times New Roman" w:hAnsi="Times New Roman" w:cs="Times New Roman"/>
          <w:b/>
          <w:bCs/>
          <w:sz w:val="24"/>
          <w:szCs w:val="24"/>
        </w:rPr>
        <w:t>: Multivariable negative binomial model for covariate associations with length of stay</w:t>
      </w:r>
    </w:p>
    <w:tbl>
      <w:tblPr>
        <w:tblW w:w="8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1980"/>
        <w:gridCol w:w="1350"/>
      </w:tblGrid>
      <w:tr w:rsidR="000B40E3" w:rsidRPr="007C386B" w14:paraId="5B400F81" w14:textId="77777777" w:rsidTr="007755C3">
        <w:tc>
          <w:tcPr>
            <w:tcW w:w="5032"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5342ECEF" w14:textId="77777777" w:rsidR="000B40E3" w:rsidRPr="007C386B" w:rsidRDefault="000B40E3" w:rsidP="007755C3">
            <w:pPr>
              <w:pStyle w:val="Normal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Negative Binomial Regression Covariate</w:t>
            </w:r>
          </w:p>
        </w:tc>
        <w:tc>
          <w:tcPr>
            <w:tcW w:w="1980"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49887FEA"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b/>
                <w:sz w:val="24"/>
                <w:szCs w:val="24"/>
              </w:rPr>
              <w:t>R</w:t>
            </w:r>
            <w:r w:rsidRPr="007C386B">
              <w:rPr>
                <w:rFonts w:ascii="Times New Roman" w:hAnsi="Times New Roman" w:cs="Times New Roman"/>
                <w:b/>
                <w:color w:val="000000"/>
                <w:sz w:val="24"/>
                <w:szCs w:val="24"/>
              </w:rPr>
              <w:t>R (95% CI)</w:t>
            </w:r>
          </w:p>
        </w:tc>
        <w:tc>
          <w:tcPr>
            <w:tcW w:w="1350"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14A00DDA"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b/>
                <w:color w:val="000000"/>
                <w:sz w:val="24"/>
                <w:szCs w:val="24"/>
              </w:rPr>
              <w:t>P-value</w:t>
            </w:r>
          </w:p>
        </w:tc>
      </w:tr>
      <w:tr w:rsidR="000B40E3" w:rsidRPr="007C386B" w14:paraId="023222E7"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439FA141"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bPNA, none → possible → probable/proven</w:t>
            </w:r>
          </w:p>
        </w:tc>
        <w:tc>
          <w:tcPr>
            <w:tcW w:w="1980" w:type="dxa"/>
            <w:tcBorders>
              <w:top w:val="single" w:sz="6" w:space="0" w:color="000000"/>
              <w:left w:val="single" w:sz="6" w:space="0" w:color="000000"/>
              <w:bottom w:val="single" w:sz="6" w:space="0" w:color="000000"/>
              <w:right w:val="single" w:sz="6" w:space="0" w:color="000000"/>
            </w:tcBorders>
          </w:tcPr>
          <w:p w14:paraId="5DFA08D6"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1.38 (1.23, 1.54)</w:t>
            </w:r>
          </w:p>
        </w:tc>
        <w:tc>
          <w:tcPr>
            <w:tcW w:w="1350" w:type="dxa"/>
            <w:tcBorders>
              <w:top w:val="single" w:sz="6" w:space="0" w:color="000000"/>
              <w:left w:val="single" w:sz="6" w:space="0" w:color="000000"/>
              <w:bottom w:val="single" w:sz="6" w:space="0" w:color="000000"/>
              <w:right w:val="single" w:sz="6" w:space="0" w:color="000000"/>
            </w:tcBorders>
          </w:tcPr>
          <w:p w14:paraId="5C31EBDB"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&lt;.001</w:t>
            </w:r>
          </w:p>
        </w:tc>
      </w:tr>
      <w:tr w:rsidR="000B40E3" w:rsidRPr="007C386B" w14:paraId="180367EF"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5871B270" w14:textId="2DCA2C8A"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 xml:space="preserve">Initial PCT, per </w:t>
            </w:r>
            <w:r w:rsidR="004423E4">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increase</w:t>
            </w:r>
          </w:p>
        </w:tc>
        <w:tc>
          <w:tcPr>
            <w:tcW w:w="1980" w:type="dxa"/>
            <w:tcBorders>
              <w:top w:val="single" w:sz="6" w:space="0" w:color="000000"/>
              <w:left w:val="single" w:sz="6" w:space="0" w:color="000000"/>
              <w:bottom w:val="single" w:sz="6" w:space="0" w:color="000000"/>
              <w:right w:val="single" w:sz="6" w:space="0" w:color="000000"/>
            </w:tcBorders>
          </w:tcPr>
          <w:p w14:paraId="1CD74736" w14:textId="1737AE46"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w:t>
            </w:r>
            <w:r w:rsidR="004423E4">
              <w:rPr>
                <w:rFonts w:ascii="Times New Roman" w:hAnsi="Times New Roman" w:cs="Times New Roman"/>
                <w:color w:val="000000"/>
                <w:sz w:val="24"/>
                <w:szCs w:val="24"/>
              </w:rPr>
              <w:t>07</w:t>
            </w:r>
            <w:r w:rsidRPr="007C386B">
              <w:rPr>
                <w:rFonts w:ascii="Times New Roman" w:hAnsi="Times New Roman" w:cs="Times New Roman"/>
                <w:color w:val="000000"/>
                <w:sz w:val="24"/>
                <w:szCs w:val="24"/>
              </w:rPr>
              <w:t xml:space="preserve"> (1.</w:t>
            </w:r>
            <w:r w:rsidR="004423E4">
              <w:rPr>
                <w:rFonts w:ascii="Times New Roman" w:hAnsi="Times New Roman" w:cs="Times New Roman"/>
                <w:color w:val="000000"/>
                <w:sz w:val="24"/>
                <w:szCs w:val="24"/>
              </w:rPr>
              <w:t>05</w:t>
            </w:r>
            <w:r w:rsidRPr="007C386B">
              <w:rPr>
                <w:rFonts w:ascii="Times New Roman" w:hAnsi="Times New Roman" w:cs="Times New Roman"/>
                <w:color w:val="000000"/>
                <w:sz w:val="24"/>
                <w:szCs w:val="24"/>
              </w:rPr>
              <w:t>, 1.</w:t>
            </w:r>
            <w:r w:rsidR="004423E4">
              <w:rPr>
                <w:rFonts w:ascii="Times New Roman" w:hAnsi="Times New Roman" w:cs="Times New Roman"/>
                <w:color w:val="000000"/>
                <w:sz w:val="24"/>
                <w:szCs w:val="24"/>
              </w:rPr>
              <w:t>09</w:t>
            </w:r>
            <w:r w:rsidRPr="007C386B">
              <w:rPr>
                <w:rFonts w:ascii="Times New Roman" w:hAnsi="Times New Roman" w:cs="Times New Roman"/>
                <w:color w:val="000000"/>
                <w:sz w:val="24"/>
                <w:szCs w:val="24"/>
              </w:rPr>
              <w:t>)</w:t>
            </w:r>
          </w:p>
        </w:tc>
        <w:tc>
          <w:tcPr>
            <w:tcW w:w="1350" w:type="dxa"/>
            <w:tcBorders>
              <w:top w:val="single" w:sz="6" w:space="0" w:color="000000"/>
              <w:left w:val="single" w:sz="6" w:space="0" w:color="000000"/>
              <w:bottom w:val="single" w:sz="6" w:space="0" w:color="000000"/>
              <w:right w:val="single" w:sz="6" w:space="0" w:color="000000"/>
            </w:tcBorders>
          </w:tcPr>
          <w:p w14:paraId="09D3A8E7"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&lt;.001</w:t>
            </w:r>
          </w:p>
        </w:tc>
      </w:tr>
      <w:tr w:rsidR="000B40E3" w:rsidRPr="007C386B" w14:paraId="710B22BD"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55B6F046"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 Change in Daily PCT, per unit increase</w:t>
            </w:r>
          </w:p>
        </w:tc>
        <w:tc>
          <w:tcPr>
            <w:tcW w:w="1980" w:type="dxa"/>
            <w:tcBorders>
              <w:top w:val="single" w:sz="6" w:space="0" w:color="000000"/>
              <w:left w:val="single" w:sz="6" w:space="0" w:color="000000"/>
              <w:bottom w:val="single" w:sz="6" w:space="0" w:color="000000"/>
              <w:right w:val="single" w:sz="6" w:space="0" w:color="000000"/>
            </w:tcBorders>
          </w:tcPr>
          <w:p w14:paraId="662C8CF6"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1.02 (1.01, 1.03)</w:t>
            </w:r>
          </w:p>
        </w:tc>
        <w:tc>
          <w:tcPr>
            <w:tcW w:w="1350" w:type="dxa"/>
            <w:tcBorders>
              <w:top w:val="single" w:sz="6" w:space="0" w:color="000000"/>
              <w:left w:val="single" w:sz="6" w:space="0" w:color="000000"/>
              <w:bottom w:val="single" w:sz="6" w:space="0" w:color="000000"/>
              <w:right w:val="single" w:sz="6" w:space="0" w:color="000000"/>
            </w:tcBorders>
          </w:tcPr>
          <w:p w14:paraId="5628A9E9"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&lt;.001</w:t>
            </w:r>
          </w:p>
        </w:tc>
      </w:tr>
      <w:tr w:rsidR="000B40E3" w:rsidRPr="007C386B" w14:paraId="211659E0"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5340975B"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Time from start of pandemic, per 2-week increase</w:t>
            </w:r>
          </w:p>
        </w:tc>
        <w:tc>
          <w:tcPr>
            <w:tcW w:w="1980" w:type="dxa"/>
            <w:tcBorders>
              <w:top w:val="single" w:sz="6" w:space="0" w:color="000000"/>
              <w:left w:val="single" w:sz="6" w:space="0" w:color="000000"/>
              <w:bottom w:val="single" w:sz="6" w:space="0" w:color="000000"/>
              <w:right w:val="single" w:sz="6" w:space="0" w:color="000000"/>
            </w:tcBorders>
          </w:tcPr>
          <w:p w14:paraId="6FFB7112"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0.99 (0.98, 0.99)</w:t>
            </w:r>
          </w:p>
        </w:tc>
        <w:tc>
          <w:tcPr>
            <w:tcW w:w="1350" w:type="dxa"/>
            <w:tcBorders>
              <w:top w:val="single" w:sz="6" w:space="0" w:color="000000"/>
              <w:left w:val="single" w:sz="6" w:space="0" w:color="000000"/>
              <w:bottom w:val="single" w:sz="6" w:space="0" w:color="000000"/>
              <w:right w:val="single" w:sz="6" w:space="0" w:color="000000"/>
            </w:tcBorders>
          </w:tcPr>
          <w:p w14:paraId="1C2DB8C7"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&lt;.001</w:t>
            </w:r>
          </w:p>
        </w:tc>
      </w:tr>
      <w:tr w:rsidR="000B40E3" w:rsidRPr="007C386B" w14:paraId="5DC84036"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7182A6F6"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Weighted Elixhauser, per unit increase</w:t>
            </w:r>
          </w:p>
        </w:tc>
        <w:tc>
          <w:tcPr>
            <w:tcW w:w="1980" w:type="dxa"/>
            <w:tcBorders>
              <w:top w:val="single" w:sz="6" w:space="0" w:color="000000"/>
              <w:left w:val="single" w:sz="6" w:space="0" w:color="000000"/>
              <w:bottom w:val="single" w:sz="6" w:space="0" w:color="000000"/>
              <w:right w:val="single" w:sz="6" w:space="0" w:color="000000"/>
            </w:tcBorders>
          </w:tcPr>
          <w:p w14:paraId="3C4C1B3C"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1.01 (1.00, 1.01)</w:t>
            </w:r>
          </w:p>
        </w:tc>
        <w:tc>
          <w:tcPr>
            <w:tcW w:w="1350" w:type="dxa"/>
            <w:tcBorders>
              <w:top w:val="single" w:sz="6" w:space="0" w:color="000000"/>
              <w:left w:val="single" w:sz="6" w:space="0" w:color="000000"/>
              <w:bottom w:val="single" w:sz="6" w:space="0" w:color="000000"/>
              <w:right w:val="single" w:sz="6" w:space="0" w:color="000000"/>
            </w:tcBorders>
          </w:tcPr>
          <w:p w14:paraId="4EBDADFA"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0.001</w:t>
            </w:r>
          </w:p>
        </w:tc>
      </w:tr>
      <w:tr w:rsidR="000B40E3" w:rsidRPr="007C386B" w14:paraId="663E8ABC"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66544323" w14:textId="77777777" w:rsidR="000B40E3" w:rsidRPr="00921569" w:rsidRDefault="000B40E3" w:rsidP="007755C3">
            <w:pPr>
              <w:pStyle w:val="Normal1"/>
              <w:rPr>
                <w:rFonts w:ascii="Times New Roman" w:hAnsi="Times New Roman" w:cs="Times New Roman"/>
                <w:sz w:val="24"/>
                <w:szCs w:val="24"/>
              </w:rPr>
            </w:pPr>
            <w:r w:rsidRPr="007C386B">
              <w:rPr>
                <w:rFonts w:ascii="Times New Roman" w:hAnsi="Times New Roman" w:cs="Times New Roman"/>
                <w:color w:val="000000"/>
                <w:sz w:val="24"/>
                <w:szCs w:val="24"/>
              </w:rPr>
              <w:t>Peptic Ulcer Disease</w:t>
            </w:r>
            <w:r>
              <w:rPr>
                <w:rFonts w:ascii="Times New Roman" w:hAnsi="Times New Roman" w:cs="Times New Roman"/>
                <w:sz w:val="24"/>
                <w:szCs w:val="24"/>
              </w:rPr>
              <w:t>, yes vs. no</w:t>
            </w:r>
          </w:p>
        </w:tc>
        <w:tc>
          <w:tcPr>
            <w:tcW w:w="1980" w:type="dxa"/>
            <w:tcBorders>
              <w:top w:val="single" w:sz="6" w:space="0" w:color="000000"/>
              <w:left w:val="single" w:sz="6" w:space="0" w:color="000000"/>
              <w:bottom w:val="single" w:sz="6" w:space="0" w:color="000000"/>
              <w:right w:val="single" w:sz="6" w:space="0" w:color="000000"/>
            </w:tcBorders>
          </w:tcPr>
          <w:p w14:paraId="49A088A8"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0.72 (0.57, 0.91)</w:t>
            </w:r>
          </w:p>
        </w:tc>
        <w:tc>
          <w:tcPr>
            <w:tcW w:w="1350" w:type="dxa"/>
            <w:tcBorders>
              <w:top w:val="single" w:sz="6" w:space="0" w:color="000000"/>
              <w:left w:val="single" w:sz="6" w:space="0" w:color="000000"/>
              <w:bottom w:val="single" w:sz="4" w:space="0" w:color="auto"/>
              <w:right w:val="single" w:sz="6" w:space="0" w:color="000000"/>
            </w:tcBorders>
          </w:tcPr>
          <w:p w14:paraId="2EA760EF"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0.00</w:t>
            </w:r>
            <w:r>
              <w:rPr>
                <w:rFonts w:ascii="Times New Roman" w:hAnsi="Times New Roman" w:cs="Times New Roman"/>
                <w:color w:val="000000"/>
                <w:sz w:val="24"/>
                <w:szCs w:val="24"/>
              </w:rPr>
              <w:t>6</w:t>
            </w:r>
          </w:p>
        </w:tc>
      </w:tr>
      <w:tr w:rsidR="000B40E3" w:rsidRPr="007C386B" w14:paraId="640EC0EE"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085D4D4E"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Race, other vs. white</w:t>
            </w:r>
          </w:p>
        </w:tc>
        <w:tc>
          <w:tcPr>
            <w:tcW w:w="1980" w:type="dxa"/>
            <w:tcBorders>
              <w:top w:val="single" w:sz="6" w:space="0" w:color="000000"/>
              <w:left w:val="single" w:sz="6" w:space="0" w:color="000000"/>
              <w:bottom w:val="single" w:sz="6" w:space="0" w:color="000000"/>
              <w:right w:val="single" w:sz="4" w:space="0" w:color="auto"/>
            </w:tcBorders>
          </w:tcPr>
          <w:p w14:paraId="7E6B583D"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0.87 (0.77, 0.99)</w:t>
            </w:r>
          </w:p>
        </w:tc>
        <w:tc>
          <w:tcPr>
            <w:tcW w:w="1350" w:type="dxa"/>
            <w:tcBorders>
              <w:top w:val="single" w:sz="4" w:space="0" w:color="auto"/>
              <w:left w:val="single" w:sz="4" w:space="0" w:color="auto"/>
              <w:bottom w:val="nil"/>
              <w:right w:val="single" w:sz="4" w:space="0" w:color="auto"/>
            </w:tcBorders>
          </w:tcPr>
          <w:p w14:paraId="7725111F"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0.05</w:t>
            </w:r>
          </w:p>
        </w:tc>
      </w:tr>
      <w:tr w:rsidR="000B40E3" w:rsidRPr="007C386B" w14:paraId="6DC376B5"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250C4F3E"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 xml:space="preserve">          unknown vs. white</w:t>
            </w:r>
          </w:p>
        </w:tc>
        <w:tc>
          <w:tcPr>
            <w:tcW w:w="1980" w:type="dxa"/>
            <w:tcBorders>
              <w:top w:val="single" w:sz="6" w:space="0" w:color="000000"/>
              <w:left w:val="single" w:sz="6" w:space="0" w:color="000000"/>
              <w:bottom w:val="single" w:sz="6" w:space="0" w:color="000000"/>
              <w:right w:val="single" w:sz="4" w:space="0" w:color="auto"/>
            </w:tcBorders>
          </w:tcPr>
          <w:p w14:paraId="6448BCC3"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1.15 (0.82, 1.01)</w:t>
            </w:r>
          </w:p>
        </w:tc>
        <w:tc>
          <w:tcPr>
            <w:tcW w:w="1350" w:type="dxa"/>
            <w:tcBorders>
              <w:top w:val="nil"/>
              <w:left w:val="single" w:sz="4" w:space="0" w:color="auto"/>
              <w:bottom w:val="single" w:sz="4" w:space="0" w:color="auto"/>
              <w:right w:val="single" w:sz="4" w:space="0" w:color="auto"/>
            </w:tcBorders>
          </w:tcPr>
          <w:p w14:paraId="557E6A5E" w14:textId="77777777" w:rsidR="000B40E3" w:rsidRPr="007C386B" w:rsidRDefault="000B40E3" w:rsidP="007755C3">
            <w:pPr>
              <w:pStyle w:val="Normal1"/>
              <w:jc w:val="center"/>
              <w:rPr>
                <w:rFonts w:ascii="Times New Roman" w:hAnsi="Times New Roman" w:cs="Times New Roman"/>
                <w:color w:val="000000"/>
                <w:sz w:val="24"/>
                <w:szCs w:val="24"/>
              </w:rPr>
            </w:pPr>
          </w:p>
        </w:tc>
      </w:tr>
      <w:tr w:rsidR="000B40E3" w:rsidRPr="007C386B" w14:paraId="65BF7354"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7EADE06E" w14:textId="77777777" w:rsidR="000B40E3" w:rsidRPr="00921569" w:rsidRDefault="000B40E3" w:rsidP="007755C3">
            <w:pPr>
              <w:pStyle w:val="Normal1"/>
              <w:rPr>
                <w:rFonts w:ascii="Times New Roman" w:hAnsi="Times New Roman" w:cs="Times New Roman"/>
                <w:sz w:val="24"/>
                <w:szCs w:val="24"/>
              </w:rPr>
            </w:pPr>
            <w:r>
              <w:rPr>
                <w:rFonts w:ascii="Times New Roman" w:hAnsi="Times New Roman" w:cs="Times New Roman"/>
                <w:color w:val="000000"/>
                <w:sz w:val="24"/>
                <w:szCs w:val="24"/>
              </w:rPr>
              <w:t>Gender, female vs. male</w:t>
            </w:r>
          </w:p>
        </w:tc>
        <w:tc>
          <w:tcPr>
            <w:tcW w:w="1980" w:type="dxa"/>
            <w:tcBorders>
              <w:top w:val="single" w:sz="6" w:space="0" w:color="000000"/>
              <w:left w:val="single" w:sz="6" w:space="0" w:color="000000"/>
              <w:bottom w:val="single" w:sz="6" w:space="0" w:color="000000"/>
              <w:right w:val="single" w:sz="6" w:space="0" w:color="000000"/>
            </w:tcBorders>
          </w:tcPr>
          <w:p w14:paraId="6F87E4B4"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0.90 (0.81, 1.01)</w:t>
            </w:r>
          </w:p>
        </w:tc>
        <w:tc>
          <w:tcPr>
            <w:tcW w:w="1350" w:type="dxa"/>
            <w:tcBorders>
              <w:top w:val="single" w:sz="4" w:space="0" w:color="auto"/>
              <w:left w:val="single" w:sz="6" w:space="0" w:color="000000"/>
              <w:bottom w:val="single" w:sz="6" w:space="0" w:color="000000"/>
              <w:right w:val="single" w:sz="6" w:space="0" w:color="000000"/>
            </w:tcBorders>
          </w:tcPr>
          <w:p w14:paraId="4B5DBA43"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w:t>
            </w:r>
            <w:r>
              <w:rPr>
                <w:rFonts w:ascii="Times New Roman" w:hAnsi="Times New Roman" w:cs="Times New Roman"/>
                <w:color w:val="000000"/>
                <w:sz w:val="24"/>
                <w:szCs w:val="24"/>
              </w:rPr>
              <w:t>7</w:t>
            </w:r>
          </w:p>
        </w:tc>
      </w:tr>
      <w:tr w:rsidR="000B40E3" w:rsidRPr="007C386B" w14:paraId="6B133419"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7CB8594B" w14:textId="77777777" w:rsidR="000B40E3" w:rsidRPr="007C386B" w:rsidRDefault="000B40E3" w:rsidP="007755C3">
            <w:pPr>
              <w:pStyle w:val="Normal1"/>
              <w:rPr>
                <w:rFonts w:ascii="Times New Roman" w:hAnsi="Times New Roman" w:cs="Times New Roman"/>
                <w:color w:val="000000"/>
                <w:sz w:val="24"/>
                <w:szCs w:val="24"/>
              </w:rPr>
            </w:pPr>
            <w:r w:rsidRPr="00921569">
              <w:rPr>
                <w:rFonts w:ascii="Times New Roman" w:hAnsi="Times New Roman" w:cs="Times New Roman"/>
                <w:sz w:val="24"/>
                <w:szCs w:val="24"/>
              </w:rPr>
              <w:t>Diabetes</w:t>
            </w:r>
            <w:r>
              <w:rPr>
                <w:rFonts w:ascii="Times New Roman" w:hAnsi="Times New Roman" w:cs="Times New Roman"/>
                <w:sz w:val="24"/>
                <w:szCs w:val="24"/>
              </w:rPr>
              <w:t>, yes vs. no</w:t>
            </w:r>
          </w:p>
        </w:tc>
        <w:tc>
          <w:tcPr>
            <w:tcW w:w="1980" w:type="dxa"/>
            <w:tcBorders>
              <w:top w:val="single" w:sz="6" w:space="0" w:color="000000"/>
              <w:left w:val="single" w:sz="6" w:space="0" w:color="000000"/>
              <w:bottom w:val="single" w:sz="6" w:space="0" w:color="000000"/>
              <w:right w:val="single" w:sz="6" w:space="0" w:color="000000"/>
            </w:tcBorders>
          </w:tcPr>
          <w:p w14:paraId="47469525"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1.05 (0.94, 1.19)</w:t>
            </w:r>
          </w:p>
        </w:tc>
        <w:tc>
          <w:tcPr>
            <w:tcW w:w="1350" w:type="dxa"/>
            <w:tcBorders>
              <w:top w:val="single" w:sz="4" w:space="0" w:color="auto"/>
              <w:left w:val="single" w:sz="6" w:space="0" w:color="000000"/>
              <w:bottom w:val="single" w:sz="6" w:space="0" w:color="000000"/>
              <w:right w:val="single" w:sz="6" w:space="0" w:color="000000"/>
            </w:tcBorders>
          </w:tcPr>
          <w:p w14:paraId="79D492DD"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0.3</w:t>
            </w:r>
            <w:r>
              <w:rPr>
                <w:rFonts w:ascii="Times New Roman" w:hAnsi="Times New Roman" w:cs="Times New Roman"/>
                <w:color w:val="000000"/>
                <w:sz w:val="24"/>
                <w:szCs w:val="24"/>
              </w:rPr>
              <w:t>9</w:t>
            </w:r>
          </w:p>
        </w:tc>
      </w:tr>
      <w:tr w:rsidR="000B40E3" w:rsidRPr="007C386B" w14:paraId="3EA41864" w14:textId="77777777" w:rsidTr="007755C3">
        <w:tc>
          <w:tcPr>
            <w:tcW w:w="5032" w:type="dxa"/>
            <w:tcBorders>
              <w:top w:val="single" w:sz="6" w:space="0" w:color="000000"/>
              <w:left w:val="single" w:sz="6" w:space="0" w:color="000000"/>
              <w:bottom w:val="single" w:sz="6" w:space="0" w:color="000000"/>
              <w:right w:val="single" w:sz="6" w:space="0" w:color="000000"/>
            </w:tcBorders>
          </w:tcPr>
          <w:p w14:paraId="5AC2A12F" w14:textId="77777777" w:rsidR="000B40E3" w:rsidRPr="007C386B" w:rsidRDefault="000B40E3" w:rsidP="007755C3">
            <w:pPr>
              <w:pStyle w:val="Normal1"/>
              <w:rPr>
                <w:rFonts w:ascii="Times New Roman" w:hAnsi="Times New Roman" w:cs="Times New Roman"/>
                <w:color w:val="000000"/>
                <w:sz w:val="24"/>
                <w:szCs w:val="24"/>
              </w:rPr>
            </w:pPr>
            <w:r w:rsidRPr="007C386B">
              <w:rPr>
                <w:rFonts w:ascii="Times New Roman" w:hAnsi="Times New Roman" w:cs="Times New Roman"/>
                <w:color w:val="000000"/>
                <w:sz w:val="24"/>
                <w:szCs w:val="24"/>
              </w:rPr>
              <w:t>Hypertension</w:t>
            </w:r>
            <w:r>
              <w:rPr>
                <w:rFonts w:ascii="Times New Roman" w:hAnsi="Times New Roman" w:cs="Times New Roman"/>
                <w:sz w:val="24"/>
                <w:szCs w:val="24"/>
              </w:rPr>
              <w:t>, yes vs. no</w:t>
            </w:r>
          </w:p>
        </w:tc>
        <w:tc>
          <w:tcPr>
            <w:tcW w:w="1980" w:type="dxa"/>
            <w:tcBorders>
              <w:top w:val="single" w:sz="6" w:space="0" w:color="000000"/>
              <w:left w:val="single" w:sz="6" w:space="0" w:color="000000"/>
              <w:bottom w:val="single" w:sz="6" w:space="0" w:color="000000"/>
              <w:right w:val="single" w:sz="6" w:space="0" w:color="000000"/>
            </w:tcBorders>
          </w:tcPr>
          <w:p w14:paraId="77AE7CE2"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1.05 (0.91, 1.20)</w:t>
            </w:r>
          </w:p>
        </w:tc>
        <w:tc>
          <w:tcPr>
            <w:tcW w:w="1350" w:type="dxa"/>
            <w:tcBorders>
              <w:top w:val="single" w:sz="6" w:space="0" w:color="000000"/>
              <w:left w:val="single" w:sz="6" w:space="0" w:color="000000"/>
              <w:bottom w:val="single" w:sz="6" w:space="0" w:color="000000"/>
              <w:right w:val="single" w:sz="6" w:space="0" w:color="000000"/>
            </w:tcBorders>
          </w:tcPr>
          <w:p w14:paraId="7BF9F11E"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0.5</w:t>
            </w:r>
            <w:r>
              <w:rPr>
                <w:rFonts w:ascii="Times New Roman" w:hAnsi="Times New Roman" w:cs="Times New Roman"/>
                <w:color w:val="000000"/>
                <w:sz w:val="24"/>
                <w:szCs w:val="24"/>
              </w:rPr>
              <w:t>2</w:t>
            </w:r>
          </w:p>
        </w:tc>
      </w:tr>
    </w:tbl>
    <w:p w14:paraId="38487DFC" w14:textId="77777777" w:rsidR="000B40E3" w:rsidRPr="007C386B" w:rsidRDefault="000B40E3" w:rsidP="000B40E3">
      <w:pPr>
        <w:rPr>
          <w:rFonts w:ascii="Times New Roman" w:hAnsi="Times New Roman" w:cs="Times New Roman"/>
          <w:b/>
          <w:bCs/>
          <w:sz w:val="24"/>
          <w:szCs w:val="24"/>
        </w:rPr>
      </w:pPr>
    </w:p>
    <w:p w14:paraId="5015F53A" w14:textId="60102566" w:rsidR="000B40E3" w:rsidRPr="007C386B" w:rsidRDefault="000B40E3" w:rsidP="000B40E3">
      <w:pPr>
        <w:rPr>
          <w:rFonts w:ascii="Times New Roman" w:hAnsi="Times New Roman" w:cs="Times New Roman"/>
          <w:b/>
          <w:bCs/>
          <w:sz w:val="24"/>
          <w:szCs w:val="24"/>
        </w:rPr>
      </w:pPr>
      <w:r>
        <w:rPr>
          <w:rFonts w:ascii="Times New Roman" w:hAnsi="Times New Roman" w:cs="Times New Roman"/>
          <w:b/>
          <w:bCs/>
          <w:sz w:val="24"/>
          <w:szCs w:val="24"/>
        </w:rPr>
        <w:t>Supplemental Table</w:t>
      </w:r>
      <w:r w:rsidRPr="007C386B">
        <w:rPr>
          <w:rFonts w:ascii="Times New Roman" w:hAnsi="Times New Roman" w:cs="Times New Roman"/>
          <w:b/>
          <w:bCs/>
          <w:sz w:val="24"/>
          <w:szCs w:val="24"/>
        </w:rPr>
        <w:t xml:space="preserve"> </w:t>
      </w:r>
      <w:r w:rsidR="00C078C3">
        <w:rPr>
          <w:rFonts w:ascii="Times New Roman" w:hAnsi="Times New Roman" w:cs="Times New Roman"/>
          <w:b/>
          <w:bCs/>
          <w:sz w:val="24"/>
          <w:szCs w:val="24"/>
        </w:rPr>
        <w:t>4</w:t>
      </w:r>
      <w:r w:rsidRPr="007C386B">
        <w:rPr>
          <w:rFonts w:ascii="Times New Roman" w:hAnsi="Times New Roman" w:cs="Times New Roman"/>
          <w:b/>
          <w:bCs/>
          <w:sz w:val="24"/>
          <w:szCs w:val="24"/>
        </w:rPr>
        <w:t>: Multivariable Cox proportional hazards model for covariate associations with overall survival</w:t>
      </w:r>
    </w:p>
    <w:tbl>
      <w:tblPr>
        <w:tblW w:w="8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2"/>
        <w:gridCol w:w="2070"/>
        <w:gridCol w:w="990"/>
      </w:tblGrid>
      <w:tr w:rsidR="000B40E3" w:rsidRPr="007C386B" w14:paraId="36E0B306"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756D9340" w14:textId="77777777" w:rsidR="000B40E3" w:rsidRPr="007C386B" w:rsidRDefault="000B40E3" w:rsidP="007755C3">
            <w:pPr>
              <w:pStyle w:val="Normal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Cox Model Regression Covariate</w:t>
            </w:r>
          </w:p>
        </w:tc>
        <w:tc>
          <w:tcPr>
            <w:tcW w:w="2070"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07B6EEA5"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b/>
                <w:sz w:val="24"/>
                <w:szCs w:val="24"/>
              </w:rPr>
              <w:t>H</w:t>
            </w:r>
            <w:r w:rsidRPr="007C386B">
              <w:rPr>
                <w:rFonts w:ascii="Times New Roman" w:hAnsi="Times New Roman" w:cs="Times New Roman"/>
                <w:b/>
                <w:color w:val="000000"/>
                <w:sz w:val="24"/>
                <w:szCs w:val="24"/>
              </w:rPr>
              <w:t>R (95% CI)</w:t>
            </w:r>
          </w:p>
        </w:tc>
        <w:tc>
          <w:tcPr>
            <w:tcW w:w="990" w:type="dxa"/>
            <w:tcBorders>
              <w:top w:val="single" w:sz="6" w:space="0" w:color="000000"/>
              <w:left w:val="single" w:sz="6" w:space="0" w:color="000000"/>
              <w:bottom w:val="single" w:sz="6" w:space="0" w:color="000000"/>
              <w:right w:val="single" w:sz="6" w:space="0" w:color="000000"/>
            </w:tcBorders>
            <w:shd w:val="clear" w:color="auto" w:fill="BBBBBB"/>
            <w:vAlign w:val="bottom"/>
          </w:tcPr>
          <w:p w14:paraId="0FEDF51A"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b/>
                <w:color w:val="000000"/>
                <w:sz w:val="24"/>
                <w:szCs w:val="24"/>
              </w:rPr>
              <w:t>P-value</w:t>
            </w:r>
          </w:p>
        </w:tc>
      </w:tr>
      <w:tr w:rsidR="000B40E3" w:rsidRPr="007C386B" w14:paraId="4B99C10F"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6540B915"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bPNA, none → possible → probable/proven</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7F09348A"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1.15 (0.77, 1.73)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1F319123"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0.49</w:t>
            </w:r>
          </w:p>
        </w:tc>
      </w:tr>
      <w:tr w:rsidR="000B40E3" w:rsidRPr="007C386B" w14:paraId="72683F7C"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64903204" w14:textId="7B9EF5AE"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 xml:space="preserve">Initial PCT, per </w:t>
            </w:r>
            <w:r w:rsidR="001D74B0">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increase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0ADBADEE" w14:textId="2CA3A6CC"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w:t>
            </w:r>
            <w:r w:rsidR="001D74B0">
              <w:rPr>
                <w:rFonts w:ascii="Times New Roman" w:hAnsi="Times New Roman" w:cs="Times New Roman"/>
                <w:color w:val="000000"/>
                <w:sz w:val="24"/>
                <w:szCs w:val="24"/>
              </w:rPr>
              <w:t>4</w:t>
            </w:r>
            <w:r w:rsidRPr="007C386B">
              <w:rPr>
                <w:rFonts w:ascii="Times New Roman" w:hAnsi="Times New Roman" w:cs="Times New Roman"/>
                <w:color w:val="000000"/>
                <w:sz w:val="24"/>
                <w:szCs w:val="24"/>
              </w:rPr>
              <w:t xml:space="preserve"> (0.9</w:t>
            </w:r>
            <w:r w:rsidR="001D74B0">
              <w:rPr>
                <w:rFonts w:ascii="Times New Roman" w:hAnsi="Times New Roman" w:cs="Times New Roman"/>
                <w:color w:val="000000"/>
                <w:sz w:val="24"/>
                <w:szCs w:val="24"/>
              </w:rPr>
              <w:t>8</w:t>
            </w:r>
            <w:r w:rsidRPr="007C386B">
              <w:rPr>
                <w:rFonts w:ascii="Times New Roman" w:hAnsi="Times New Roman" w:cs="Times New Roman"/>
                <w:color w:val="000000"/>
                <w:sz w:val="24"/>
                <w:szCs w:val="24"/>
              </w:rPr>
              <w:t>, 1.</w:t>
            </w:r>
            <w:r w:rsidR="001D74B0">
              <w:rPr>
                <w:rFonts w:ascii="Times New Roman" w:hAnsi="Times New Roman" w:cs="Times New Roman"/>
                <w:color w:val="000000"/>
                <w:sz w:val="24"/>
                <w:szCs w:val="24"/>
              </w:rPr>
              <w:t>10</w:t>
            </w:r>
            <w:r w:rsidRPr="007C386B">
              <w:rPr>
                <w:rFonts w:ascii="Times New Roman" w:hAnsi="Times New Roman" w:cs="Times New Roman"/>
                <w:color w:val="000000"/>
                <w:sz w:val="24"/>
                <w:szCs w:val="24"/>
              </w:rPr>
              <w:t>)</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28AC3B36"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0.22</w:t>
            </w:r>
          </w:p>
        </w:tc>
      </w:tr>
      <w:tr w:rsidR="000B40E3" w:rsidRPr="007C386B" w14:paraId="3F94CACA"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24587315"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 Change in Daily PCT, per unit increase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7043A9FE"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1.05 (1.02, 1.08)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6EDD6C68" w14:textId="77777777" w:rsidR="000B40E3" w:rsidRPr="007C386B" w:rsidRDefault="000B40E3" w:rsidP="007755C3">
            <w:pPr>
              <w:pStyle w:val="Normal1"/>
              <w:jc w:val="center"/>
              <w:rPr>
                <w:rFonts w:ascii="Times New Roman" w:hAnsi="Times New Roman" w:cs="Times New Roman"/>
                <w:color w:val="000000"/>
                <w:sz w:val="24"/>
                <w:szCs w:val="24"/>
              </w:rPr>
            </w:pPr>
            <w:r>
              <w:rPr>
                <w:rFonts w:ascii="Times New Roman" w:hAnsi="Times New Roman" w:cs="Times New Roman"/>
                <w:color w:val="000000"/>
                <w:sz w:val="24"/>
                <w:szCs w:val="24"/>
              </w:rPr>
              <w:t>&lt;</w:t>
            </w:r>
            <w:r w:rsidRPr="007C386B">
              <w:rPr>
                <w:rFonts w:ascii="Times New Roman" w:hAnsi="Times New Roman" w:cs="Times New Roman"/>
                <w:color w:val="000000"/>
                <w:sz w:val="24"/>
                <w:szCs w:val="24"/>
              </w:rPr>
              <w:t>.001</w:t>
            </w:r>
          </w:p>
        </w:tc>
      </w:tr>
      <w:tr w:rsidR="000B40E3" w:rsidRPr="007C386B" w14:paraId="4DCBAE36"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4A348EB5"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Time from start of pandemic, per 2-week increase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5D53A219"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0.98 (0.96, 0.99)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6C7E8BF2"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0.00</w:t>
            </w:r>
            <w:r>
              <w:rPr>
                <w:rFonts w:ascii="Times New Roman" w:hAnsi="Times New Roman" w:cs="Times New Roman"/>
                <w:color w:val="000000"/>
                <w:sz w:val="24"/>
                <w:szCs w:val="24"/>
              </w:rPr>
              <w:t>8</w:t>
            </w:r>
          </w:p>
        </w:tc>
      </w:tr>
      <w:tr w:rsidR="000B40E3" w:rsidRPr="007C386B" w14:paraId="28A4F43E"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19E72BA8"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Age, per year increase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54827DEF"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1.03 (1.01, 1.05)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2D26129E"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0.00</w:t>
            </w:r>
            <w:r>
              <w:rPr>
                <w:rFonts w:ascii="Times New Roman" w:hAnsi="Times New Roman" w:cs="Times New Roman"/>
                <w:color w:val="000000"/>
                <w:sz w:val="24"/>
                <w:szCs w:val="24"/>
              </w:rPr>
              <w:t>7</w:t>
            </w:r>
          </w:p>
        </w:tc>
      </w:tr>
      <w:tr w:rsidR="000B40E3" w:rsidRPr="007C386B" w14:paraId="320158C6"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5B3AB4E1" w14:textId="77777777" w:rsidR="000B40E3" w:rsidRPr="00921569" w:rsidRDefault="000B40E3" w:rsidP="007755C3">
            <w:pPr>
              <w:pStyle w:val="Normal1"/>
              <w:rPr>
                <w:rFonts w:ascii="Times New Roman" w:hAnsi="Times New Roman" w:cs="Times New Roman"/>
                <w:sz w:val="24"/>
                <w:szCs w:val="24"/>
              </w:rPr>
            </w:pPr>
            <w:r>
              <w:rPr>
                <w:rFonts w:ascii="Times New Roman" w:hAnsi="Times New Roman" w:cs="Times New Roman"/>
                <w:color w:val="000000"/>
                <w:sz w:val="24"/>
                <w:szCs w:val="24"/>
              </w:rPr>
              <w:t>Weighted Elixhauser, per unit increase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763A0B14"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1.02 (1.00, 1.03)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2BC7FB53"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0.008</w:t>
            </w:r>
          </w:p>
        </w:tc>
      </w:tr>
      <w:tr w:rsidR="000B40E3" w:rsidRPr="007C386B" w14:paraId="57CF6744"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78B7718D" w14:textId="77777777" w:rsidR="000B40E3" w:rsidRPr="007C386B" w:rsidRDefault="000B40E3" w:rsidP="007755C3">
            <w:pPr>
              <w:pStyle w:val="Normal1"/>
              <w:rPr>
                <w:rFonts w:ascii="Times New Roman" w:hAnsi="Times New Roman" w:cs="Times New Roman"/>
                <w:color w:val="000000"/>
                <w:sz w:val="24"/>
                <w:szCs w:val="24"/>
              </w:rPr>
            </w:pPr>
            <w:r w:rsidRPr="00921569">
              <w:rPr>
                <w:rFonts w:ascii="Times New Roman" w:hAnsi="Times New Roman" w:cs="Times New Roman"/>
                <w:sz w:val="24"/>
                <w:szCs w:val="24"/>
              </w:rPr>
              <w:t>Diabetes</w:t>
            </w:r>
            <w:r>
              <w:rPr>
                <w:rFonts w:ascii="Times New Roman" w:hAnsi="Times New Roman" w:cs="Times New Roman"/>
                <w:sz w:val="24"/>
                <w:szCs w:val="24"/>
              </w:rPr>
              <w:t>, yes vs. no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308C3552"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2.00 (1.08, 3.72)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0DE65173"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0.0</w:t>
            </w:r>
            <w:r>
              <w:rPr>
                <w:rFonts w:ascii="Times New Roman" w:hAnsi="Times New Roman" w:cs="Times New Roman"/>
                <w:color w:val="000000"/>
                <w:sz w:val="24"/>
                <w:szCs w:val="24"/>
              </w:rPr>
              <w:t>3</w:t>
            </w:r>
          </w:p>
        </w:tc>
      </w:tr>
      <w:tr w:rsidR="000B40E3" w:rsidRPr="007C386B" w14:paraId="4DB87202"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4AB98846"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Gender, female vs. male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4AADC6D6"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0.72 (0.46, 1.14)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07B1DEAE"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0.16</w:t>
            </w:r>
          </w:p>
        </w:tc>
      </w:tr>
      <w:tr w:rsidR="000B40E3" w:rsidRPr="007C386B" w14:paraId="0C3B9596"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37FA846E" w14:textId="77777777" w:rsidR="000B40E3" w:rsidRPr="007C386B" w:rsidRDefault="000B40E3" w:rsidP="007755C3">
            <w:pPr>
              <w:pStyle w:val="Normal1"/>
              <w:rPr>
                <w:rFonts w:ascii="Times New Roman" w:hAnsi="Times New Roman" w:cs="Times New Roman"/>
                <w:color w:val="000000"/>
                <w:sz w:val="24"/>
                <w:szCs w:val="24"/>
              </w:rPr>
            </w:pPr>
            <w:r w:rsidRPr="007C386B">
              <w:rPr>
                <w:rFonts w:ascii="Times New Roman" w:hAnsi="Times New Roman" w:cs="Times New Roman"/>
                <w:color w:val="000000"/>
                <w:sz w:val="24"/>
                <w:szCs w:val="24"/>
              </w:rPr>
              <w:lastRenderedPageBreak/>
              <w:t>Psychoses</w:t>
            </w:r>
            <w:r>
              <w:rPr>
                <w:rFonts w:ascii="Times New Roman" w:hAnsi="Times New Roman" w:cs="Times New Roman"/>
                <w:sz w:val="24"/>
                <w:szCs w:val="24"/>
              </w:rPr>
              <w:t>, yes vs. no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20B7314D"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1.54 (0.81, 2.93)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2EEB196F"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0.1</w:t>
            </w:r>
            <w:r>
              <w:rPr>
                <w:rFonts w:ascii="Times New Roman" w:hAnsi="Times New Roman" w:cs="Times New Roman"/>
                <w:color w:val="000000"/>
                <w:sz w:val="24"/>
                <w:szCs w:val="24"/>
              </w:rPr>
              <w:t>9</w:t>
            </w:r>
          </w:p>
        </w:tc>
      </w:tr>
      <w:tr w:rsidR="000B40E3" w:rsidRPr="007C386B" w14:paraId="45AF5AD5"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64E6624C" w14:textId="77777777" w:rsidR="000B40E3" w:rsidRPr="007C386B" w:rsidRDefault="000B40E3" w:rsidP="007755C3">
            <w:pPr>
              <w:pStyle w:val="Normal1"/>
              <w:rPr>
                <w:rFonts w:ascii="Times New Roman" w:hAnsi="Times New Roman" w:cs="Times New Roman"/>
                <w:color w:val="000000"/>
                <w:sz w:val="24"/>
                <w:szCs w:val="24"/>
              </w:rPr>
            </w:pPr>
            <w:r w:rsidRPr="007C386B">
              <w:rPr>
                <w:rFonts w:ascii="Times New Roman" w:hAnsi="Times New Roman" w:cs="Times New Roman"/>
                <w:color w:val="000000"/>
                <w:sz w:val="24"/>
                <w:szCs w:val="24"/>
              </w:rPr>
              <w:t>Hypertension</w:t>
            </w:r>
            <w:r>
              <w:rPr>
                <w:rFonts w:ascii="Times New Roman" w:hAnsi="Times New Roman" w:cs="Times New Roman"/>
                <w:sz w:val="24"/>
                <w:szCs w:val="24"/>
              </w:rPr>
              <w:t>, yes vs. no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Pr>
          <w:p w14:paraId="7555F066"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1.46 (0.71, 3.08)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7CF45D61"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0.29</w:t>
            </w:r>
          </w:p>
        </w:tc>
      </w:tr>
      <w:tr w:rsidR="000B40E3" w:rsidRPr="007C386B" w14:paraId="16F25D4D" w14:textId="77777777" w:rsidTr="007755C3">
        <w:tc>
          <w:tcPr>
            <w:tcW w:w="5302" w:type="dxa"/>
            <w:tcBorders>
              <w:top w:val="single" w:sz="6" w:space="0" w:color="000000"/>
              <w:left w:val="single" w:sz="6" w:space="0" w:color="000000"/>
              <w:bottom w:val="single" w:sz="6" w:space="0" w:color="000000"/>
              <w:right w:val="single" w:sz="6" w:space="0" w:color="000000"/>
            </w:tcBorders>
            <w:shd w:val="clear" w:color="auto" w:fill="FFFFFF"/>
          </w:tcPr>
          <w:p w14:paraId="733C7C4F" w14:textId="77777777" w:rsidR="000B40E3" w:rsidRPr="007C386B" w:rsidRDefault="000B40E3" w:rsidP="007755C3">
            <w:pPr>
              <w:pStyle w:val="Normal1"/>
              <w:rPr>
                <w:rFonts w:ascii="Times New Roman" w:hAnsi="Times New Roman" w:cs="Times New Roman"/>
                <w:color w:val="000000"/>
                <w:sz w:val="24"/>
                <w:szCs w:val="24"/>
              </w:rPr>
            </w:pPr>
            <w:r w:rsidRPr="007C386B">
              <w:rPr>
                <w:rFonts w:ascii="Times New Roman" w:hAnsi="Times New Roman" w:cs="Times New Roman"/>
                <w:color w:val="000000"/>
                <w:sz w:val="24"/>
                <w:szCs w:val="24"/>
              </w:rPr>
              <w:t>Ethnicity</w:t>
            </w:r>
            <w:r>
              <w:rPr>
                <w:rFonts w:ascii="Times New Roman" w:hAnsi="Times New Roman" w:cs="Times New Roman"/>
                <w:color w:val="000000"/>
                <w:sz w:val="24"/>
                <w:szCs w:val="24"/>
              </w:rPr>
              <w:t>, unknown vs. non-Hispanic/Latino</w:t>
            </w:r>
          </w:p>
        </w:tc>
        <w:tc>
          <w:tcPr>
            <w:tcW w:w="2070" w:type="dxa"/>
            <w:tcBorders>
              <w:top w:val="single" w:sz="6" w:space="0" w:color="000000"/>
              <w:left w:val="single" w:sz="6" w:space="0" w:color="000000"/>
              <w:bottom w:val="single" w:sz="6" w:space="0" w:color="000000"/>
              <w:right w:val="single" w:sz="4" w:space="0" w:color="auto"/>
            </w:tcBorders>
            <w:shd w:val="clear" w:color="auto" w:fill="FFFFFF"/>
          </w:tcPr>
          <w:p w14:paraId="7279E838"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0.97 (0.32, 2.96)</w:t>
            </w:r>
          </w:p>
        </w:tc>
        <w:tc>
          <w:tcPr>
            <w:tcW w:w="990" w:type="dxa"/>
            <w:tcBorders>
              <w:top w:val="single" w:sz="4" w:space="0" w:color="auto"/>
              <w:left w:val="single" w:sz="4" w:space="0" w:color="auto"/>
              <w:bottom w:val="nil"/>
              <w:right w:val="single" w:sz="4" w:space="0" w:color="auto"/>
            </w:tcBorders>
            <w:shd w:val="clear" w:color="auto" w:fill="FFFFFF"/>
          </w:tcPr>
          <w:p w14:paraId="49CEA08F"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0.37</w:t>
            </w:r>
          </w:p>
        </w:tc>
      </w:tr>
      <w:tr w:rsidR="000B40E3" w:rsidRPr="007C386B" w14:paraId="124A68D4" w14:textId="77777777" w:rsidTr="007755C3">
        <w:tc>
          <w:tcPr>
            <w:tcW w:w="5302" w:type="dxa"/>
            <w:tcBorders>
              <w:top w:val="single" w:sz="6" w:space="0" w:color="000000"/>
              <w:left w:val="single" w:sz="6" w:space="0" w:color="000000"/>
              <w:bottom w:val="single" w:sz="4" w:space="0" w:color="auto"/>
              <w:right w:val="single" w:sz="6" w:space="0" w:color="000000"/>
            </w:tcBorders>
            <w:shd w:val="clear" w:color="auto" w:fill="FFFFFF"/>
          </w:tcPr>
          <w:p w14:paraId="6AF21428" w14:textId="77777777" w:rsidR="000B40E3" w:rsidRPr="007C386B" w:rsidRDefault="000B40E3" w:rsidP="007755C3">
            <w:pPr>
              <w:pStyle w:val="Normal1"/>
              <w:rPr>
                <w:rFonts w:ascii="Times New Roman" w:hAnsi="Times New Roman" w:cs="Times New Roman"/>
                <w:color w:val="000000"/>
                <w:sz w:val="24"/>
                <w:szCs w:val="24"/>
              </w:rPr>
            </w:pPr>
            <w:r>
              <w:rPr>
                <w:rFonts w:ascii="Times New Roman" w:hAnsi="Times New Roman" w:cs="Times New Roman"/>
                <w:color w:val="000000"/>
                <w:sz w:val="24"/>
                <w:szCs w:val="24"/>
              </w:rPr>
              <w:t xml:space="preserve">                 Hispanic/Latino vs. non-Hispanic/Latino</w:t>
            </w:r>
          </w:p>
        </w:tc>
        <w:tc>
          <w:tcPr>
            <w:tcW w:w="2070" w:type="dxa"/>
            <w:tcBorders>
              <w:top w:val="single" w:sz="6" w:space="0" w:color="000000"/>
              <w:left w:val="single" w:sz="6" w:space="0" w:color="000000"/>
              <w:bottom w:val="single" w:sz="4" w:space="0" w:color="auto"/>
              <w:right w:val="single" w:sz="4" w:space="0" w:color="auto"/>
            </w:tcBorders>
            <w:shd w:val="clear" w:color="auto" w:fill="FFFFFF"/>
          </w:tcPr>
          <w:p w14:paraId="63FC43C8"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0.22 (0.03, 1.80)</w:t>
            </w:r>
          </w:p>
        </w:tc>
        <w:tc>
          <w:tcPr>
            <w:tcW w:w="990" w:type="dxa"/>
            <w:tcBorders>
              <w:top w:val="nil"/>
              <w:left w:val="single" w:sz="4" w:space="0" w:color="auto"/>
              <w:bottom w:val="single" w:sz="4" w:space="0" w:color="auto"/>
              <w:right w:val="single" w:sz="4" w:space="0" w:color="auto"/>
            </w:tcBorders>
            <w:shd w:val="clear" w:color="auto" w:fill="FFFFFF"/>
          </w:tcPr>
          <w:p w14:paraId="5FC1363B" w14:textId="77777777" w:rsidR="000B40E3" w:rsidRPr="007C386B" w:rsidRDefault="000B40E3" w:rsidP="007755C3">
            <w:pPr>
              <w:pStyle w:val="Normal1"/>
              <w:rPr>
                <w:rFonts w:ascii="Times New Roman" w:hAnsi="Times New Roman" w:cs="Times New Roman"/>
                <w:color w:val="000000"/>
                <w:sz w:val="24"/>
                <w:szCs w:val="24"/>
              </w:rPr>
            </w:pPr>
          </w:p>
        </w:tc>
      </w:tr>
      <w:tr w:rsidR="000B40E3" w:rsidRPr="007C386B" w14:paraId="64E311BF" w14:textId="77777777" w:rsidTr="007755C3">
        <w:tc>
          <w:tcPr>
            <w:tcW w:w="5302" w:type="dxa"/>
            <w:tcBorders>
              <w:top w:val="single" w:sz="4" w:space="0" w:color="auto"/>
              <w:left w:val="single" w:sz="4" w:space="0" w:color="auto"/>
              <w:bottom w:val="single" w:sz="4" w:space="0" w:color="auto"/>
              <w:right w:val="single" w:sz="4" w:space="0" w:color="auto"/>
            </w:tcBorders>
            <w:shd w:val="clear" w:color="auto" w:fill="FFFFFF"/>
          </w:tcPr>
          <w:p w14:paraId="4BA43600" w14:textId="77777777" w:rsidR="000B40E3" w:rsidRDefault="000B40E3" w:rsidP="007755C3">
            <w:pPr>
              <w:pStyle w:val="Normal1"/>
              <w:rPr>
                <w:rFonts w:ascii="Times New Roman" w:hAnsi="Times New Roman" w:cs="Times New Roman"/>
                <w:color w:val="000000"/>
                <w:sz w:val="24"/>
                <w:szCs w:val="24"/>
              </w:rPr>
            </w:pPr>
            <w:r w:rsidRPr="007C386B">
              <w:rPr>
                <w:rFonts w:ascii="Times New Roman" w:hAnsi="Times New Roman" w:cs="Times New Roman"/>
                <w:color w:val="000000"/>
                <w:sz w:val="24"/>
                <w:szCs w:val="24"/>
              </w:rPr>
              <w:t>Peptic Ulcer Disease</w:t>
            </w:r>
            <w:r>
              <w:rPr>
                <w:rFonts w:ascii="Times New Roman" w:hAnsi="Times New Roman" w:cs="Times New Roman"/>
                <w:sz w:val="24"/>
                <w:szCs w:val="24"/>
              </w:rPr>
              <w:t>, yes vs. no</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75B8858C"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0.74 (0.31, 1.75)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2E84D1C" w14:textId="77777777" w:rsidR="000B40E3" w:rsidRPr="007C386B" w:rsidRDefault="000B40E3" w:rsidP="007755C3">
            <w:pPr>
              <w:pStyle w:val="Normal1"/>
              <w:jc w:val="center"/>
              <w:rPr>
                <w:rFonts w:ascii="Times New Roman" w:hAnsi="Times New Roman" w:cs="Times New Roman"/>
                <w:color w:val="000000"/>
                <w:sz w:val="24"/>
                <w:szCs w:val="24"/>
              </w:rPr>
            </w:pPr>
            <w:r w:rsidRPr="007C386B">
              <w:rPr>
                <w:rFonts w:ascii="Times New Roman" w:hAnsi="Times New Roman" w:cs="Times New Roman"/>
                <w:color w:val="000000"/>
                <w:sz w:val="24"/>
                <w:szCs w:val="24"/>
              </w:rPr>
              <w:t>0.49</w:t>
            </w:r>
          </w:p>
        </w:tc>
      </w:tr>
    </w:tbl>
    <w:p w14:paraId="286EA4C5" w14:textId="77777777" w:rsidR="000B40E3" w:rsidRDefault="000B40E3" w:rsidP="000B40E3">
      <w:pPr>
        <w:rPr>
          <w:rFonts w:ascii="Times New Roman" w:hAnsi="Times New Roman" w:cs="Times New Roman"/>
          <w:b/>
          <w:bCs/>
          <w:sz w:val="24"/>
          <w:szCs w:val="24"/>
        </w:rPr>
      </w:pPr>
    </w:p>
    <w:p w14:paraId="37B3E000" w14:textId="77777777" w:rsidR="000B40E3" w:rsidRDefault="000B40E3" w:rsidP="000B40E3">
      <w:pPr>
        <w:rPr>
          <w:rFonts w:ascii="Times New Roman" w:hAnsi="Times New Roman" w:cs="Times New Roman"/>
          <w:b/>
          <w:bCs/>
          <w:sz w:val="24"/>
          <w:szCs w:val="24"/>
        </w:rPr>
      </w:pPr>
    </w:p>
    <w:p w14:paraId="0AA52FF4" w14:textId="14D90536" w:rsidR="000B40E3" w:rsidRDefault="000B40E3" w:rsidP="000B40E3">
      <w:pPr>
        <w:rPr>
          <w:rFonts w:ascii="Times New Roman" w:hAnsi="Times New Roman" w:cs="Times New Roman"/>
          <w:b/>
          <w:bCs/>
          <w:sz w:val="24"/>
          <w:szCs w:val="24"/>
        </w:rPr>
      </w:pPr>
      <w:r>
        <w:rPr>
          <w:rFonts w:ascii="Times New Roman" w:hAnsi="Times New Roman" w:cs="Times New Roman"/>
          <w:b/>
          <w:bCs/>
          <w:sz w:val="24"/>
          <w:szCs w:val="24"/>
        </w:rPr>
        <w:t xml:space="preserve">Supplemental Table </w:t>
      </w:r>
      <w:r w:rsidR="00C078C3">
        <w:rPr>
          <w:rFonts w:ascii="Times New Roman" w:hAnsi="Times New Roman" w:cs="Times New Roman"/>
          <w:b/>
          <w:bCs/>
          <w:sz w:val="24"/>
          <w:szCs w:val="24"/>
        </w:rPr>
        <w:t>5</w:t>
      </w:r>
      <w:r>
        <w:rPr>
          <w:rFonts w:ascii="Times New Roman" w:hAnsi="Times New Roman" w:cs="Times New Roman"/>
          <w:b/>
          <w:bCs/>
          <w:sz w:val="24"/>
          <w:szCs w:val="24"/>
        </w:rPr>
        <w:t>: Sensitivity analysis utilizing Cox proportional hazards model for antibiotic duration (n=224), with censoring at time of death or discharge if during antibiotic course (n=96)</w:t>
      </w:r>
    </w:p>
    <w:p w14:paraId="7E2D4FD8" w14:textId="77777777" w:rsidR="000B40E3" w:rsidRPr="007C386B" w:rsidRDefault="000B40E3" w:rsidP="000B40E3">
      <w:pPr>
        <w:rPr>
          <w:rFonts w:ascii="Times New Roman" w:hAnsi="Times New Roman" w:cs="Times New Roman"/>
          <w:b/>
          <w:bCs/>
          <w:sz w:val="24"/>
          <w:szCs w:val="24"/>
        </w:rPr>
      </w:pP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1798"/>
        <w:gridCol w:w="1352"/>
      </w:tblGrid>
      <w:tr w:rsidR="000B40E3" w:rsidRPr="007C386B" w14:paraId="0F7A4F4B" w14:textId="77777777" w:rsidTr="007755C3">
        <w:trPr>
          <w:cantSplit/>
          <w:jc w:val="center"/>
        </w:trPr>
        <w:tc>
          <w:tcPr>
            <w:tcW w:w="4962" w:type="dxa"/>
            <w:tcBorders>
              <w:top w:val="single" w:sz="4" w:space="0" w:color="auto"/>
              <w:bottom w:val="single" w:sz="4" w:space="0" w:color="auto"/>
            </w:tcBorders>
            <w:shd w:val="clear" w:color="auto" w:fill="D0CECE" w:themeFill="background2" w:themeFillShade="E6"/>
            <w:tcMar>
              <w:left w:w="60" w:type="dxa"/>
              <w:right w:w="60" w:type="dxa"/>
            </w:tcMar>
            <w:vAlign w:val="bottom"/>
          </w:tcPr>
          <w:p w14:paraId="2B5D181E" w14:textId="77777777" w:rsidR="000B40E3"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Cox Model Regression Covariate</w:t>
            </w:r>
          </w:p>
        </w:tc>
        <w:tc>
          <w:tcPr>
            <w:tcW w:w="1798" w:type="dxa"/>
            <w:tcBorders>
              <w:top w:val="single" w:sz="4" w:space="0" w:color="auto"/>
              <w:bottom w:val="single" w:sz="4" w:space="0" w:color="auto"/>
              <w:right w:val="single" w:sz="4" w:space="0" w:color="auto"/>
            </w:tcBorders>
            <w:shd w:val="clear" w:color="auto" w:fill="D0CECE" w:themeFill="background2" w:themeFillShade="E6"/>
            <w:vAlign w:val="bottom"/>
          </w:tcPr>
          <w:p w14:paraId="2D72FA1C" w14:textId="77777777" w:rsidR="000B40E3"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HR* (95% CI)</w:t>
            </w:r>
          </w:p>
        </w:tc>
        <w:tc>
          <w:tcPr>
            <w:tcW w:w="13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60" w:type="dxa"/>
              <w:right w:w="60" w:type="dxa"/>
            </w:tcMar>
            <w:vAlign w:val="bottom"/>
          </w:tcPr>
          <w:p w14:paraId="2EF1DB64"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P-value</w:t>
            </w:r>
          </w:p>
        </w:tc>
      </w:tr>
      <w:tr w:rsidR="000B40E3" w:rsidRPr="007C386B" w14:paraId="355F8C0F" w14:textId="77777777" w:rsidTr="007755C3">
        <w:trPr>
          <w:cantSplit/>
          <w:jc w:val="center"/>
        </w:trPr>
        <w:tc>
          <w:tcPr>
            <w:tcW w:w="4962" w:type="dxa"/>
            <w:tcBorders>
              <w:top w:val="single" w:sz="4" w:space="0" w:color="auto"/>
              <w:bottom w:val="single" w:sz="4" w:space="0" w:color="auto"/>
            </w:tcBorders>
            <w:shd w:val="clear" w:color="auto" w:fill="FFFFFF"/>
            <w:tcMar>
              <w:left w:w="60" w:type="dxa"/>
              <w:right w:w="60" w:type="dxa"/>
            </w:tcMar>
          </w:tcPr>
          <w:p w14:paraId="62409A0E" w14:textId="77777777" w:rsidR="000B40E3" w:rsidRDefault="000B40E3" w:rsidP="007755C3">
            <w:pPr>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bPNA, none → possible → probable/proven</w:t>
            </w:r>
          </w:p>
        </w:tc>
        <w:tc>
          <w:tcPr>
            <w:tcW w:w="1798" w:type="dxa"/>
            <w:tcBorders>
              <w:top w:val="single" w:sz="4" w:space="0" w:color="auto"/>
              <w:bottom w:val="single" w:sz="4" w:space="0" w:color="auto"/>
              <w:right w:val="single" w:sz="4" w:space="0" w:color="auto"/>
            </w:tcBorders>
            <w:shd w:val="clear" w:color="auto" w:fill="FFFFFF"/>
          </w:tcPr>
          <w:p w14:paraId="6362F28F" w14:textId="77777777" w:rsidR="000B40E3" w:rsidRDefault="000B40E3" w:rsidP="007755C3">
            <w:pPr>
              <w:adjustRightInd w:val="0"/>
              <w:spacing w:before="60" w:after="60"/>
              <w:jc w:val="center"/>
              <w:rPr>
                <w:rFonts w:ascii="Times New Roman" w:hAnsi="Times New Roman" w:cs="Times New Roman"/>
                <w:color w:val="000000"/>
                <w:sz w:val="24"/>
                <w:szCs w:val="24"/>
              </w:rPr>
            </w:pPr>
            <w:r w:rsidRPr="00480105">
              <w:rPr>
                <w:rFonts w:ascii="Times New Roman" w:hAnsi="Times New Roman" w:cs="Times New Roman"/>
                <w:color w:val="000000"/>
                <w:sz w:val="24"/>
                <w:szCs w:val="24"/>
              </w:rPr>
              <w:t>1.</w:t>
            </w:r>
            <w:r>
              <w:rPr>
                <w:rFonts w:ascii="Times New Roman" w:hAnsi="Times New Roman" w:cs="Times New Roman"/>
                <w:color w:val="000000"/>
                <w:sz w:val="24"/>
                <w:szCs w:val="24"/>
              </w:rPr>
              <w:t>61</w:t>
            </w:r>
            <w:r w:rsidRPr="00480105">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4</w:t>
            </w:r>
            <w:r w:rsidRPr="00480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480105">
              <w:rPr>
                <w:rFonts w:ascii="Times New Roman" w:hAnsi="Times New Roman" w:cs="Times New Roman"/>
                <w:color w:val="000000"/>
                <w:sz w:val="24"/>
                <w:szCs w:val="24"/>
              </w:rPr>
              <w:t>.</w:t>
            </w:r>
            <w:r>
              <w:rPr>
                <w:rFonts w:ascii="Times New Roman" w:hAnsi="Times New Roman" w:cs="Times New Roman"/>
                <w:color w:val="000000"/>
                <w:sz w:val="24"/>
                <w:szCs w:val="24"/>
              </w:rPr>
              <w:t>09</w:t>
            </w:r>
            <w:r w:rsidRPr="00480105">
              <w:rPr>
                <w:rFonts w:ascii="Times New Roman" w:hAnsi="Times New Roman" w:cs="Times New Roman"/>
                <w:color w:val="000000"/>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6600523B"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B40E3" w:rsidRPr="007C386B" w14:paraId="065D8F81" w14:textId="77777777" w:rsidTr="007755C3">
        <w:trPr>
          <w:cantSplit/>
          <w:jc w:val="center"/>
        </w:trPr>
        <w:tc>
          <w:tcPr>
            <w:tcW w:w="4962" w:type="dxa"/>
            <w:tcBorders>
              <w:top w:val="single" w:sz="4" w:space="0" w:color="auto"/>
              <w:bottom w:val="single" w:sz="4" w:space="0" w:color="auto"/>
            </w:tcBorders>
            <w:shd w:val="clear" w:color="auto" w:fill="FFFFFF"/>
            <w:tcMar>
              <w:left w:w="60" w:type="dxa"/>
              <w:right w:w="60" w:type="dxa"/>
            </w:tcMar>
          </w:tcPr>
          <w:p w14:paraId="2D8CE122" w14:textId="7A8ECFB5" w:rsidR="000B40E3" w:rsidRDefault="000B40E3" w:rsidP="007755C3">
            <w:pPr>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Initial PC</w:t>
            </w:r>
            <w:r w:rsidR="00F06B51">
              <w:rPr>
                <w:rFonts w:ascii="Times New Roman" w:hAnsi="Times New Roman" w:cs="Times New Roman"/>
                <w:color w:val="000000"/>
                <w:sz w:val="24"/>
                <w:szCs w:val="24"/>
              </w:rPr>
              <w:t>T</w:t>
            </w:r>
            <w:r>
              <w:rPr>
                <w:rFonts w:ascii="Times New Roman" w:hAnsi="Times New Roman" w:cs="Times New Roman"/>
                <w:color w:val="000000"/>
                <w:sz w:val="24"/>
                <w:szCs w:val="24"/>
              </w:rPr>
              <w:t xml:space="preserve">, per </w:t>
            </w:r>
            <w:r w:rsidR="00F06B51">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increase</w:t>
            </w:r>
          </w:p>
        </w:tc>
        <w:tc>
          <w:tcPr>
            <w:tcW w:w="1798" w:type="dxa"/>
            <w:tcBorders>
              <w:top w:val="single" w:sz="4" w:space="0" w:color="auto"/>
              <w:bottom w:val="single" w:sz="4" w:space="0" w:color="auto"/>
              <w:right w:val="single" w:sz="4" w:space="0" w:color="auto"/>
            </w:tcBorders>
            <w:shd w:val="clear" w:color="auto" w:fill="FFFFFF"/>
          </w:tcPr>
          <w:p w14:paraId="10A5AC59" w14:textId="3BC5B1BA" w:rsidR="000B40E3" w:rsidRDefault="000B40E3" w:rsidP="007755C3">
            <w:pPr>
              <w:adjustRightInd w:val="0"/>
              <w:spacing w:before="60" w:after="60"/>
              <w:jc w:val="center"/>
              <w:rPr>
                <w:rFonts w:ascii="Times New Roman" w:hAnsi="Times New Roman" w:cs="Times New Roman"/>
                <w:color w:val="000000"/>
                <w:sz w:val="24"/>
                <w:szCs w:val="24"/>
              </w:rPr>
            </w:pPr>
            <w:r w:rsidRPr="00480105">
              <w:rPr>
                <w:rFonts w:ascii="Times New Roman" w:hAnsi="Times New Roman" w:cs="Times New Roman"/>
                <w:color w:val="000000"/>
                <w:sz w:val="24"/>
                <w:szCs w:val="24"/>
              </w:rPr>
              <w:t>1.</w:t>
            </w:r>
            <w:r w:rsidR="00F06B51">
              <w:rPr>
                <w:rFonts w:ascii="Times New Roman" w:hAnsi="Times New Roman" w:cs="Times New Roman"/>
                <w:color w:val="000000"/>
                <w:sz w:val="24"/>
                <w:szCs w:val="24"/>
              </w:rPr>
              <w:t>04</w:t>
            </w:r>
            <w:r w:rsidRPr="00480105">
              <w:rPr>
                <w:rFonts w:ascii="Times New Roman" w:hAnsi="Times New Roman" w:cs="Times New Roman"/>
                <w:color w:val="000000"/>
                <w:sz w:val="24"/>
                <w:szCs w:val="24"/>
              </w:rPr>
              <w:t xml:space="preserve"> (1.0</w:t>
            </w:r>
            <w:r>
              <w:rPr>
                <w:rFonts w:ascii="Times New Roman" w:hAnsi="Times New Roman" w:cs="Times New Roman"/>
                <w:color w:val="000000"/>
                <w:sz w:val="24"/>
                <w:szCs w:val="24"/>
              </w:rPr>
              <w:t>0</w:t>
            </w:r>
            <w:r w:rsidRPr="00480105">
              <w:rPr>
                <w:rFonts w:ascii="Times New Roman" w:hAnsi="Times New Roman" w:cs="Times New Roman"/>
                <w:color w:val="000000"/>
                <w:sz w:val="24"/>
                <w:szCs w:val="24"/>
              </w:rPr>
              <w:t>, 1.</w:t>
            </w:r>
            <w:r w:rsidR="00F06B51">
              <w:rPr>
                <w:rFonts w:ascii="Times New Roman" w:hAnsi="Times New Roman" w:cs="Times New Roman"/>
                <w:color w:val="000000"/>
                <w:sz w:val="24"/>
                <w:szCs w:val="24"/>
              </w:rPr>
              <w:t>08</w:t>
            </w:r>
            <w:r w:rsidRPr="00480105">
              <w:rPr>
                <w:rFonts w:ascii="Times New Roman" w:hAnsi="Times New Roman" w:cs="Times New Roman"/>
                <w:color w:val="000000"/>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ED18163"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r>
      <w:tr w:rsidR="000B40E3" w:rsidRPr="007C386B" w14:paraId="35B96E2A" w14:textId="77777777" w:rsidTr="007755C3">
        <w:trPr>
          <w:cantSplit/>
          <w:jc w:val="center"/>
        </w:trPr>
        <w:tc>
          <w:tcPr>
            <w:tcW w:w="4962" w:type="dxa"/>
            <w:tcBorders>
              <w:top w:val="single" w:sz="4" w:space="0" w:color="auto"/>
              <w:bottom w:val="single" w:sz="4" w:space="0" w:color="auto"/>
            </w:tcBorders>
            <w:shd w:val="clear" w:color="auto" w:fill="FFFFFF"/>
            <w:tcMar>
              <w:left w:w="60" w:type="dxa"/>
              <w:right w:w="60" w:type="dxa"/>
            </w:tcMar>
          </w:tcPr>
          <w:p w14:paraId="4E5707DA" w14:textId="77777777" w:rsidR="000B40E3" w:rsidRDefault="000B40E3" w:rsidP="007755C3">
            <w:pPr>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 Change in Daily PCT, per unit increase</w:t>
            </w:r>
          </w:p>
        </w:tc>
        <w:tc>
          <w:tcPr>
            <w:tcW w:w="1798" w:type="dxa"/>
            <w:tcBorders>
              <w:top w:val="single" w:sz="4" w:space="0" w:color="auto"/>
              <w:bottom w:val="single" w:sz="4" w:space="0" w:color="auto"/>
              <w:right w:val="single" w:sz="4" w:space="0" w:color="auto"/>
            </w:tcBorders>
            <w:shd w:val="clear" w:color="auto" w:fill="FFFFFF"/>
          </w:tcPr>
          <w:p w14:paraId="7BD514AD" w14:textId="77777777" w:rsidR="000B40E3" w:rsidRDefault="000B40E3" w:rsidP="007755C3">
            <w:pPr>
              <w:adjustRightInd w:val="0"/>
              <w:spacing w:before="60" w:after="60"/>
              <w:jc w:val="center"/>
              <w:rPr>
                <w:rFonts w:ascii="Times New Roman" w:hAnsi="Times New Roman" w:cs="Times New Roman"/>
                <w:color w:val="000000"/>
                <w:sz w:val="24"/>
                <w:szCs w:val="24"/>
              </w:rPr>
            </w:pPr>
            <w:r w:rsidRPr="00480105">
              <w:rPr>
                <w:rFonts w:ascii="Times New Roman" w:hAnsi="Times New Roman" w:cs="Times New Roman"/>
                <w:color w:val="000000"/>
                <w:sz w:val="24"/>
                <w:szCs w:val="24"/>
              </w:rPr>
              <w:t>1.0</w:t>
            </w:r>
            <w:r>
              <w:rPr>
                <w:rFonts w:ascii="Times New Roman" w:hAnsi="Times New Roman" w:cs="Times New Roman"/>
                <w:color w:val="000000"/>
                <w:sz w:val="24"/>
                <w:szCs w:val="24"/>
              </w:rPr>
              <w:t>5</w:t>
            </w:r>
            <w:r w:rsidRPr="00480105">
              <w:rPr>
                <w:rFonts w:ascii="Times New Roman" w:hAnsi="Times New Roman" w:cs="Times New Roman"/>
                <w:color w:val="000000"/>
                <w:sz w:val="24"/>
                <w:szCs w:val="24"/>
              </w:rPr>
              <w:t xml:space="preserve"> (1.0</w:t>
            </w:r>
            <w:r>
              <w:rPr>
                <w:rFonts w:ascii="Times New Roman" w:hAnsi="Times New Roman" w:cs="Times New Roman"/>
                <w:color w:val="000000"/>
                <w:sz w:val="24"/>
                <w:szCs w:val="24"/>
              </w:rPr>
              <w:t>2</w:t>
            </w:r>
            <w:r w:rsidRPr="00480105">
              <w:rPr>
                <w:rFonts w:ascii="Times New Roman" w:hAnsi="Times New Roman" w:cs="Times New Roman"/>
                <w:color w:val="000000"/>
                <w:sz w:val="24"/>
                <w:szCs w:val="24"/>
              </w:rPr>
              <w:t>, 1.0</w:t>
            </w:r>
            <w:r>
              <w:rPr>
                <w:rFonts w:ascii="Times New Roman" w:hAnsi="Times New Roman" w:cs="Times New Roman"/>
                <w:color w:val="000000"/>
                <w:sz w:val="24"/>
                <w:szCs w:val="24"/>
              </w:rPr>
              <w:t>7</w:t>
            </w:r>
            <w:r w:rsidRPr="00480105">
              <w:rPr>
                <w:rFonts w:ascii="Times New Roman" w:hAnsi="Times New Roman" w:cs="Times New Roman"/>
                <w:color w:val="000000"/>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88732ED"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B40E3" w:rsidRPr="007C386B" w14:paraId="305C72B4" w14:textId="77777777" w:rsidTr="007755C3">
        <w:trPr>
          <w:cantSplit/>
          <w:jc w:val="center"/>
        </w:trPr>
        <w:tc>
          <w:tcPr>
            <w:tcW w:w="4962" w:type="dxa"/>
            <w:tcBorders>
              <w:top w:val="single" w:sz="4" w:space="0" w:color="auto"/>
              <w:bottom w:val="single" w:sz="4" w:space="0" w:color="auto"/>
            </w:tcBorders>
            <w:shd w:val="clear" w:color="auto" w:fill="FFFFFF"/>
            <w:tcMar>
              <w:left w:w="60" w:type="dxa"/>
              <w:right w:w="60" w:type="dxa"/>
            </w:tcMar>
          </w:tcPr>
          <w:p w14:paraId="25C40059" w14:textId="77777777" w:rsidR="000B40E3" w:rsidRDefault="000B40E3" w:rsidP="007755C3">
            <w:pPr>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Time from start of pandemic, per 2-week increase</w:t>
            </w:r>
          </w:p>
        </w:tc>
        <w:tc>
          <w:tcPr>
            <w:tcW w:w="1798" w:type="dxa"/>
            <w:tcBorders>
              <w:top w:val="single" w:sz="4" w:space="0" w:color="auto"/>
              <w:bottom w:val="single" w:sz="4" w:space="0" w:color="auto"/>
              <w:right w:val="single" w:sz="4" w:space="0" w:color="auto"/>
            </w:tcBorders>
            <w:shd w:val="clear" w:color="auto" w:fill="FFFFFF"/>
          </w:tcPr>
          <w:p w14:paraId="6B4E2DEC" w14:textId="77777777" w:rsidR="000B40E3"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480105">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480105">
              <w:rPr>
                <w:rFonts w:ascii="Times New Roman" w:hAnsi="Times New Roman" w:cs="Times New Roman"/>
                <w:color w:val="000000"/>
                <w:sz w:val="24"/>
                <w:szCs w:val="24"/>
              </w:rPr>
              <w:t xml:space="preserve"> (0.98, 1.0</w:t>
            </w:r>
            <w:r>
              <w:rPr>
                <w:rFonts w:ascii="Times New Roman" w:hAnsi="Times New Roman" w:cs="Times New Roman"/>
                <w:color w:val="000000"/>
                <w:sz w:val="24"/>
                <w:szCs w:val="24"/>
              </w:rPr>
              <w:t>1</w:t>
            </w:r>
            <w:r w:rsidRPr="00480105">
              <w:rPr>
                <w:rFonts w:ascii="Times New Roman" w:hAnsi="Times New Roman" w:cs="Times New Roman"/>
                <w:color w:val="000000"/>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1449D8A"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0.87</w:t>
            </w:r>
          </w:p>
        </w:tc>
      </w:tr>
      <w:tr w:rsidR="000B40E3" w:rsidRPr="007C386B" w14:paraId="5806F7E8" w14:textId="77777777" w:rsidTr="007755C3">
        <w:trPr>
          <w:cantSplit/>
          <w:jc w:val="center"/>
        </w:trPr>
        <w:tc>
          <w:tcPr>
            <w:tcW w:w="4962" w:type="dxa"/>
            <w:tcBorders>
              <w:top w:val="single" w:sz="4" w:space="0" w:color="auto"/>
              <w:bottom w:val="single" w:sz="4" w:space="0" w:color="auto"/>
            </w:tcBorders>
            <w:shd w:val="clear" w:color="auto" w:fill="FFFFFF"/>
            <w:tcMar>
              <w:left w:w="60" w:type="dxa"/>
              <w:right w:w="60" w:type="dxa"/>
            </w:tcMar>
          </w:tcPr>
          <w:p w14:paraId="65A92660" w14:textId="77777777" w:rsidR="000B40E3" w:rsidRDefault="000B40E3" w:rsidP="007755C3">
            <w:pPr>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Age, per year increase</w:t>
            </w:r>
          </w:p>
        </w:tc>
        <w:tc>
          <w:tcPr>
            <w:tcW w:w="1798" w:type="dxa"/>
            <w:tcBorders>
              <w:top w:val="single" w:sz="4" w:space="0" w:color="auto"/>
              <w:bottom w:val="single" w:sz="4" w:space="0" w:color="auto"/>
              <w:right w:val="single" w:sz="4" w:space="0" w:color="auto"/>
            </w:tcBorders>
            <w:shd w:val="clear" w:color="auto" w:fill="FFFFFF"/>
          </w:tcPr>
          <w:p w14:paraId="2532198D" w14:textId="77777777" w:rsidR="000B40E3" w:rsidRDefault="000B40E3" w:rsidP="007755C3">
            <w:pPr>
              <w:adjustRightInd w:val="0"/>
              <w:spacing w:before="60" w:after="60"/>
              <w:jc w:val="center"/>
              <w:rPr>
                <w:rFonts w:ascii="Times New Roman" w:hAnsi="Times New Roman" w:cs="Times New Roman"/>
                <w:color w:val="000000"/>
                <w:sz w:val="24"/>
                <w:szCs w:val="24"/>
              </w:rPr>
            </w:pPr>
            <w:r w:rsidRPr="00480105">
              <w:rPr>
                <w:rFonts w:ascii="Times New Roman" w:hAnsi="Times New Roman" w:cs="Times New Roman"/>
                <w:color w:val="000000"/>
                <w:sz w:val="24"/>
                <w:szCs w:val="24"/>
              </w:rPr>
              <w:t>0.99 (0.98, 1.00)</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0E0B068D"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r>
      <w:tr w:rsidR="000B40E3" w:rsidRPr="007C386B" w14:paraId="0D8A62B4" w14:textId="77777777" w:rsidTr="007755C3">
        <w:trPr>
          <w:cantSplit/>
          <w:jc w:val="center"/>
        </w:trPr>
        <w:tc>
          <w:tcPr>
            <w:tcW w:w="4962" w:type="dxa"/>
            <w:tcBorders>
              <w:top w:val="single" w:sz="4" w:space="0" w:color="auto"/>
            </w:tcBorders>
            <w:shd w:val="clear" w:color="auto" w:fill="FFFFFF"/>
            <w:tcMar>
              <w:left w:w="60" w:type="dxa"/>
              <w:right w:w="60" w:type="dxa"/>
            </w:tcMar>
          </w:tcPr>
          <w:p w14:paraId="1E617153" w14:textId="77777777" w:rsidR="000B40E3" w:rsidRDefault="000B40E3" w:rsidP="007755C3">
            <w:pPr>
              <w:adjustRightInd w:val="0"/>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Gender, female vs. male</w:t>
            </w:r>
          </w:p>
        </w:tc>
        <w:tc>
          <w:tcPr>
            <w:tcW w:w="1798" w:type="dxa"/>
            <w:tcBorders>
              <w:top w:val="single" w:sz="4" w:space="0" w:color="auto"/>
              <w:right w:val="single" w:sz="4" w:space="0" w:color="auto"/>
            </w:tcBorders>
            <w:shd w:val="clear" w:color="auto" w:fill="FFFFFF"/>
          </w:tcPr>
          <w:p w14:paraId="1B45422A" w14:textId="77777777" w:rsidR="000B40E3" w:rsidRDefault="000B40E3" w:rsidP="007755C3">
            <w:pPr>
              <w:adjustRightInd w:val="0"/>
              <w:spacing w:before="60" w:after="60"/>
              <w:jc w:val="center"/>
              <w:rPr>
                <w:rFonts w:ascii="Times New Roman" w:hAnsi="Times New Roman" w:cs="Times New Roman"/>
                <w:color w:val="000000"/>
                <w:sz w:val="24"/>
                <w:szCs w:val="24"/>
              </w:rPr>
            </w:pPr>
            <w:r w:rsidRPr="00480105">
              <w:rPr>
                <w:rFonts w:ascii="Times New Roman" w:hAnsi="Times New Roman" w:cs="Times New Roman"/>
                <w:color w:val="000000"/>
                <w:sz w:val="24"/>
                <w:szCs w:val="24"/>
              </w:rPr>
              <w:t>0.7</w:t>
            </w:r>
            <w:r>
              <w:rPr>
                <w:rFonts w:ascii="Times New Roman" w:hAnsi="Times New Roman" w:cs="Times New Roman"/>
                <w:color w:val="000000"/>
                <w:sz w:val="24"/>
                <w:szCs w:val="24"/>
              </w:rPr>
              <w:t>8</w:t>
            </w:r>
            <w:r w:rsidRPr="00480105">
              <w:rPr>
                <w:rFonts w:ascii="Times New Roman" w:hAnsi="Times New Roman" w:cs="Times New Roman"/>
                <w:color w:val="000000"/>
                <w:sz w:val="24"/>
                <w:szCs w:val="24"/>
              </w:rPr>
              <w:t xml:space="preserve"> (0.5</w:t>
            </w:r>
            <w:r>
              <w:rPr>
                <w:rFonts w:ascii="Times New Roman" w:hAnsi="Times New Roman" w:cs="Times New Roman"/>
                <w:color w:val="000000"/>
                <w:sz w:val="24"/>
                <w:szCs w:val="24"/>
              </w:rPr>
              <w:t>5</w:t>
            </w:r>
            <w:r w:rsidRPr="00480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480105">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480105">
              <w:rPr>
                <w:rFonts w:ascii="Times New Roman" w:hAnsi="Times New Roman" w:cs="Times New Roman"/>
                <w:color w:val="000000"/>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4B0803E6" w14:textId="77777777" w:rsidR="000B40E3" w:rsidRPr="007C386B" w:rsidRDefault="000B40E3" w:rsidP="007755C3">
            <w:pPr>
              <w:adjustRightInd w:val="0"/>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r>
    </w:tbl>
    <w:p w14:paraId="10F94632" w14:textId="77777777" w:rsidR="000B40E3" w:rsidRPr="00A371D1" w:rsidRDefault="000B40E3" w:rsidP="000B40E3">
      <w:pPr>
        <w:rPr>
          <w:rFonts w:ascii="Times New Roman" w:hAnsi="Times New Roman" w:cs="Times New Roman"/>
          <w:sz w:val="24"/>
          <w:szCs w:val="24"/>
        </w:rPr>
      </w:pPr>
      <w:r>
        <w:rPr>
          <w:rFonts w:ascii="Times New Roman" w:hAnsi="Times New Roman" w:cs="Times New Roman"/>
          <w:sz w:val="24"/>
          <w:szCs w:val="24"/>
        </w:rPr>
        <w:t>*Hazard ratio for continuing antibiotic treatment</w:t>
      </w:r>
    </w:p>
    <w:p w14:paraId="4606A57C" w14:textId="77777777" w:rsidR="000B40E3" w:rsidRDefault="000B40E3" w:rsidP="000B40E3">
      <w:pPr>
        <w:rPr>
          <w:rFonts w:ascii="Times New Roman" w:hAnsi="Times New Roman" w:cs="Times New Roman"/>
          <w:b/>
          <w:bCs/>
          <w:sz w:val="24"/>
          <w:szCs w:val="24"/>
        </w:rPr>
      </w:pPr>
    </w:p>
    <w:p w14:paraId="4BC575CB" w14:textId="41F59025" w:rsidR="006C6212" w:rsidRPr="006C6212" w:rsidRDefault="006C6212">
      <w:pPr>
        <w:rPr>
          <w:rFonts w:ascii="Times New Roman" w:hAnsi="Times New Roman" w:cs="Times New Roman"/>
          <w:b/>
          <w:bCs/>
          <w:sz w:val="24"/>
          <w:szCs w:val="24"/>
        </w:rPr>
      </w:pPr>
      <w:r w:rsidRPr="007C386B">
        <w:rPr>
          <w:rFonts w:ascii="Times New Roman" w:hAnsi="Times New Roman" w:cs="Times New Roman"/>
          <w:b/>
          <w:bCs/>
          <w:sz w:val="24"/>
          <w:szCs w:val="24"/>
        </w:rPr>
        <w:t>References</w:t>
      </w:r>
    </w:p>
    <w:p w14:paraId="11B82387" w14:textId="77777777" w:rsidR="0029721A" w:rsidRPr="0029721A" w:rsidRDefault="006C6212" w:rsidP="0029721A">
      <w:pPr>
        <w:pStyle w:val="EndNoteBibliography"/>
        <w:spacing w:after="0"/>
        <w:ind w:left="720" w:hanging="720"/>
      </w:pPr>
      <w:r>
        <w:fldChar w:fldCharType="begin"/>
      </w:r>
      <w:r>
        <w:instrText xml:space="preserve"> ADDIN EN.REFLIST </w:instrText>
      </w:r>
      <w:r>
        <w:fldChar w:fldCharType="separate"/>
      </w:r>
      <w:r w:rsidR="0029721A" w:rsidRPr="0029721A">
        <w:t>1.</w:t>
      </w:r>
      <w:r w:rsidR="0029721A" w:rsidRPr="0029721A">
        <w:tab/>
        <w:t xml:space="preserve">Thompson NR, Fan Y, Dalton JE, et al. A new Elixhauser-based comorbidity summary measure to predict in-hospital mortality. </w:t>
      </w:r>
      <w:r w:rsidR="0029721A" w:rsidRPr="0029721A">
        <w:rPr>
          <w:i/>
        </w:rPr>
        <w:t xml:space="preserve">Med Care. </w:t>
      </w:r>
      <w:r w:rsidR="0029721A" w:rsidRPr="0029721A">
        <w:t>2015;53(4):374-379.</w:t>
      </w:r>
    </w:p>
    <w:p w14:paraId="52D40A91" w14:textId="77777777" w:rsidR="0029721A" w:rsidRPr="0029721A" w:rsidRDefault="0029721A" w:rsidP="0029721A">
      <w:pPr>
        <w:pStyle w:val="EndNoteBibliography"/>
        <w:spacing w:after="0"/>
        <w:ind w:left="720" w:hanging="720"/>
      </w:pPr>
      <w:r w:rsidRPr="0029721A">
        <w:t>2.</w:t>
      </w:r>
      <w:r w:rsidRPr="0029721A">
        <w:tab/>
        <w:t xml:space="preserve">Bursac Z, Gauss CH, Williams DK, Hosmer DW. Purposeful selection of variables in logistic regression. </w:t>
      </w:r>
      <w:r w:rsidRPr="0029721A">
        <w:rPr>
          <w:i/>
        </w:rPr>
        <w:t xml:space="preserve">Source Code for Biology and Medicine. </w:t>
      </w:r>
      <w:r w:rsidRPr="0029721A">
        <w:t>2008;3(1):17.</w:t>
      </w:r>
    </w:p>
    <w:p w14:paraId="25D065CC" w14:textId="77777777" w:rsidR="0029721A" w:rsidRPr="0029721A" w:rsidRDefault="0029721A" w:rsidP="0029721A">
      <w:pPr>
        <w:pStyle w:val="EndNoteBibliography"/>
        <w:spacing w:after="0"/>
        <w:ind w:left="720" w:hanging="720"/>
      </w:pPr>
      <w:r w:rsidRPr="0029721A">
        <w:t>3.</w:t>
      </w:r>
      <w:r w:rsidRPr="0029721A">
        <w:tab/>
        <w:t xml:space="preserve">Baggs J, Jernigan JA, Halpin AL, Epstein L, Hatfield KM, McDonald LC. Risk of Subsequent Sepsis Within 90 Days After a Hospital Stay by Type of Antibiotic Exposure. </w:t>
      </w:r>
      <w:r w:rsidRPr="0029721A">
        <w:rPr>
          <w:i/>
        </w:rPr>
        <w:t xml:space="preserve">Clinical Infectious Diseases. </w:t>
      </w:r>
      <w:r w:rsidRPr="0029721A">
        <w:t>2017;66(7):1004-1012.</w:t>
      </w:r>
    </w:p>
    <w:p w14:paraId="4E9CAF65" w14:textId="77777777" w:rsidR="0029721A" w:rsidRPr="0029721A" w:rsidRDefault="0029721A" w:rsidP="0029721A">
      <w:pPr>
        <w:pStyle w:val="EndNoteBibliography"/>
        <w:spacing w:after="0"/>
        <w:ind w:left="720" w:hanging="720"/>
      </w:pPr>
      <w:r w:rsidRPr="0029721A">
        <w:t>4.</w:t>
      </w:r>
      <w:r w:rsidRPr="0029721A">
        <w:tab/>
        <w:t xml:space="preserve">Slimings C, Riley TV. Antibiotics and hospital-acquired Clostridium difficile infection: update of systematic review and meta-analysis. </w:t>
      </w:r>
      <w:r w:rsidRPr="0029721A">
        <w:rPr>
          <w:i/>
        </w:rPr>
        <w:t xml:space="preserve">J Antimicrob Chemother. </w:t>
      </w:r>
      <w:r w:rsidRPr="0029721A">
        <w:t>2014;69(4):881-891.</w:t>
      </w:r>
    </w:p>
    <w:p w14:paraId="538F1E9D" w14:textId="77777777" w:rsidR="0029721A" w:rsidRPr="0029721A" w:rsidRDefault="0029721A" w:rsidP="0029721A">
      <w:pPr>
        <w:pStyle w:val="EndNoteBibliography"/>
        <w:spacing w:after="0"/>
        <w:ind w:left="720" w:hanging="720"/>
      </w:pPr>
      <w:r w:rsidRPr="0029721A">
        <w:t>5.</w:t>
      </w:r>
      <w:r w:rsidRPr="0029721A">
        <w:tab/>
        <w:t xml:space="preserve">Brown KA, Khanafer N, Daneman N, Fisman DN. Meta-analysis of antibiotics and the risk of community-associated Clostridium difficile infection. </w:t>
      </w:r>
      <w:r w:rsidRPr="0029721A">
        <w:rPr>
          <w:i/>
        </w:rPr>
        <w:t xml:space="preserve">Antimicrob Agents Chemother. </w:t>
      </w:r>
      <w:r w:rsidRPr="0029721A">
        <w:t>2013;57(5):2326-2332.</w:t>
      </w:r>
    </w:p>
    <w:p w14:paraId="2F36D4FF" w14:textId="77777777" w:rsidR="0029721A" w:rsidRPr="0029721A" w:rsidRDefault="0029721A" w:rsidP="0029721A">
      <w:pPr>
        <w:pStyle w:val="EndNoteBibliography"/>
        <w:ind w:left="720" w:hanging="720"/>
      </w:pPr>
      <w:r w:rsidRPr="0029721A">
        <w:t>6.</w:t>
      </w:r>
      <w:r w:rsidRPr="0029721A">
        <w:tab/>
        <w:t xml:space="preserve">Isaac S, Scher JU, Djukovic A, et al. Short- and long-term effects of oral vancomycin on the human intestinal microbiota. </w:t>
      </w:r>
      <w:r w:rsidRPr="0029721A">
        <w:rPr>
          <w:i/>
        </w:rPr>
        <w:t xml:space="preserve">J Antimicrob Chemother. </w:t>
      </w:r>
      <w:r w:rsidRPr="0029721A">
        <w:t>2017;72(1):128-136.</w:t>
      </w:r>
    </w:p>
    <w:p w14:paraId="69A59551" w14:textId="07D5C6C3" w:rsidR="007755C3" w:rsidRDefault="006C6212">
      <w:r>
        <w:lastRenderedPageBreak/>
        <w:fldChar w:fldCharType="end"/>
      </w:r>
    </w:p>
    <w:sectPr w:rsidR="007755C3" w:rsidSect="00FD635B">
      <w:foot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974D" w14:textId="77777777" w:rsidR="00954358" w:rsidRDefault="00954358" w:rsidP="00FD635B">
      <w:pPr>
        <w:spacing w:after="0" w:line="240" w:lineRule="auto"/>
      </w:pPr>
      <w:r>
        <w:separator/>
      </w:r>
    </w:p>
  </w:endnote>
  <w:endnote w:type="continuationSeparator" w:id="0">
    <w:p w14:paraId="6CDDFF72" w14:textId="77777777" w:rsidR="00954358" w:rsidRDefault="00954358" w:rsidP="00FD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54117"/>
      <w:docPartObj>
        <w:docPartGallery w:val="Page Numbers (Bottom of Page)"/>
        <w:docPartUnique/>
      </w:docPartObj>
    </w:sdtPr>
    <w:sdtEndPr>
      <w:rPr>
        <w:noProof/>
      </w:rPr>
    </w:sdtEndPr>
    <w:sdtContent>
      <w:p w14:paraId="0765920E" w14:textId="5A2371B1" w:rsidR="00FD635B" w:rsidRDefault="00FD635B">
        <w:pPr>
          <w:pStyle w:val="Footer"/>
        </w:pPr>
        <w:r>
          <w:fldChar w:fldCharType="begin"/>
        </w:r>
        <w:r>
          <w:instrText xml:space="preserve"> PAGE   \* MERGEFORMAT </w:instrText>
        </w:r>
        <w:r>
          <w:fldChar w:fldCharType="separate"/>
        </w:r>
        <w:r>
          <w:rPr>
            <w:noProof/>
          </w:rPr>
          <w:t>2</w:t>
        </w:r>
        <w:r>
          <w:rPr>
            <w:noProof/>
          </w:rPr>
          <w:fldChar w:fldCharType="end"/>
        </w:r>
      </w:p>
    </w:sdtContent>
  </w:sdt>
  <w:p w14:paraId="03A44763" w14:textId="77777777" w:rsidR="00FD635B" w:rsidRDefault="00FD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33BF" w14:textId="77777777" w:rsidR="00954358" w:rsidRDefault="00954358" w:rsidP="00FD635B">
      <w:pPr>
        <w:spacing w:after="0" w:line="240" w:lineRule="auto"/>
      </w:pPr>
      <w:r>
        <w:separator/>
      </w:r>
    </w:p>
  </w:footnote>
  <w:footnote w:type="continuationSeparator" w:id="0">
    <w:p w14:paraId="517511CD" w14:textId="77777777" w:rsidR="00954358" w:rsidRDefault="00954358" w:rsidP="00FD6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xtpsea0pxzasewrz7xdvzx20da9szppdfp&quot;&gt;EndNote Library&lt;record-ids&gt;&lt;item&gt;66&lt;/item&gt;&lt;item&gt;68&lt;/item&gt;&lt;item&gt;91&lt;/item&gt;&lt;item&gt;93&lt;/item&gt;&lt;item&gt;94&lt;/item&gt;&lt;item&gt;95&lt;/item&gt;&lt;/record-ids&gt;&lt;/item&gt;&lt;/Libraries&gt;"/>
  </w:docVars>
  <w:rsids>
    <w:rsidRoot w:val="000B40E3"/>
    <w:rsid w:val="00046047"/>
    <w:rsid w:val="000B40E3"/>
    <w:rsid w:val="0012604D"/>
    <w:rsid w:val="001874E1"/>
    <w:rsid w:val="001D74B0"/>
    <w:rsid w:val="0029721A"/>
    <w:rsid w:val="003B6628"/>
    <w:rsid w:val="00414C7E"/>
    <w:rsid w:val="004423E4"/>
    <w:rsid w:val="005828A1"/>
    <w:rsid w:val="00582F5C"/>
    <w:rsid w:val="006C6212"/>
    <w:rsid w:val="007755C3"/>
    <w:rsid w:val="008C0AC3"/>
    <w:rsid w:val="009236F7"/>
    <w:rsid w:val="0094449E"/>
    <w:rsid w:val="00954358"/>
    <w:rsid w:val="00957223"/>
    <w:rsid w:val="00991546"/>
    <w:rsid w:val="00A073E6"/>
    <w:rsid w:val="00A31A20"/>
    <w:rsid w:val="00A37E4C"/>
    <w:rsid w:val="00A66318"/>
    <w:rsid w:val="00A83A5C"/>
    <w:rsid w:val="00C078C3"/>
    <w:rsid w:val="00C52436"/>
    <w:rsid w:val="00CD6E85"/>
    <w:rsid w:val="00D30E2E"/>
    <w:rsid w:val="00D938A7"/>
    <w:rsid w:val="00E56B4D"/>
    <w:rsid w:val="00EC07E1"/>
    <w:rsid w:val="00F06B51"/>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1D42"/>
  <w15:docId w15:val="{067C5789-DBE9-48BF-9E7C-F4CE9505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0B40E3"/>
    <w:rPr>
      <w:rFonts w:ascii="Calibri" w:eastAsia="Calibri" w:hAnsi="Calibri" w:cs="Calibri"/>
    </w:rPr>
  </w:style>
  <w:style w:type="table" w:styleId="TableGrid">
    <w:name w:val="Table Grid"/>
    <w:basedOn w:val="TableNormal"/>
    <w:uiPriority w:val="39"/>
    <w:rsid w:val="00E5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047"/>
    <w:rPr>
      <w:sz w:val="16"/>
      <w:szCs w:val="16"/>
    </w:rPr>
  </w:style>
  <w:style w:type="paragraph" w:styleId="CommentText">
    <w:name w:val="annotation text"/>
    <w:basedOn w:val="Normal"/>
    <w:link w:val="CommentTextChar"/>
    <w:uiPriority w:val="99"/>
    <w:unhideWhenUsed/>
    <w:rsid w:val="00046047"/>
    <w:pPr>
      <w:spacing w:line="240" w:lineRule="auto"/>
    </w:pPr>
    <w:rPr>
      <w:sz w:val="20"/>
      <w:szCs w:val="20"/>
    </w:rPr>
  </w:style>
  <w:style w:type="character" w:customStyle="1" w:styleId="CommentTextChar">
    <w:name w:val="Comment Text Char"/>
    <w:basedOn w:val="DefaultParagraphFont"/>
    <w:link w:val="CommentText"/>
    <w:uiPriority w:val="99"/>
    <w:rsid w:val="00046047"/>
    <w:rPr>
      <w:sz w:val="20"/>
      <w:szCs w:val="20"/>
    </w:rPr>
  </w:style>
  <w:style w:type="paragraph" w:styleId="CommentSubject">
    <w:name w:val="annotation subject"/>
    <w:basedOn w:val="CommentText"/>
    <w:next w:val="CommentText"/>
    <w:link w:val="CommentSubjectChar"/>
    <w:uiPriority w:val="99"/>
    <w:semiHidden/>
    <w:unhideWhenUsed/>
    <w:rsid w:val="00046047"/>
    <w:rPr>
      <w:b/>
      <w:bCs/>
    </w:rPr>
  </w:style>
  <w:style w:type="character" w:customStyle="1" w:styleId="CommentSubjectChar">
    <w:name w:val="Comment Subject Char"/>
    <w:basedOn w:val="CommentTextChar"/>
    <w:link w:val="CommentSubject"/>
    <w:uiPriority w:val="99"/>
    <w:semiHidden/>
    <w:rsid w:val="00046047"/>
    <w:rPr>
      <w:b/>
      <w:bCs/>
      <w:sz w:val="20"/>
      <w:szCs w:val="20"/>
    </w:rPr>
  </w:style>
  <w:style w:type="paragraph" w:customStyle="1" w:styleId="EndNoteBibliographyTitle">
    <w:name w:val="EndNote Bibliography Title"/>
    <w:basedOn w:val="Normal"/>
    <w:link w:val="EndNoteBibliographyTitleChar"/>
    <w:rsid w:val="006C62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6212"/>
    <w:rPr>
      <w:rFonts w:ascii="Calibri" w:hAnsi="Calibri" w:cs="Calibri"/>
      <w:noProof/>
    </w:rPr>
  </w:style>
  <w:style w:type="paragraph" w:customStyle="1" w:styleId="EndNoteBibliography">
    <w:name w:val="EndNote Bibliography"/>
    <w:basedOn w:val="Normal"/>
    <w:link w:val="EndNoteBibliographyChar"/>
    <w:rsid w:val="006C62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6212"/>
    <w:rPr>
      <w:rFonts w:ascii="Calibri" w:hAnsi="Calibri" w:cs="Calibri"/>
      <w:noProof/>
    </w:rPr>
  </w:style>
  <w:style w:type="character" w:styleId="LineNumber">
    <w:name w:val="line number"/>
    <w:basedOn w:val="DefaultParagraphFont"/>
    <w:uiPriority w:val="99"/>
    <w:semiHidden/>
    <w:unhideWhenUsed/>
    <w:rsid w:val="00FD635B"/>
  </w:style>
  <w:style w:type="paragraph" w:styleId="Header">
    <w:name w:val="header"/>
    <w:basedOn w:val="Normal"/>
    <w:link w:val="HeaderChar"/>
    <w:uiPriority w:val="99"/>
    <w:unhideWhenUsed/>
    <w:rsid w:val="00FD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5B"/>
  </w:style>
  <w:style w:type="paragraph" w:styleId="Footer">
    <w:name w:val="footer"/>
    <w:basedOn w:val="Normal"/>
    <w:link w:val="FooterChar"/>
    <w:uiPriority w:val="99"/>
    <w:unhideWhenUsed/>
    <w:rsid w:val="00FD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Conlon</cp:lastModifiedBy>
  <cp:revision>25</cp:revision>
  <dcterms:created xsi:type="dcterms:W3CDTF">2022-09-07T10:39:00Z</dcterms:created>
  <dcterms:modified xsi:type="dcterms:W3CDTF">2022-09-23T15:20:00Z</dcterms:modified>
</cp:coreProperties>
</file>