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9CAF" w14:textId="77777777" w:rsidR="006E3A0D" w:rsidRDefault="006E3A0D" w:rsidP="3AA2188A">
      <w:pPr>
        <w:rPr>
          <w:b/>
          <w:bCs/>
        </w:rPr>
      </w:pPr>
      <w:r w:rsidRPr="3AA2188A">
        <w:rPr>
          <w:b/>
          <w:bCs/>
        </w:rPr>
        <w:t>Supplementary Material</w:t>
      </w:r>
    </w:p>
    <w:p w14:paraId="1CF7D96D" w14:textId="1F238BF6" w:rsidR="3AA2188A" w:rsidRDefault="3AA2188A" w:rsidP="3AA2188A">
      <w:pPr>
        <w:rPr>
          <w:b/>
          <w:bCs/>
        </w:rPr>
      </w:pPr>
    </w:p>
    <w:p w14:paraId="29C93DE0" w14:textId="7D588E5F" w:rsidR="0074F5AF" w:rsidRDefault="0074F5AF" w:rsidP="3AA2188A">
      <w:pPr>
        <w:rPr>
          <w:b/>
          <w:bCs/>
        </w:rPr>
      </w:pPr>
      <w:r w:rsidRPr="3AA2188A">
        <w:rPr>
          <w:b/>
          <w:bCs/>
        </w:rPr>
        <w:t>for</w:t>
      </w:r>
    </w:p>
    <w:p w14:paraId="29733860" w14:textId="5B12EA11" w:rsidR="3AA2188A" w:rsidRDefault="3AA2188A" w:rsidP="3AA2188A"/>
    <w:p w14:paraId="7A48AF70" w14:textId="01516919" w:rsidR="0074F5AF" w:rsidRDefault="0074F5AF" w:rsidP="3AA2188A">
      <w:pPr>
        <w:spacing w:line="480" w:lineRule="auto"/>
        <w:rPr>
          <w:rFonts w:ascii="Calibri" w:eastAsia="Calibri" w:hAnsi="Calibri" w:cs="Calibri"/>
          <w:color w:val="000000" w:themeColor="text1"/>
        </w:rPr>
      </w:pPr>
      <w:r w:rsidRPr="3AA2188A">
        <w:rPr>
          <w:rFonts w:ascii="Calibri" w:eastAsia="Calibri" w:hAnsi="Calibri" w:cs="Calibri"/>
          <w:b/>
          <w:bCs/>
          <w:color w:val="000000" w:themeColor="text1"/>
        </w:rPr>
        <w:t>Healthcare Personnel Interactive Pathogen Exposure Response System</w:t>
      </w:r>
    </w:p>
    <w:p w14:paraId="1808205E" w14:textId="7BC94A9C" w:rsidR="3AA2188A" w:rsidRDefault="3AA2188A" w:rsidP="3AA2188A">
      <w:pPr>
        <w:spacing w:line="480" w:lineRule="auto"/>
        <w:rPr>
          <w:rFonts w:ascii="Calibri" w:eastAsia="Calibri" w:hAnsi="Calibri" w:cs="Calibri"/>
          <w:color w:val="000000" w:themeColor="text1"/>
        </w:rPr>
      </w:pPr>
    </w:p>
    <w:p w14:paraId="517C8CE4" w14:textId="611F3CC3" w:rsidR="0074F5AF" w:rsidRDefault="0074F5AF" w:rsidP="3AA2188A">
      <w:pPr>
        <w:spacing w:line="480" w:lineRule="auto"/>
        <w:rPr>
          <w:rFonts w:ascii="Calibri" w:eastAsia="Calibri" w:hAnsi="Calibri" w:cs="Calibri"/>
          <w:color w:val="000000" w:themeColor="text1"/>
          <w:sz w:val="17"/>
          <w:szCs w:val="17"/>
        </w:rPr>
      </w:pPr>
      <w:r w:rsidRPr="3AA2188A">
        <w:rPr>
          <w:rFonts w:ascii="Calibri" w:eastAsia="Calibri" w:hAnsi="Calibri" w:cs="Calibri"/>
          <w:color w:val="000000" w:themeColor="text1"/>
        </w:rPr>
        <w:t>Leigh Smith</w:t>
      </w:r>
      <w:r w:rsidRPr="3AA2188A">
        <w:rPr>
          <w:rFonts w:ascii="Calibri" w:eastAsia="Calibri" w:hAnsi="Calibri" w:cs="Calibri"/>
          <w:color w:val="000000" w:themeColor="text1"/>
          <w:vertAlign w:val="superscript"/>
        </w:rPr>
        <w:t>1,2</w:t>
      </w:r>
      <w:r w:rsidRPr="3AA2188A">
        <w:rPr>
          <w:rFonts w:ascii="Calibri" w:eastAsia="Calibri" w:hAnsi="Calibri" w:cs="Calibri"/>
          <w:color w:val="000000" w:themeColor="text1"/>
        </w:rPr>
        <w:t>, Susan Fallon</w:t>
      </w:r>
      <w:r w:rsidRPr="3AA2188A">
        <w:rPr>
          <w:rFonts w:ascii="Calibri" w:eastAsia="Calibri" w:hAnsi="Calibri" w:cs="Calibri"/>
          <w:color w:val="000000" w:themeColor="text1"/>
          <w:vertAlign w:val="superscript"/>
        </w:rPr>
        <w:t>2</w:t>
      </w:r>
      <w:r w:rsidRPr="3AA2188A">
        <w:rPr>
          <w:rFonts w:ascii="Calibri" w:eastAsia="Calibri" w:hAnsi="Calibri" w:cs="Calibri"/>
          <w:color w:val="000000" w:themeColor="text1"/>
        </w:rPr>
        <w:t xml:space="preserve">, </w:t>
      </w:r>
      <w:proofErr w:type="spellStart"/>
      <w:r w:rsidRPr="3AA2188A">
        <w:rPr>
          <w:rFonts w:ascii="Calibri" w:eastAsia="Calibri" w:hAnsi="Calibri" w:cs="Calibri"/>
          <w:color w:val="000000" w:themeColor="text1"/>
        </w:rPr>
        <w:t>Zunaira</w:t>
      </w:r>
      <w:proofErr w:type="spellEnd"/>
      <w:r w:rsidRPr="3AA2188A">
        <w:rPr>
          <w:rFonts w:ascii="Calibri" w:eastAsia="Calibri" w:hAnsi="Calibri" w:cs="Calibri"/>
          <w:color w:val="000000" w:themeColor="text1"/>
        </w:rPr>
        <w:t xml:space="preserve"> Virk</w:t>
      </w:r>
      <w:r w:rsidRPr="3AA2188A">
        <w:rPr>
          <w:rFonts w:ascii="Calibri" w:eastAsia="Calibri" w:hAnsi="Calibri" w:cs="Calibri"/>
          <w:color w:val="000000" w:themeColor="text1"/>
          <w:vertAlign w:val="superscript"/>
        </w:rPr>
        <w:t>1</w:t>
      </w:r>
      <w:r w:rsidRPr="3AA2188A">
        <w:rPr>
          <w:rFonts w:ascii="Calibri" w:eastAsia="Calibri" w:hAnsi="Calibri" w:cs="Calibri"/>
          <w:color w:val="000000" w:themeColor="text1"/>
        </w:rPr>
        <w:t>, Alejandra B. Salinas</w:t>
      </w:r>
      <w:r w:rsidRPr="3AA2188A">
        <w:rPr>
          <w:rFonts w:ascii="Calibri" w:eastAsia="Calibri" w:hAnsi="Calibri" w:cs="Calibri"/>
          <w:color w:val="000000" w:themeColor="text1"/>
          <w:vertAlign w:val="superscript"/>
        </w:rPr>
        <w:t>1</w:t>
      </w:r>
      <w:r w:rsidRPr="3AA2188A">
        <w:rPr>
          <w:rFonts w:ascii="Calibri" w:eastAsia="Calibri" w:hAnsi="Calibri" w:cs="Calibri"/>
          <w:color w:val="000000" w:themeColor="text1"/>
        </w:rPr>
        <w:t>, Melanie S. Curless</w:t>
      </w:r>
      <w:r w:rsidRPr="3AA2188A">
        <w:rPr>
          <w:rFonts w:ascii="Calibri" w:eastAsia="Calibri" w:hAnsi="Calibri" w:cs="Calibri"/>
          <w:color w:val="000000" w:themeColor="text1"/>
          <w:vertAlign w:val="superscript"/>
        </w:rPr>
        <w:t>2</w:t>
      </w:r>
      <w:r w:rsidRPr="3AA2188A">
        <w:rPr>
          <w:rFonts w:ascii="Calibri" w:eastAsia="Calibri" w:hAnsi="Calibri" w:cs="Calibri"/>
          <w:color w:val="000000" w:themeColor="text1"/>
        </w:rPr>
        <w:t>, Sara E. Cosgrove</w:t>
      </w:r>
      <w:r w:rsidRPr="3AA2188A">
        <w:rPr>
          <w:rFonts w:ascii="Calibri" w:eastAsia="Calibri" w:hAnsi="Calibri" w:cs="Calibri"/>
          <w:color w:val="000000" w:themeColor="text1"/>
          <w:vertAlign w:val="superscript"/>
        </w:rPr>
        <w:t>1,2</w:t>
      </w:r>
      <w:r w:rsidRPr="3AA2188A">
        <w:rPr>
          <w:rFonts w:ascii="Calibri" w:eastAsia="Calibri" w:hAnsi="Calibri" w:cs="Calibri"/>
          <w:color w:val="000000" w:themeColor="text1"/>
        </w:rPr>
        <w:t>, Lisa L. Maragakis</w:t>
      </w:r>
      <w:r w:rsidRPr="3AA2188A">
        <w:rPr>
          <w:rFonts w:ascii="Calibri" w:eastAsia="Calibri" w:hAnsi="Calibri" w:cs="Calibri"/>
          <w:color w:val="000000" w:themeColor="text1"/>
          <w:vertAlign w:val="superscript"/>
        </w:rPr>
        <w:t>1,2</w:t>
      </w:r>
      <w:r w:rsidRPr="3AA2188A">
        <w:rPr>
          <w:rFonts w:ascii="Calibri" w:eastAsia="Calibri" w:hAnsi="Calibri" w:cs="Calibri"/>
          <w:color w:val="000000" w:themeColor="text1"/>
        </w:rPr>
        <w:t>, Clare Rock</w:t>
      </w:r>
      <w:r w:rsidRPr="3AA2188A">
        <w:rPr>
          <w:rFonts w:ascii="Calibri" w:eastAsia="Calibri" w:hAnsi="Calibri" w:cs="Calibri"/>
          <w:color w:val="000000" w:themeColor="text1"/>
          <w:vertAlign w:val="superscript"/>
        </w:rPr>
        <w:t>1,2</w:t>
      </w:r>
      <w:r w:rsidRPr="3AA2188A">
        <w:rPr>
          <w:rFonts w:ascii="Calibri" w:eastAsia="Calibri" w:hAnsi="Calibri" w:cs="Calibri"/>
          <w:color w:val="000000" w:themeColor="text1"/>
        </w:rPr>
        <w:t xml:space="preserve">, </w:t>
      </w:r>
      <w:proofErr w:type="spellStart"/>
      <w:r w:rsidRPr="3AA2188A">
        <w:rPr>
          <w:rFonts w:ascii="Calibri" w:eastAsia="Calibri" w:hAnsi="Calibri" w:cs="Calibri"/>
          <w:color w:val="000000" w:themeColor="text1"/>
        </w:rPr>
        <w:t>Eili</w:t>
      </w:r>
      <w:proofErr w:type="spellEnd"/>
      <w:r w:rsidRPr="3AA2188A">
        <w:rPr>
          <w:rFonts w:ascii="Calibri" w:eastAsia="Calibri" w:hAnsi="Calibri" w:cs="Calibri"/>
          <w:color w:val="000000" w:themeColor="text1"/>
        </w:rPr>
        <w:t xml:space="preserve"> Klein</w:t>
      </w:r>
      <w:r w:rsidRPr="3AA2188A">
        <w:rPr>
          <w:rFonts w:ascii="Calibri" w:eastAsia="Calibri" w:hAnsi="Calibri" w:cs="Calibri"/>
          <w:color w:val="000000" w:themeColor="text1"/>
          <w:vertAlign w:val="superscript"/>
        </w:rPr>
        <w:t>1,3</w:t>
      </w:r>
    </w:p>
    <w:p w14:paraId="1FE6A72C" w14:textId="67BDC09C" w:rsidR="0074F5AF" w:rsidRDefault="0074F5AF" w:rsidP="3AA2188A">
      <w:pPr>
        <w:spacing w:line="480" w:lineRule="auto"/>
        <w:rPr>
          <w:rFonts w:ascii="Calibri" w:eastAsia="Calibri" w:hAnsi="Calibri" w:cs="Calibri"/>
          <w:color w:val="000000" w:themeColor="text1"/>
        </w:rPr>
      </w:pPr>
      <w:r w:rsidRPr="3AA2188A">
        <w:rPr>
          <w:rFonts w:ascii="Calibri" w:eastAsia="Calibri" w:hAnsi="Calibri" w:cs="Calibri"/>
          <w:color w:val="000000" w:themeColor="text1"/>
        </w:rPr>
        <w:t xml:space="preserve">For the Centers for Disease Control and Prevention’s Prevention Epicenters Program </w:t>
      </w:r>
    </w:p>
    <w:p w14:paraId="24E5FD6C" w14:textId="40E2284C" w:rsidR="3AA2188A" w:rsidRDefault="3AA2188A" w:rsidP="3AA2188A">
      <w:pPr>
        <w:spacing w:line="480" w:lineRule="auto"/>
        <w:rPr>
          <w:rFonts w:ascii="Calibri" w:eastAsia="Calibri" w:hAnsi="Calibri" w:cs="Calibri"/>
          <w:color w:val="000000" w:themeColor="text1"/>
        </w:rPr>
      </w:pPr>
    </w:p>
    <w:p w14:paraId="082651DA" w14:textId="5F0C2791" w:rsidR="0074F5AF" w:rsidRDefault="0074F5AF" w:rsidP="3AA2188A">
      <w:pPr>
        <w:spacing w:line="480" w:lineRule="auto"/>
        <w:rPr>
          <w:rFonts w:ascii="Calibri" w:eastAsia="Calibri" w:hAnsi="Calibri" w:cs="Calibri"/>
          <w:color w:val="000000" w:themeColor="text1"/>
        </w:rPr>
      </w:pPr>
      <w:r w:rsidRPr="3AA2188A">
        <w:rPr>
          <w:rFonts w:ascii="Calibri" w:eastAsia="Calibri" w:hAnsi="Calibri" w:cs="Calibri"/>
          <w:color w:val="000000" w:themeColor="text1"/>
        </w:rPr>
        <w:t>1 Johns Hopkins University School of Medicine, Division of Infectious Diseases, Baltimore, MD, USA</w:t>
      </w:r>
    </w:p>
    <w:p w14:paraId="376A1B97" w14:textId="200E8A51" w:rsidR="0074F5AF" w:rsidRDefault="0074F5AF" w:rsidP="3AA2188A">
      <w:pPr>
        <w:spacing w:line="480" w:lineRule="auto"/>
        <w:rPr>
          <w:rFonts w:ascii="Calibri" w:eastAsia="Calibri" w:hAnsi="Calibri" w:cs="Calibri"/>
          <w:color w:val="000000" w:themeColor="text1"/>
        </w:rPr>
      </w:pPr>
      <w:r w:rsidRPr="3AA2188A">
        <w:rPr>
          <w:rFonts w:ascii="Calibri" w:eastAsia="Calibri" w:hAnsi="Calibri" w:cs="Calibri"/>
          <w:color w:val="000000" w:themeColor="text1"/>
        </w:rPr>
        <w:t>2 The Johns Hopkins Hospital Department of Hospital Epidemiology and Infection Control, Baltimore, MD, USA</w:t>
      </w:r>
    </w:p>
    <w:p w14:paraId="6AA2E8E7" w14:textId="33DAEB97" w:rsidR="0074F5AF" w:rsidRDefault="0074F5AF" w:rsidP="3AA2188A">
      <w:pPr>
        <w:spacing w:line="480" w:lineRule="auto"/>
        <w:rPr>
          <w:rFonts w:ascii="Calibri" w:eastAsia="Calibri" w:hAnsi="Calibri" w:cs="Calibri"/>
          <w:color w:val="000000" w:themeColor="text1"/>
        </w:rPr>
      </w:pPr>
      <w:r w:rsidRPr="3AA2188A">
        <w:rPr>
          <w:rFonts w:ascii="Calibri" w:eastAsia="Calibri" w:hAnsi="Calibri" w:cs="Calibri"/>
          <w:color w:val="000000" w:themeColor="text1"/>
        </w:rPr>
        <w:t>3 Center for Disease Dynamics, Economics &amp; Policy, Washington, DC, USA</w:t>
      </w:r>
    </w:p>
    <w:p w14:paraId="69DF1D04" w14:textId="617D57C6" w:rsidR="3AA2188A" w:rsidRDefault="3AA2188A" w:rsidP="3AA2188A">
      <w:pPr>
        <w:spacing w:line="480" w:lineRule="auto"/>
        <w:rPr>
          <w:rFonts w:ascii="Calibri" w:eastAsia="Calibri" w:hAnsi="Calibri" w:cs="Calibri"/>
          <w:color w:val="000000" w:themeColor="text1"/>
        </w:rPr>
      </w:pPr>
    </w:p>
    <w:p w14:paraId="469F8D8C" w14:textId="722B2045" w:rsidR="0074F5AF" w:rsidRDefault="0074F5AF" w:rsidP="3AA2188A">
      <w:pPr>
        <w:spacing w:line="480" w:lineRule="auto"/>
        <w:rPr>
          <w:rFonts w:ascii="Calibri" w:eastAsia="Calibri" w:hAnsi="Calibri" w:cs="Calibri"/>
          <w:color w:val="000000" w:themeColor="text1"/>
        </w:rPr>
      </w:pPr>
      <w:r w:rsidRPr="3AA2188A">
        <w:rPr>
          <w:rFonts w:ascii="Calibri" w:eastAsia="Calibri" w:hAnsi="Calibri" w:cs="Calibri"/>
          <w:color w:val="000000" w:themeColor="text1"/>
        </w:rPr>
        <w:t>Corresponding Author:</w:t>
      </w:r>
    </w:p>
    <w:p w14:paraId="70C0B8E6" w14:textId="23DEA895" w:rsidR="0074F5AF" w:rsidRDefault="0074F5AF" w:rsidP="3AA2188A">
      <w:pPr>
        <w:spacing w:line="480" w:lineRule="auto"/>
        <w:rPr>
          <w:rFonts w:ascii="Calibri" w:eastAsia="Calibri" w:hAnsi="Calibri" w:cs="Calibri"/>
          <w:color w:val="000000" w:themeColor="text1"/>
        </w:rPr>
      </w:pPr>
      <w:r w:rsidRPr="3AA2188A">
        <w:rPr>
          <w:rFonts w:ascii="Calibri" w:eastAsia="Calibri" w:hAnsi="Calibri" w:cs="Calibri"/>
          <w:color w:val="000000" w:themeColor="text1"/>
        </w:rPr>
        <w:t xml:space="preserve">Leigh Smith, MD  </w:t>
      </w:r>
    </w:p>
    <w:p w14:paraId="671042F4" w14:textId="133102A0" w:rsidR="0074F5AF" w:rsidRDefault="007942A5" w:rsidP="3AA2188A">
      <w:pPr>
        <w:spacing w:line="480" w:lineRule="auto"/>
        <w:rPr>
          <w:rFonts w:ascii="Calibri" w:eastAsia="Calibri" w:hAnsi="Calibri" w:cs="Calibri"/>
          <w:color w:val="000000" w:themeColor="text1"/>
        </w:rPr>
      </w:pPr>
      <w:r>
        <w:rPr>
          <w:rFonts w:ascii="Calibri" w:eastAsia="Calibri" w:hAnsi="Calibri" w:cs="Calibri"/>
          <w:color w:val="000000" w:themeColor="text1"/>
        </w:rPr>
        <w:t>llsmith@som.umaryland.edu</w:t>
      </w:r>
      <w:r w:rsidR="0074F5AF" w:rsidRPr="3AA2188A">
        <w:rPr>
          <w:rFonts w:ascii="Calibri" w:eastAsia="Calibri" w:hAnsi="Calibri" w:cs="Calibri"/>
          <w:color w:val="000000" w:themeColor="text1"/>
        </w:rPr>
        <w:t xml:space="preserve">; Alternative: </w:t>
      </w:r>
      <w:hyperlink r:id="rId5">
        <w:r w:rsidR="0074F5AF" w:rsidRPr="007942A5">
          <w:rPr>
            <w:rStyle w:val="Hyperlink"/>
            <w:rFonts w:ascii="Calibri" w:eastAsia="Calibri" w:hAnsi="Calibri" w:cs="Calibri"/>
            <w:color w:val="auto"/>
            <w:u w:val="none"/>
          </w:rPr>
          <w:t>smith.laurenleigh@gmail.com</w:t>
        </w:r>
      </w:hyperlink>
    </w:p>
    <w:p w14:paraId="3EAE10DD" w14:textId="42A2DE15" w:rsidR="3AA2188A" w:rsidRDefault="3AA2188A" w:rsidP="3AA2188A">
      <w:pPr>
        <w:spacing w:line="480" w:lineRule="auto"/>
        <w:rPr>
          <w:rFonts w:ascii="Calibri" w:eastAsia="Calibri" w:hAnsi="Calibri" w:cs="Calibri"/>
          <w:color w:val="000000" w:themeColor="text1"/>
        </w:rPr>
      </w:pPr>
    </w:p>
    <w:p w14:paraId="1E2542A2" w14:textId="084DA67A" w:rsidR="3AA2188A" w:rsidRDefault="3AA2188A" w:rsidP="3AA2188A"/>
    <w:p w14:paraId="672A6659" w14:textId="77777777" w:rsidR="006E3A0D" w:rsidRDefault="006E3A0D" w:rsidP="006E3A0D">
      <w:pPr>
        <w:rPr>
          <w:rFonts w:cstheme="minorHAnsi"/>
        </w:rPr>
      </w:pPr>
    </w:p>
    <w:p w14:paraId="04912D37" w14:textId="3B6C0EAB" w:rsidR="3AA2188A" w:rsidRDefault="3AA2188A">
      <w:r>
        <w:br w:type="page"/>
      </w:r>
    </w:p>
    <w:p w14:paraId="3B6944E1" w14:textId="75CCE40E" w:rsidR="006E3A0D" w:rsidRDefault="2A9376F2" w:rsidP="3AA2188A">
      <w:pPr>
        <w:rPr>
          <w:b/>
          <w:bCs/>
        </w:rPr>
      </w:pPr>
      <w:r w:rsidRPr="7C730CC5">
        <w:rPr>
          <w:b/>
          <w:bCs/>
        </w:rPr>
        <w:lastRenderedPageBreak/>
        <w:t xml:space="preserve">Automated </w:t>
      </w:r>
      <w:r w:rsidR="006E3A0D" w:rsidRPr="7C730CC5">
        <w:rPr>
          <w:b/>
          <w:bCs/>
        </w:rPr>
        <w:t>EHR-based Algorithm</w:t>
      </w:r>
    </w:p>
    <w:p w14:paraId="1475E84E" w14:textId="725D48C8" w:rsidR="006E3A0D" w:rsidRDefault="006E3A0D" w:rsidP="3AA2188A">
      <w:r w:rsidRPr="3AA2188A">
        <w:t xml:space="preserve">The algorithm requires two pieces of information to identify potential contacts. The first is a medical record number, and the second </w:t>
      </w:r>
      <w:r w:rsidR="514539C8" w:rsidRPr="3AA2188A">
        <w:t>are</w:t>
      </w:r>
      <w:r w:rsidRPr="3AA2188A">
        <w:t xml:space="preserve"> the dates of the exposure period. Then the following is performed through a stored procedure in the reporting database. </w:t>
      </w:r>
    </w:p>
    <w:p w14:paraId="29D6B04F" w14:textId="77777777" w:rsidR="006E3A0D" w:rsidRDefault="006E3A0D" w:rsidP="006E3A0D">
      <w:pPr>
        <w:rPr>
          <w:rFonts w:cstheme="minorHAnsi"/>
        </w:rPr>
      </w:pPr>
      <w:r>
        <w:rPr>
          <w:rFonts w:cstheme="minorHAnsi"/>
        </w:rPr>
        <w:t xml:space="preserve"> </w:t>
      </w:r>
    </w:p>
    <w:p w14:paraId="39ECFF35" w14:textId="77777777" w:rsidR="006E3A0D" w:rsidRDefault="006E3A0D" w:rsidP="006E3A0D">
      <w:pPr>
        <w:pStyle w:val="ListParagraph"/>
        <w:numPr>
          <w:ilvl w:val="0"/>
          <w:numId w:val="1"/>
        </w:numPr>
        <w:rPr>
          <w:rFonts w:cstheme="minorHAnsi"/>
        </w:rPr>
      </w:pPr>
      <w:r>
        <w:rPr>
          <w:rFonts w:cstheme="minorHAnsi"/>
        </w:rPr>
        <w:t xml:space="preserve">Find patient </w:t>
      </w:r>
    </w:p>
    <w:p w14:paraId="3DD8E94C" w14:textId="77777777" w:rsidR="006E3A0D" w:rsidRDefault="006E3A0D" w:rsidP="006E3A0D">
      <w:pPr>
        <w:pStyle w:val="ListParagraph"/>
        <w:numPr>
          <w:ilvl w:val="1"/>
          <w:numId w:val="1"/>
        </w:numPr>
      </w:pPr>
      <w:r>
        <w:t>Given a medical record number, the algorithm first finds the patient identifier in the database.</w:t>
      </w:r>
    </w:p>
    <w:p w14:paraId="3C9813D7" w14:textId="77777777" w:rsidR="006E3A0D" w:rsidRDefault="006E3A0D" w:rsidP="006E3A0D">
      <w:pPr>
        <w:pStyle w:val="ListParagraph"/>
        <w:numPr>
          <w:ilvl w:val="0"/>
          <w:numId w:val="1"/>
        </w:numPr>
        <w:rPr>
          <w:rFonts w:cstheme="minorHAnsi"/>
        </w:rPr>
      </w:pPr>
      <w:r>
        <w:rPr>
          <w:rFonts w:cstheme="minorHAnsi"/>
        </w:rPr>
        <w:t>Find encounters</w:t>
      </w:r>
    </w:p>
    <w:p w14:paraId="1C8D76F5" w14:textId="77777777" w:rsidR="006E3A0D" w:rsidRDefault="006E3A0D" w:rsidP="006E3A0D">
      <w:pPr>
        <w:pStyle w:val="ListParagraph"/>
        <w:numPr>
          <w:ilvl w:val="1"/>
          <w:numId w:val="1"/>
        </w:numPr>
      </w:pPr>
      <w:r>
        <w:t>Given the exposure period, the algorithm finds all potential encounter identifiers that overlap the exposure period.</w:t>
      </w:r>
    </w:p>
    <w:p w14:paraId="14692FE0" w14:textId="77777777" w:rsidR="006E3A0D" w:rsidRDefault="006E3A0D" w:rsidP="006E3A0D">
      <w:pPr>
        <w:pStyle w:val="ListParagraph"/>
        <w:numPr>
          <w:ilvl w:val="0"/>
          <w:numId w:val="1"/>
        </w:numPr>
        <w:rPr>
          <w:rFonts w:cstheme="minorHAnsi"/>
        </w:rPr>
      </w:pPr>
      <w:r>
        <w:rPr>
          <w:rFonts w:cstheme="minorHAnsi"/>
        </w:rPr>
        <w:t>Find time-stamped data</w:t>
      </w:r>
    </w:p>
    <w:p w14:paraId="6E08C469" w14:textId="77777777" w:rsidR="006E3A0D" w:rsidRDefault="006E3A0D" w:rsidP="006E3A0D">
      <w:pPr>
        <w:pStyle w:val="ListParagraph"/>
        <w:numPr>
          <w:ilvl w:val="1"/>
          <w:numId w:val="1"/>
        </w:numPr>
        <w:rPr>
          <w:rFonts w:cstheme="minorHAnsi"/>
        </w:rPr>
      </w:pPr>
      <w:r>
        <w:rPr>
          <w:rFonts w:cstheme="minorHAnsi"/>
        </w:rPr>
        <w:t>Medication Administrations – Includes all medication administrations where the time/date of administration is in the exposure window and the HCP is documented. Excludes stops and rate changes. Every employee noted as having administered a pharmaceutical during the exposure window was included.</w:t>
      </w:r>
    </w:p>
    <w:p w14:paraId="5E7D643D" w14:textId="77777777" w:rsidR="006E3A0D" w:rsidRDefault="006E3A0D" w:rsidP="006E3A0D">
      <w:pPr>
        <w:pStyle w:val="ListParagraph"/>
        <w:numPr>
          <w:ilvl w:val="1"/>
          <w:numId w:val="1"/>
        </w:numPr>
        <w:rPr>
          <w:rFonts w:cstheme="minorHAnsi"/>
        </w:rPr>
      </w:pPr>
      <w:r>
        <w:rPr>
          <w:rFonts w:cstheme="minorHAnsi"/>
        </w:rPr>
        <w:t xml:space="preserve">Flowsheet data – The flowsheet data include all sorts of semi-structured data, such as vitals, that may be indicative of contact. However, while some data is entered in an automated fashion, to maintain generalizability, no filters were applied to the data. All employees noted as having taken the information or documented the information during the exposure window were included. </w:t>
      </w:r>
    </w:p>
    <w:p w14:paraId="5FCED69E" w14:textId="77777777" w:rsidR="006E3A0D" w:rsidRDefault="006E3A0D" w:rsidP="006E3A0D">
      <w:pPr>
        <w:pStyle w:val="ListParagraph"/>
        <w:numPr>
          <w:ilvl w:val="1"/>
          <w:numId w:val="1"/>
        </w:numPr>
        <w:rPr>
          <w:rFonts w:cstheme="minorHAnsi"/>
        </w:rPr>
      </w:pPr>
      <w:r>
        <w:rPr>
          <w:rFonts w:cstheme="minorHAnsi"/>
        </w:rPr>
        <w:t>Laboratory data – specimens that are collected are noted in the EHR along with the HCP that collected the specimen. All HCP noted as having collected a specimen during the exposure window were included.</w:t>
      </w:r>
    </w:p>
    <w:p w14:paraId="05A61C71" w14:textId="77777777" w:rsidR="006E3A0D" w:rsidRDefault="006E3A0D" w:rsidP="006E3A0D">
      <w:pPr>
        <w:pStyle w:val="ListParagraph"/>
        <w:numPr>
          <w:ilvl w:val="1"/>
          <w:numId w:val="1"/>
        </w:numPr>
        <w:rPr>
          <w:rFonts w:cstheme="minorHAnsi"/>
        </w:rPr>
      </w:pPr>
      <w:r>
        <w:rPr>
          <w:rFonts w:cstheme="minorHAnsi"/>
        </w:rPr>
        <w:t>Imaging – HCP noted to be the performing provider of an image captured during the exposure window were included.</w:t>
      </w:r>
    </w:p>
    <w:p w14:paraId="3BE7A534" w14:textId="28866032" w:rsidR="006E3A0D" w:rsidRDefault="006E3A0D" w:rsidP="006E3A0D">
      <w:pPr>
        <w:pStyle w:val="ListParagraph"/>
        <w:numPr>
          <w:ilvl w:val="0"/>
          <w:numId w:val="1"/>
        </w:numPr>
        <w:rPr>
          <w:rFonts w:cstheme="minorHAnsi"/>
        </w:rPr>
      </w:pPr>
      <w:r>
        <w:rPr>
          <w:rFonts w:cstheme="minorHAnsi"/>
        </w:rPr>
        <w:t>Fin</w:t>
      </w:r>
      <w:r w:rsidR="007942A5">
        <w:rPr>
          <w:rFonts w:cstheme="minorHAnsi"/>
        </w:rPr>
        <w:t>d</w:t>
      </w:r>
      <w:r>
        <w:rPr>
          <w:rFonts w:cstheme="minorHAnsi"/>
        </w:rPr>
        <w:t xml:space="preserve"> non-time stamped data</w:t>
      </w:r>
    </w:p>
    <w:p w14:paraId="0D48CC8D" w14:textId="77777777" w:rsidR="006E3A0D" w:rsidRDefault="006E3A0D" w:rsidP="006E3A0D">
      <w:pPr>
        <w:pStyle w:val="ListParagraph"/>
        <w:numPr>
          <w:ilvl w:val="1"/>
          <w:numId w:val="1"/>
        </w:numPr>
        <w:rPr>
          <w:rFonts w:cstheme="minorHAnsi"/>
        </w:rPr>
      </w:pPr>
      <w:r>
        <w:rPr>
          <w:rFonts w:cstheme="minorHAnsi"/>
        </w:rPr>
        <w:t xml:space="preserve">Clinical notes – while notes are time-stamped regarding when they are created and written, this does not have to be completed while interacting with the patient, so we only included the provider authoring the note, but not the date/time of the note. </w:t>
      </w:r>
    </w:p>
    <w:p w14:paraId="29CFD701" w14:textId="2FB87C9D" w:rsidR="006E3A0D" w:rsidRDefault="006E3A0D" w:rsidP="3AA2188A">
      <w:pPr>
        <w:pStyle w:val="ListParagraph"/>
        <w:numPr>
          <w:ilvl w:val="1"/>
          <w:numId w:val="1"/>
        </w:numPr>
      </w:pPr>
      <w:r w:rsidRPr="3AA2188A">
        <w:t>Care team assignment – there are several places within the EHR that document that a provider was included on a patients’ care team, but the timing of these additions does not appear strongly related to actual interactions with patients. Thus</w:t>
      </w:r>
      <w:r w:rsidR="73B008B1" w:rsidRPr="3AA2188A">
        <w:t>,</w:t>
      </w:r>
      <w:r w:rsidRPr="3AA2188A">
        <w:t xml:space="preserve"> we included HCP on the care team, but not the time/date of inclusion.</w:t>
      </w:r>
    </w:p>
    <w:p w14:paraId="11E91A53" w14:textId="77777777" w:rsidR="006E3A0D" w:rsidRDefault="006E3A0D" w:rsidP="006E3A0D">
      <w:pPr>
        <w:pStyle w:val="ListParagraph"/>
        <w:numPr>
          <w:ilvl w:val="0"/>
          <w:numId w:val="1"/>
        </w:numPr>
        <w:rPr>
          <w:rFonts w:cstheme="minorHAnsi"/>
        </w:rPr>
      </w:pPr>
      <w:r>
        <w:rPr>
          <w:rFonts w:cstheme="minorHAnsi"/>
        </w:rPr>
        <w:t>Concatenate time-stamped data</w:t>
      </w:r>
    </w:p>
    <w:p w14:paraId="054125BA" w14:textId="57FF2C5E" w:rsidR="006E3A0D" w:rsidRDefault="006E3A0D" w:rsidP="3AA2188A">
      <w:pPr>
        <w:pStyle w:val="ListParagraph"/>
        <w:numPr>
          <w:ilvl w:val="1"/>
          <w:numId w:val="1"/>
        </w:numPr>
      </w:pPr>
      <w:r>
        <w:t xml:space="preserve">All time stamped data was evaluated for how close in time each event was, and those that occurred within 15 of the next one </w:t>
      </w:r>
      <w:proofErr w:type="gramStart"/>
      <w:r>
        <w:t>were</w:t>
      </w:r>
      <w:proofErr w:type="gramEnd"/>
      <w:r>
        <w:t xml:space="preserve"> combined in time. For example, if there was a medication administration, vital signs were taken, and a specimen collected all by the same HCP where each event occurred &lt;15 after the prior one, they would all be concatenated to find the estimated start and end time of the “interaction”.</w:t>
      </w:r>
      <w:r w:rsidR="4FCF43E9">
        <w:t xml:space="preserve"> For example, in table 1 there are five sample events </w:t>
      </w:r>
      <w:r w:rsidR="1ABD23C1">
        <w:t xml:space="preserve">by the same provider on the same patient </w:t>
      </w:r>
      <w:r w:rsidR="4FCF43E9">
        <w:t xml:space="preserve">that occurred over the day that we group into two “interactions” one that is </w:t>
      </w:r>
      <w:r w:rsidR="0D5C9A85">
        <w:t xml:space="preserve">5 minutes long and one that is 14 min long. </w:t>
      </w:r>
    </w:p>
    <w:p w14:paraId="7BCA9586" w14:textId="0B3ED5E7" w:rsidR="006E3A0D" w:rsidRDefault="006E3A0D" w:rsidP="3AA2188A">
      <w:pPr>
        <w:pStyle w:val="ListParagraph"/>
        <w:numPr>
          <w:ilvl w:val="1"/>
          <w:numId w:val="1"/>
        </w:numPr>
      </w:pPr>
      <w:r w:rsidRPr="3AA2188A">
        <w:t>The total amount of time was then summed to generate an estimated contact time.</w:t>
      </w:r>
      <w:r w:rsidR="59D801FA" w:rsidRPr="3AA2188A">
        <w:t xml:space="preserve"> I</w:t>
      </w:r>
      <w:r w:rsidR="59D801FA">
        <w:t>n the example in table 1, assuming this was all the listed contacts with this provider, the provider would have a contact time of 19 minutes.</w:t>
      </w:r>
    </w:p>
    <w:p w14:paraId="760AFCB3" w14:textId="65BD3FE9" w:rsidR="3AA2188A" w:rsidRDefault="3AA2188A" w:rsidP="3AA2188A">
      <w:pPr>
        <w:ind w:left="720"/>
      </w:pPr>
    </w:p>
    <w:tbl>
      <w:tblPr>
        <w:tblStyle w:val="TableGrid"/>
        <w:tblW w:w="0" w:type="auto"/>
        <w:tblInd w:w="720" w:type="dxa"/>
        <w:tblLayout w:type="fixed"/>
        <w:tblLook w:val="06A0" w:firstRow="1" w:lastRow="0" w:firstColumn="1" w:lastColumn="0" w:noHBand="1" w:noVBand="1"/>
      </w:tblPr>
      <w:tblGrid>
        <w:gridCol w:w="1095"/>
        <w:gridCol w:w="1230"/>
        <w:gridCol w:w="2460"/>
        <w:gridCol w:w="1845"/>
        <w:gridCol w:w="1770"/>
      </w:tblGrid>
      <w:tr w:rsidR="3AA2188A" w14:paraId="6D29B4F2" w14:textId="77777777" w:rsidTr="3AA2188A">
        <w:tc>
          <w:tcPr>
            <w:tcW w:w="8400" w:type="dxa"/>
            <w:gridSpan w:val="5"/>
          </w:tcPr>
          <w:p w14:paraId="3BE98649" w14:textId="68D8C20D" w:rsidR="47ACA312" w:rsidRDefault="47ACA312" w:rsidP="3AA2188A">
            <w:pPr>
              <w:rPr>
                <w:sz w:val="20"/>
                <w:szCs w:val="20"/>
              </w:rPr>
            </w:pPr>
            <w:r w:rsidRPr="3AA2188A">
              <w:rPr>
                <w:sz w:val="20"/>
                <w:szCs w:val="20"/>
              </w:rPr>
              <w:t>Table 1. Example of event concatenation and estimated contact time</w:t>
            </w:r>
          </w:p>
        </w:tc>
      </w:tr>
      <w:tr w:rsidR="3AA2188A" w14:paraId="76224136" w14:textId="77777777" w:rsidTr="3AA2188A">
        <w:tc>
          <w:tcPr>
            <w:tcW w:w="1095" w:type="dxa"/>
          </w:tcPr>
          <w:p w14:paraId="1968D4D5" w14:textId="055A56C9" w:rsidR="3AA2188A" w:rsidRDefault="3AA2188A" w:rsidP="3AA2188A">
            <w:pPr>
              <w:rPr>
                <w:sz w:val="20"/>
                <w:szCs w:val="20"/>
              </w:rPr>
            </w:pPr>
            <w:r w:rsidRPr="3AA2188A">
              <w:rPr>
                <w:sz w:val="20"/>
                <w:szCs w:val="20"/>
              </w:rPr>
              <w:lastRenderedPageBreak/>
              <w:t>Patient ID</w:t>
            </w:r>
          </w:p>
        </w:tc>
        <w:tc>
          <w:tcPr>
            <w:tcW w:w="1230" w:type="dxa"/>
          </w:tcPr>
          <w:p w14:paraId="67543BDC" w14:textId="25B75343" w:rsidR="3AA2188A" w:rsidRDefault="3AA2188A" w:rsidP="3AA2188A">
            <w:pPr>
              <w:rPr>
                <w:sz w:val="20"/>
                <w:szCs w:val="20"/>
              </w:rPr>
            </w:pPr>
            <w:r w:rsidRPr="3AA2188A">
              <w:rPr>
                <w:sz w:val="20"/>
                <w:szCs w:val="20"/>
              </w:rPr>
              <w:t>Provider ID</w:t>
            </w:r>
          </w:p>
        </w:tc>
        <w:tc>
          <w:tcPr>
            <w:tcW w:w="2460" w:type="dxa"/>
          </w:tcPr>
          <w:p w14:paraId="5F583E69" w14:textId="1660C29D" w:rsidR="3AA2188A" w:rsidRDefault="3AA2188A" w:rsidP="3AA2188A">
            <w:pPr>
              <w:rPr>
                <w:sz w:val="20"/>
                <w:szCs w:val="20"/>
              </w:rPr>
            </w:pPr>
            <w:r w:rsidRPr="3AA2188A">
              <w:rPr>
                <w:sz w:val="20"/>
                <w:szCs w:val="20"/>
              </w:rPr>
              <w:t>Event</w:t>
            </w:r>
          </w:p>
        </w:tc>
        <w:tc>
          <w:tcPr>
            <w:tcW w:w="1845" w:type="dxa"/>
          </w:tcPr>
          <w:p w14:paraId="7DD1BDFA" w14:textId="550F9873" w:rsidR="3AA2188A" w:rsidRDefault="3AA2188A" w:rsidP="3AA2188A">
            <w:pPr>
              <w:rPr>
                <w:sz w:val="20"/>
                <w:szCs w:val="20"/>
              </w:rPr>
            </w:pPr>
            <w:r w:rsidRPr="3AA2188A">
              <w:rPr>
                <w:sz w:val="20"/>
                <w:szCs w:val="20"/>
              </w:rPr>
              <w:t>Date/Time</w:t>
            </w:r>
          </w:p>
        </w:tc>
        <w:tc>
          <w:tcPr>
            <w:tcW w:w="1770" w:type="dxa"/>
          </w:tcPr>
          <w:p w14:paraId="5ED0DBCC" w14:textId="019C5AFA" w:rsidR="3AA2188A" w:rsidRDefault="3AA2188A" w:rsidP="3AA2188A">
            <w:pPr>
              <w:rPr>
                <w:sz w:val="20"/>
                <w:szCs w:val="20"/>
              </w:rPr>
            </w:pPr>
            <w:r w:rsidRPr="3AA2188A">
              <w:rPr>
                <w:sz w:val="20"/>
                <w:szCs w:val="20"/>
              </w:rPr>
              <w:t>Est. Contact Time</w:t>
            </w:r>
          </w:p>
        </w:tc>
      </w:tr>
      <w:tr w:rsidR="3AA2188A" w14:paraId="4BB7A660" w14:textId="77777777" w:rsidTr="3AA2188A">
        <w:tc>
          <w:tcPr>
            <w:tcW w:w="1095" w:type="dxa"/>
          </w:tcPr>
          <w:p w14:paraId="2948EBD7" w14:textId="4D87EAA0" w:rsidR="3AA2188A" w:rsidRDefault="3AA2188A" w:rsidP="3AA2188A">
            <w:pPr>
              <w:rPr>
                <w:sz w:val="20"/>
                <w:szCs w:val="20"/>
              </w:rPr>
            </w:pPr>
            <w:r w:rsidRPr="3AA2188A">
              <w:rPr>
                <w:sz w:val="20"/>
                <w:szCs w:val="20"/>
              </w:rPr>
              <w:t>76782</w:t>
            </w:r>
          </w:p>
        </w:tc>
        <w:tc>
          <w:tcPr>
            <w:tcW w:w="1230" w:type="dxa"/>
          </w:tcPr>
          <w:p w14:paraId="0A4DC57D" w14:textId="67F9688F" w:rsidR="3AA2188A" w:rsidRDefault="3AA2188A" w:rsidP="3AA2188A">
            <w:pPr>
              <w:rPr>
                <w:sz w:val="20"/>
                <w:szCs w:val="20"/>
              </w:rPr>
            </w:pPr>
            <w:r w:rsidRPr="3AA2188A">
              <w:rPr>
                <w:sz w:val="20"/>
                <w:szCs w:val="20"/>
              </w:rPr>
              <w:t>GHKK87</w:t>
            </w:r>
          </w:p>
        </w:tc>
        <w:tc>
          <w:tcPr>
            <w:tcW w:w="2460" w:type="dxa"/>
          </w:tcPr>
          <w:p w14:paraId="68EA8059" w14:textId="5C3D5CD0" w:rsidR="3AA2188A" w:rsidRDefault="3AA2188A" w:rsidP="3AA2188A">
            <w:pPr>
              <w:rPr>
                <w:sz w:val="20"/>
                <w:szCs w:val="20"/>
              </w:rPr>
            </w:pPr>
            <w:r w:rsidRPr="3AA2188A">
              <w:rPr>
                <w:sz w:val="20"/>
                <w:szCs w:val="20"/>
              </w:rPr>
              <w:t>Medication Administration</w:t>
            </w:r>
          </w:p>
        </w:tc>
        <w:tc>
          <w:tcPr>
            <w:tcW w:w="1845" w:type="dxa"/>
          </w:tcPr>
          <w:p w14:paraId="211195E9" w14:textId="1BA22F8B" w:rsidR="3AA2188A" w:rsidRDefault="3AA2188A" w:rsidP="3AA2188A">
            <w:pPr>
              <w:rPr>
                <w:sz w:val="20"/>
                <w:szCs w:val="20"/>
              </w:rPr>
            </w:pPr>
            <w:r w:rsidRPr="3AA2188A">
              <w:rPr>
                <w:sz w:val="20"/>
                <w:szCs w:val="20"/>
              </w:rPr>
              <w:t>May 31, 10:53 AM</w:t>
            </w:r>
          </w:p>
        </w:tc>
        <w:tc>
          <w:tcPr>
            <w:tcW w:w="1770" w:type="dxa"/>
            <w:vMerge w:val="restart"/>
          </w:tcPr>
          <w:p w14:paraId="0A469DBA" w14:textId="188E819D" w:rsidR="3AA2188A" w:rsidRDefault="3AA2188A" w:rsidP="3AA2188A">
            <w:pPr>
              <w:rPr>
                <w:sz w:val="20"/>
                <w:szCs w:val="20"/>
              </w:rPr>
            </w:pPr>
            <w:r w:rsidRPr="3AA2188A">
              <w:rPr>
                <w:sz w:val="20"/>
                <w:szCs w:val="20"/>
              </w:rPr>
              <w:t>Tot time: 5 min</w:t>
            </w:r>
          </w:p>
        </w:tc>
      </w:tr>
      <w:tr w:rsidR="3AA2188A" w14:paraId="2D74DAA3" w14:textId="77777777" w:rsidTr="3AA2188A">
        <w:tc>
          <w:tcPr>
            <w:tcW w:w="1095" w:type="dxa"/>
          </w:tcPr>
          <w:p w14:paraId="122556CF" w14:textId="3FD8A80F" w:rsidR="3AA2188A" w:rsidRDefault="3AA2188A" w:rsidP="3AA2188A">
            <w:pPr>
              <w:rPr>
                <w:sz w:val="20"/>
                <w:szCs w:val="20"/>
              </w:rPr>
            </w:pPr>
            <w:r w:rsidRPr="3AA2188A">
              <w:rPr>
                <w:sz w:val="20"/>
                <w:szCs w:val="20"/>
              </w:rPr>
              <w:t>76782</w:t>
            </w:r>
          </w:p>
        </w:tc>
        <w:tc>
          <w:tcPr>
            <w:tcW w:w="1230" w:type="dxa"/>
          </w:tcPr>
          <w:p w14:paraId="654B7520" w14:textId="5C377351" w:rsidR="3AA2188A" w:rsidRDefault="3AA2188A" w:rsidP="3AA2188A">
            <w:pPr>
              <w:rPr>
                <w:sz w:val="20"/>
                <w:szCs w:val="20"/>
              </w:rPr>
            </w:pPr>
            <w:r w:rsidRPr="3AA2188A">
              <w:rPr>
                <w:sz w:val="20"/>
                <w:szCs w:val="20"/>
              </w:rPr>
              <w:t>GHKK87</w:t>
            </w:r>
          </w:p>
        </w:tc>
        <w:tc>
          <w:tcPr>
            <w:tcW w:w="2460" w:type="dxa"/>
          </w:tcPr>
          <w:p w14:paraId="043204D0" w14:textId="4E701406" w:rsidR="3AA2188A" w:rsidRDefault="3AA2188A" w:rsidP="3AA2188A">
            <w:pPr>
              <w:rPr>
                <w:sz w:val="20"/>
                <w:szCs w:val="20"/>
              </w:rPr>
            </w:pPr>
            <w:r w:rsidRPr="3AA2188A">
              <w:rPr>
                <w:sz w:val="20"/>
                <w:szCs w:val="20"/>
              </w:rPr>
              <w:t>Lab Collection</w:t>
            </w:r>
          </w:p>
        </w:tc>
        <w:tc>
          <w:tcPr>
            <w:tcW w:w="1845" w:type="dxa"/>
          </w:tcPr>
          <w:p w14:paraId="161D8F2F" w14:textId="6A9FCBF9" w:rsidR="3AA2188A" w:rsidRDefault="3AA2188A" w:rsidP="3AA2188A">
            <w:pPr>
              <w:rPr>
                <w:sz w:val="20"/>
                <w:szCs w:val="20"/>
              </w:rPr>
            </w:pPr>
            <w:r w:rsidRPr="3AA2188A">
              <w:rPr>
                <w:sz w:val="20"/>
                <w:szCs w:val="20"/>
              </w:rPr>
              <w:t>May 31, 10:57 AM</w:t>
            </w:r>
          </w:p>
        </w:tc>
        <w:tc>
          <w:tcPr>
            <w:tcW w:w="1770" w:type="dxa"/>
            <w:vMerge/>
          </w:tcPr>
          <w:p w14:paraId="31EC4087" w14:textId="77777777" w:rsidR="00C65906" w:rsidRDefault="00C65906"/>
        </w:tc>
      </w:tr>
      <w:tr w:rsidR="3AA2188A" w14:paraId="22CB407F" w14:textId="77777777" w:rsidTr="3AA2188A">
        <w:tc>
          <w:tcPr>
            <w:tcW w:w="1095" w:type="dxa"/>
          </w:tcPr>
          <w:p w14:paraId="085A50B9" w14:textId="574C2058" w:rsidR="3AA2188A" w:rsidRDefault="3AA2188A" w:rsidP="3AA2188A">
            <w:pPr>
              <w:rPr>
                <w:sz w:val="20"/>
                <w:szCs w:val="20"/>
              </w:rPr>
            </w:pPr>
            <w:r w:rsidRPr="3AA2188A">
              <w:rPr>
                <w:sz w:val="20"/>
                <w:szCs w:val="20"/>
              </w:rPr>
              <w:t>76782</w:t>
            </w:r>
          </w:p>
        </w:tc>
        <w:tc>
          <w:tcPr>
            <w:tcW w:w="1230" w:type="dxa"/>
          </w:tcPr>
          <w:p w14:paraId="26525F5A" w14:textId="4406818B" w:rsidR="3AA2188A" w:rsidRDefault="3AA2188A" w:rsidP="3AA2188A">
            <w:pPr>
              <w:rPr>
                <w:sz w:val="20"/>
                <w:szCs w:val="20"/>
              </w:rPr>
            </w:pPr>
            <w:r w:rsidRPr="3AA2188A">
              <w:rPr>
                <w:sz w:val="20"/>
                <w:szCs w:val="20"/>
              </w:rPr>
              <w:t>GHKK87</w:t>
            </w:r>
          </w:p>
        </w:tc>
        <w:tc>
          <w:tcPr>
            <w:tcW w:w="2460" w:type="dxa"/>
          </w:tcPr>
          <w:p w14:paraId="46626F13" w14:textId="29EBEB21" w:rsidR="3AA2188A" w:rsidRDefault="3AA2188A" w:rsidP="3AA2188A">
            <w:pPr>
              <w:rPr>
                <w:sz w:val="20"/>
                <w:szCs w:val="20"/>
              </w:rPr>
            </w:pPr>
            <w:r w:rsidRPr="3AA2188A">
              <w:rPr>
                <w:sz w:val="20"/>
                <w:szCs w:val="20"/>
              </w:rPr>
              <w:t>Medication Administration</w:t>
            </w:r>
          </w:p>
        </w:tc>
        <w:tc>
          <w:tcPr>
            <w:tcW w:w="1845" w:type="dxa"/>
          </w:tcPr>
          <w:p w14:paraId="0659D834" w14:textId="1C8BE505" w:rsidR="3AA2188A" w:rsidRDefault="3AA2188A" w:rsidP="3AA2188A">
            <w:pPr>
              <w:rPr>
                <w:sz w:val="20"/>
                <w:szCs w:val="20"/>
              </w:rPr>
            </w:pPr>
            <w:r w:rsidRPr="3AA2188A">
              <w:rPr>
                <w:sz w:val="20"/>
                <w:szCs w:val="20"/>
              </w:rPr>
              <w:t>May 31, 2:41 PM</w:t>
            </w:r>
          </w:p>
        </w:tc>
        <w:tc>
          <w:tcPr>
            <w:tcW w:w="1770" w:type="dxa"/>
            <w:vMerge w:val="restart"/>
          </w:tcPr>
          <w:p w14:paraId="2AE30AEC" w14:textId="710587F4" w:rsidR="3AA2188A" w:rsidRDefault="3AA2188A" w:rsidP="3AA2188A">
            <w:pPr>
              <w:rPr>
                <w:sz w:val="20"/>
                <w:szCs w:val="20"/>
              </w:rPr>
            </w:pPr>
            <w:r w:rsidRPr="3AA2188A">
              <w:rPr>
                <w:sz w:val="20"/>
                <w:szCs w:val="20"/>
              </w:rPr>
              <w:t>Tot Time: 14 min</w:t>
            </w:r>
          </w:p>
        </w:tc>
      </w:tr>
      <w:tr w:rsidR="3AA2188A" w14:paraId="363AA745" w14:textId="77777777" w:rsidTr="3AA2188A">
        <w:tc>
          <w:tcPr>
            <w:tcW w:w="1095" w:type="dxa"/>
          </w:tcPr>
          <w:p w14:paraId="6032BED0" w14:textId="2C5CBE24" w:rsidR="3AA2188A" w:rsidRDefault="3AA2188A" w:rsidP="3AA2188A">
            <w:pPr>
              <w:rPr>
                <w:sz w:val="20"/>
                <w:szCs w:val="20"/>
              </w:rPr>
            </w:pPr>
            <w:r w:rsidRPr="3AA2188A">
              <w:rPr>
                <w:sz w:val="20"/>
                <w:szCs w:val="20"/>
              </w:rPr>
              <w:t>76782</w:t>
            </w:r>
          </w:p>
        </w:tc>
        <w:tc>
          <w:tcPr>
            <w:tcW w:w="1230" w:type="dxa"/>
          </w:tcPr>
          <w:p w14:paraId="24BDE25D" w14:textId="390ACBA2" w:rsidR="3AA2188A" w:rsidRDefault="3AA2188A" w:rsidP="3AA2188A">
            <w:pPr>
              <w:rPr>
                <w:sz w:val="20"/>
                <w:szCs w:val="20"/>
              </w:rPr>
            </w:pPr>
            <w:r w:rsidRPr="3AA2188A">
              <w:rPr>
                <w:sz w:val="20"/>
                <w:szCs w:val="20"/>
              </w:rPr>
              <w:t>GHKK87</w:t>
            </w:r>
          </w:p>
        </w:tc>
        <w:tc>
          <w:tcPr>
            <w:tcW w:w="2460" w:type="dxa"/>
          </w:tcPr>
          <w:p w14:paraId="0150A0EE" w14:textId="0D20255C" w:rsidR="3AA2188A" w:rsidRDefault="3AA2188A" w:rsidP="3AA2188A">
            <w:pPr>
              <w:rPr>
                <w:sz w:val="20"/>
                <w:szCs w:val="20"/>
              </w:rPr>
            </w:pPr>
            <w:r w:rsidRPr="3AA2188A">
              <w:rPr>
                <w:sz w:val="20"/>
                <w:szCs w:val="20"/>
              </w:rPr>
              <w:t xml:space="preserve">Vital Sign </w:t>
            </w:r>
          </w:p>
        </w:tc>
        <w:tc>
          <w:tcPr>
            <w:tcW w:w="1845" w:type="dxa"/>
          </w:tcPr>
          <w:p w14:paraId="08EB9CE0" w14:textId="35222054" w:rsidR="3AA2188A" w:rsidRDefault="3AA2188A" w:rsidP="3AA2188A">
            <w:pPr>
              <w:rPr>
                <w:sz w:val="20"/>
                <w:szCs w:val="20"/>
              </w:rPr>
            </w:pPr>
            <w:r w:rsidRPr="3AA2188A">
              <w:rPr>
                <w:sz w:val="20"/>
                <w:szCs w:val="20"/>
              </w:rPr>
              <w:t>May 31, 2:51 PM</w:t>
            </w:r>
          </w:p>
        </w:tc>
        <w:tc>
          <w:tcPr>
            <w:tcW w:w="1770" w:type="dxa"/>
            <w:vMerge/>
          </w:tcPr>
          <w:p w14:paraId="738D3E36" w14:textId="77777777" w:rsidR="00C65906" w:rsidRDefault="00C65906"/>
        </w:tc>
      </w:tr>
      <w:tr w:rsidR="3AA2188A" w14:paraId="10B1C01D" w14:textId="77777777" w:rsidTr="3AA2188A">
        <w:trPr>
          <w:trHeight w:val="300"/>
        </w:trPr>
        <w:tc>
          <w:tcPr>
            <w:tcW w:w="1095" w:type="dxa"/>
          </w:tcPr>
          <w:p w14:paraId="77C59198" w14:textId="6D3899DF" w:rsidR="3AA2188A" w:rsidRDefault="3AA2188A" w:rsidP="3AA2188A">
            <w:pPr>
              <w:rPr>
                <w:sz w:val="20"/>
                <w:szCs w:val="20"/>
              </w:rPr>
            </w:pPr>
            <w:r w:rsidRPr="3AA2188A">
              <w:rPr>
                <w:sz w:val="20"/>
                <w:szCs w:val="20"/>
              </w:rPr>
              <w:t>76782</w:t>
            </w:r>
          </w:p>
        </w:tc>
        <w:tc>
          <w:tcPr>
            <w:tcW w:w="1230" w:type="dxa"/>
          </w:tcPr>
          <w:p w14:paraId="095BDE0A" w14:textId="3C5F0459" w:rsidR="3AA2188A" w:rsidRDefault="3AA2188A" w:rsidP="3AA2188A">
            <w:pPr>
              <w:rPr>
                <w:sz w:val="20"/>
                <w:szCs w:val="20"/>
              </w:rPr>
            </w:pPr>
            <w:r w:rsidRPr="3AA2188A">
              <w:rPr>
                <w:sz w:val="20"/>
                <w:szCs w:val="20"/>
              </w:rPr>
              <w:t>GHKK87</w:t>
            </w:r>
          </w:p>
        </w:tc>
        <w:tc>
          <w:tcPr>
            <w:tcW w:w="2460" w:type="dxa"/>
          </w:tcPr>
          <w:p w14:paraId="68169755" w14:textId="02813FCD" w:rsidR="3AA2188A" w:rsidRDefault="3AA2188A" w:rsidP="3AA2188A">
            <w:pPr>
              <w:rPr>
                <w:sz w:val="20"/>
                <w:szCs w:val="20"/>
              </w:rPr>
            </w:pPr>
            <w:r w:rsidRPr="3AA2188A">
              <w:rPr>
                <w:sz w:val="20"/>
                <w:szCs w:val="20"/>
              </w:rPr>
              <w:t>Vital Sign</w:t>
            </w:r>
          </w:p>
        </w:tc>
        <w:tc>
          <w:tcPr>
            <w:tcW w:w="1845" w:type="dxa"/>
          </w:tcPr>
          <w:p w14:paraId="484846C6" w14:textId="14A451DE" w:rsidR="3AA2188A" w:rsidRDefault="3AA2188A" w:rsidP="3AA2188A">
            <w:pPr>
              <w:rPr>
                <w:sz w:val="20"/>
                <w:szCs w:val="20"/>
              </w:rPr>
            </w:pPr>
            <w:r w:rsidRPr="3AA2188A">
              <w:rPr>
                <w:sz w:val="20"/>
                <w:szCs w:val="20"/>
              </w:rPr>
              <w:t>May 31, 2:55 PM</w:t>
            </w:r>
          </w:p>
        </w:tc>
        <w:tc>
          <w:tcPr>
            <w:tcW w:w="1770" w:type="dxa"/>
            <w:vMerge/>
          </w:tcPr>
          <w:p w14:paraId="2619CBE6" w14:textId="77777777" w:rsidR="00C65906" w:rsidRDefault="00C65906"/>
        </w:tc>
      </w:tr>
    </w:tbl>
    <w:p w14:paraId="7D416EC3" w14:textId="60ED18BA" w:rsidR="3AA2188A" w:rsidRDefault="3AA2188A" w:rsidP="3AA2188A"/>
    <w:p w14:paraId="649C8D92" w14:textId="2DEB2EDD" w:rsidR="3AA2188A" w:rsidRDefault="3AA2188A" w:rsidP="3AA2188A"/>
    <w:p w14:paraId="31143A3A" w14:textId="77777777" w:rsidR="006E3A0D" w:rsidRDefault="006E3A0D" w:rsidP="006E3A0D">
      <w:pPr>
        <w:pStyle w:val="ListParagraph"/>
        <w:numPr>
          <w:ilvl w:val="0"/>
          <w:numId w:val="1"/>
        </w:numPr>
        <w:rPr>
          <w:rFonts w:cstheme="minorHAnsi"/>
        </w:rPr>
      </w:pPr>
      <w:r w:rsidRPr="3AA2188A">
        <w:t>Create contact score</w:t>
      </w:r>
    </w:p>
    <w:p w14:paraId="70E5E4DE" w14:textId="77777777" w:rsidR="006E3A0D" w:rsidRDefault="006E3A0D" w:rsidP="006E3A0D">
      <w:pPr>
        <w:pStyle w:val="ListParagraph"/>
        <w:numPr>
          <w:ilvl w:val="1"/>
          <w:numId w:val="1"/>
        </w:numPr>
        <w:rPr>
          <w:rFonts w:cstheme="minorHAnsi"/>
        </w:rPr>
      </w:pPr>
      <w:r w:rsidRPr="3AA2188A">
        <w:t xml:space="preserve">The algorithm weighted longer contact times more heavily, with more than 90 minutes given 5 points, 30-90 minutes given 4 points, 15-30 minutes given 3 points, 1-15 minutes giving 2 points, and zero minutes (e.g., only a single event was noted) was given 1 point. Additionally, a point was given for each note likely to have been written after having seen a patient (e.g., some plan of care, progress noes) as well as transports. </w:t>
      </w:r>
    </w:p>
    <w:p w14:paraId="1A6F17A5" w14:textId="77777777" w:rsidR="006E3A0D" w:rsidRDefault="006E3A0D" w:rsidP="006E3A0D">
      <w:pPr>
        <w:pStyle w:val="ListParagraph"/>
        <w:numPr>
          <w:ilvl w:val="0"/>
          <w:numId w:val="1"/>
        </w:numPr>
        <w:rPr>
          <w:rFonts w:cstheme="minorHAnsi"/>
        </w:rPr>
      </w:pPr>
      <w:r w:rsidRPr="3AA2188A">
        <w:t>Report</w:t>
      </w:r>
    </w:p>
    <w:p w14:paraId="79B98220" w14:textId="77777777" w:rsidR="006E3A0D" w:rsidRPr="00CE0955" w:rsidRDefault="006E3A0D" w:rsidP="006E3A0D">
      <w:pPr>
        <w:pStyle w:val="ListParagraph"/>
        <w:numPr>
          <w:ilvl w:val="1"/>
          <w:numId w:val="1"/>
        </w:numPr>
      </w:pPr>
      <w:r>
        <w:t xml:space="preserve">Non-human providers were </w:t>
      </w:r>
      <w:proofErr w:type="gramStart"/>
      <w:r>
        <w:t>removed</w:t>
      </w:r>
      <w:proofErr w:type="gramEnd"/>
      <w:r>
        <w:t xml:space="preserve"> and the results returned as a list.</w:t>
      </w:r>
    </w:p>
    <w:p w14:paraId="0A37501D" w14:textId="77777777" w:rsidR="001C132A" w:rsidRDefault="001C132A"/>
    <w:sectPr w:rsidR="001C1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30C1E"/>
    <w:multiLevelType w:val="hybridMultilevel"/>
    <w:tmpl w:val="E766F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2084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0D"/>
    <w:rsid w:val="001C132A"/>
    <w:rsid w:val="006E3A0D"/>
    <w:rsid w:val="0074F5AF"/>
    <w:rsid w:val="007942A5"/>
    <w:rsid w:val="00C65906"/>
    <w:rsid w:val="0411240D"/>
    <w:rsid w:val="07E154AF"/>
    <w:rsid w:val="0D5C9A85"/>
    <w:rsid w:val="1ABD23C1"/>
    <w:rsid w:val="1C11A157"/>
    <w:rsid w:val="2280E2DB"/>
    <w:rsid w:val="2A9376F2"/>
    <w:rsid w:val="303A0079"/>
    <w:rsid w:val="36A941FD"/>
    <w:rsid w:val="37514F6B"/>
    <w:rsid w:val="376A77C8"/>
    <w:rsid w:val="38F50D52"/>
    <w:rsid w:val="394A1028"/>
    <w:rsid w:val="3AA2188A"/>
    <w:rsid w:val="3C24C08E"/>
    <w:rsid w:val="3E9B2B85"/>
    <w:rsid w:val="3F644ED6"/>
    <w:rsid w:val="45D3905A"/>
    <w:rsid w:val="47ACA312"/>
    <w:rsid w:val="4DDEA23F"/>
    <w:rsid w:val="4FCF43E9"/>
    <w:rsid w:val="514539C8"/>
    <w:rsid w:val="592154E6"/>
    <w:rsid w:val="59D801FA"/>
    <w:rsid w:val="59FBEF7C"/>
    <w:rsid w:val="5A4D219C"/>
    <w:rsid w:val="616B0E63"/>
    <w:rsid w:val="62070161"/>
    <w:rsid w:val="63A2D1C2"/>
    <w:rsid w:val="687642E5"/>
    <w:rsid w:val="73B008B1"/>
    <w:rsid w:val="77DD92DE"/>
    <w:rsid w:val="78733E52"/>
    <w:rsid w:val="79670145"/>
    <w:rsid w:val="7C730CC5"/>
    <w:rsid w:val="7D4E9CFB"/>
    <w:rsid w:val="7FEA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A205"/>
  <w15:chartTrackingRefBased/>
  <w15:docId w15:val="{34E940E2-64DF-4372-839C-F54536CA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A0D"/>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ith.laurenleig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709</Words>
  <Characters>4044</Characters>
  <Application>Microsoft Office Word</Application>
  <DocSecurity>0</DocSecurity>
  <Lines>33</Lines>
  <Paragraphs>9</Paragraphs>
  <ScaleCrop>false</ScaleCrop>
  <Company>Johns Hopkins</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Leigh Smith</dc:creator>
  <cp:keywords/>
  <dc:description/>
  <cp:lastModifiedBy>Smith, Lauren</cp:lastModifiedBy>
  <cp:revision>4</cp:revision>
  <dcterms:created xsi:type="dcterms:W3CDTF">2022-06-23T17:29:00Z</dcterms:created>
  <dcterms:modified xsi:type="dcterms:W3CDTF">2022-09-06T19:29:00Z</dcterms:modified>
</cp:coreProperties>
</file>