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F284" w14:textId="1F048D28" w:rsidR="00FC788E" w:rsidRDefault="00FC788E" w:rsidP="00FC788E">
      <w:pPr>
        <w:pStyle w:val="Heading1"/>
      </w:pPr>
      <w:r>
        <w:t>Supplemental Methods</w:t>
      </w:r>
    </w:p>
    <w:p w14:paraId="34A67109" w14:textId="7BE88C40" w:rsidR="002147B4" w:rsidRPr="002147B4" w:rsidRDefault="002147B4" w:rsidP="00A7367E">
      <w:pPr>
        <w:spacing w:line="480" w:lineRule="auto"/>
        <w:rPr>
          <w:b/>
          <w:bCs/>
        </w:rPr>
      </w:pPr>
      <w:r>
        <w:rPr>
          <w:b/>
          <w:bCs/>
        </w:rPr>
        <w:t>Microbiologic methods</w:t>
      </w:r>
    </w:p>
    <w:p w14:paraId="2797C006" w14:textId="54281367" w:rsidR="00A7367E" w:rsidRDefault="00A7367E" w:rsidP="00A7367E">
      <w:pPr>
        <w:spacing w:line="480" w:lineRule="auto"/>
      </w:pPr>
      <w:r w:rsidRPr="005F4066">
        <w:rPr>
          <w:i/>
          <w:iCs/>
        </w:rPr>
        <w:t>Candida</w:t>
      </w:r>
      <w:r w:rsidRPr="005F4066">
        <w:t xml:space="preserve"> species were identified in </w:t>
      </w:r>
      <w:r w:rsidR="003B0774">
        <w:t>blood cultures</w:t>
      </w:r>
      <w:r w:rsidRPr="005F4066">
        <w:t xml:space="preserve"> using the Bactec automated </w:t>
      </w:r>
      <w:r w:rsidR="00FB782C">
        <w:t>blood culture</w:t>
      </w:r>
      <w:r w:rsidRPr="005F4066">
        <w:t xml:space="preserve"> system (B</w:t>
      </w:r>
      <w:r>
        <w:t xml:space="preserve">ecton </w:t>
      </w:r>
      <w:r w:rsidRPr="005F4066">
        <w:t>D</w:t>
      </w:r>
      <w:r>
        <w:t>ickinson</w:t>
      </w:r>
      <w:r w:rsidRPr="005F4066">
        <w:t>, Franklin Lakes, NJ)</w:t>
      </w:r>
      <w:r>
        <w:t xml:space="preserve"> with no reporting of </w:t>
      </w:r>
      <w:r w:rsidR="00FB782C">
        <w:t>blood culture</w:t>
      </w:r>
      <w:r>
        <w:t xml:space="preserve"> volume. Recommended </w:t>
      </w:r>
      <w:r w:rsidR="00FB782C">
        <w:t>blood culture</w:t>
      </w:r>
      <w:r>
        <w:t xml:space="preserve"> volume is 10ml per bottle.</w:t>
      </w:r>
      <w:r w:rsidRPr="005F4066">
        <w:t xml:space="preserve"> FilmArray </w:t>
      </w:r>
      <w:r w:rsidR="00FB782C">
        <w:t>blood culture</w:t>
      </w:r>
      <w:r w:rsidRPr="005F4066">
        <w:t xml:space="preserve"> identification multiplex panels (BioFire Diagnostics, St. Lake City, UT) </w:t>
      </w:r>
      <w:r>
        <w:t>were</w:t>
      </w:r>
      <w:r w:rsidRPr="005F4066">
        <w:t xml:space="preserve"> performed within </w:t>
      </w:r>
      <w:r>
        <w:t>one</w:t>
      </w:r>
      <w:r w:rsidRPr="005F4066">
        <w:t xml:space="preserve"> hour of positive gram stain. Matrix assisted laser desorption ionization time of flight mass spectrometry (Bruker, Billerica, MA) </w:t>
      </w:r>
      <w:r>
        <w:t xml:space="preserve">identified </w:t>
      </w:r>
      <w:r>
        <w:rPr>
          <w:i/>
          <w:iCs/>
        </w:rPr>
        <w:t>Candida</w:t>
      </w:r>
      <w:r w:rsidRPr="005F4066">
        <w:t xml:space="preserve"> species. Sensititre YeastOne YO9 susceptibility kit</w:t>
      </w:r>
      <w:r>
        <w:t>s</w:t>
      </w:r>
      <w:r w:rsidRPr="005F4066">
        <w:t xml:space="preserve"> (Trek Diagnostic Systems, Cleveland, Ohio) utilized cut-offs per Clinical and Laboratory Standards Institute breakpoints. </w:t>
      </w:r>
      <w:r>
        <w:t>No changes in microbiologic methods occurred during the study period.</w:t>
      </w:r>
    </w:p>
    <w:p w14:paraId="11BF82E8" w14:textId="77777777" w:rsidR="00985ABC" w:rsidRDefault="00985ABC" w:rsidP="00A7367E">
      <w:pPr>
        <w:spacing w:line="480" w:lineRule="auto"/>
      </w:pPr>
    </w:p>
    <w:p w14:paraId="456942E9" w14:textId="31594F5E" w:rsidR="00985ABC" w:rsidRPr="00985ABC" w:rsidRDefault="00985ABC" w:rsidP="00A7367E">
      <w:pPr>
        <w:spacing w:line="480" w:lineRule="auto"/>
        <w:rPr>
          <w:b/>
          <w:bCs/>
        </w:rPr>
      </w:pPr>
      <w:r>
        <w:rPr>
          <w:b/>
          <w:bCs/>
        </w:rPr>
        <w:t>EQUAL Score Methods</w:t>
      </w:r>
    </w:p>
    <w:p w14:paraId="6965FFCC" w14:textId="1DC8D5D4" w:rsidR="00E7784E" w:rsidRPr="005F4066" w:rsidRDefault="00926757" w:rsidP="00E7784E">
      <w:pPr>
        <w:spacing w:line="480" w:lineRule="auto"/>
        <w:rPr>
          <w:color w:val="000000" w:themeColor="text1"/>
          <w:vertAlign w:val="superscript"/>
        </w:rPr>
      </w:pPr>
      <w:r>
        <w:t xml:space="preserve">Definitions and interpretation for </w:t>
      </w:r>
      <w:r w:rsidR="00FB1664">
        <w:t xml:space="preserve">EQUAL </w:t>
      </w:r>
      <w:r>
        <w:t xml:space="preserve">score components </w:t>
      </w:r>
      <w:r w:rsidR="000F24F7">
        <w:t xml:space="preserve">(Supplemental Table 1) </w:t>
      </w:r>
      <w:r>
        <w:t>were</w:t>
      </w:r>
      <w:r w:rsidR="006A669C">
        <w:t xml:space="preserve"> </w:t>
      </w:r>
      <w:r w:rsidR="00FB1664">
        <w:t>calculated as</w:t>
      </w:r>
      <w:r>
        <w:t xml:space="preserve"> previously described.</w:t>
      </w:r>
      <w:r>
        <w:fldChar w:fldCharType="begin">
          <w:fldData xml:space="preserve">PEVuZE5vdGU+PENpdGU+PEF1dGhvcj5NZWxsaW5naG9mZjwvQXV0aG9yPjxZZWFyPjIwMTg8L1ll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</w:fldData>
        </w:fldChar>
      </w:r>
      <w:r w:rsidR="002C0C6D">
        <w:instrText xml:space="preserve"> ADDIN EN.CITE </w:instrText>
      </w:r>
      <w:r w:rsidR="002C0C6D">
        <w:fldChar w:fldCharType="begin">
          <w:fldData xml:space="preserve">PEVuZE5vdGU+PENpdGU+PEF1dGhvcj5NZWxsaW5naG9mZjwvQXV0aG9yPjxZZWFyPjIwMTg8L1ll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</w:fldData>
        </w:fldChar>
      </w:r>
      <w:r w:rsidR="002C0C6D">
        <w:instrText xml:space="preserve"> ADDIN EN.CITE.DATA </w:instrText>
      </w:r>
      <w:r w:rsidR="002C0C6D">
        <w:fldChar w:fldCharType="end"/>
      </w:r>
      <w:r>
        <w:fldChar w:fldCharType="separate"/>
      </w:r>
      <w:r w:rsidR="002C0C6D" w:rsidRPr="002C0C6D">
        <w:rPr>
          <w:noProof/>
          <w:vertAlign w:val="superscript"/>
        </w:rPr>
        <w:t>1-3</w:t>
      </w:r>
      <w:r>
        <w:fldChar w:fldCharType="end"/>
      </w:r>
      <w:r>
        <w:t xml:space="preserve"> </w:t>
      </w:r>
      <w:r w:rsidR="00E7784E">
        <w:t xml:space="preserve">The </w:t>
      </w:r>
      <w:r w:rsidR="007E24F9">
        <w:t xml:space="preserve">EQUAL score </w:t>
      </w:r>
      <w:r w:rsidR="007D2B96">
        <w:t xml:space="preserve">component </w:t>
      </w:r>
      <w:r w:rsidR="007D2B96">
        <w:rPr>
          <w:i/>
          <w:iCs/>
        </w:rPr>
        <w:t xml:space="preserve">initial </w:t>
      </w:r>
      <w:r w:rsidR="00FB782C">
        <w:rPr>
          <w:i/>
          <w:iCs/>
        </w:rPr>
        <w:t>blood</w:t>
      </w:r>
      <w:r w:rsidR="007D2B96">
        <w:rPr>
          <w:i/>
          <w:iCs/>
        </w:rPr>
        <w:t xml:space="preserve"> cultures</w:t>
      </w:r>
      <w:r w:rsidR="00E7784E">
        <w:t xml:space="preserve"> </w:t>
      </w:r>
      <w:r w:rsidR="00175D04">
        <w:t xml:space="preserve">required two pairs of </w:t>
      </w:r>
      <w:r w:rsidR="003F6EA5">
        <w:t>b</w:t>
      </w:r>
      <w:r w:rsidR="00FB782C">
        <w:t>lood cultures</w:t>
      </w:r>
      <w:r w:rsidR="00E7784E">
        <w:t xml:space="preserve"> to be collected with adequate volume (40ml); </w:t>
      </w:r>
      <w:r w:rsidR="007E24F9">
        <w:t>because</w:t>
      </w:r>
      <w:r w:rsidR="00E7784E">
        <w:t xml:space="preserve"> we do not record volume of </w:t>
      </w:r>
      <w:r w:rsidR="00FB782C">
        <w:t>blood</w:t>
      </w:r>
      <w:r w:rsidR="00E7784E">
        <w:t xml:space="preserve"> collected, all patients were assigned a score of zero. Points for the step-down variable were </w:t>
      </w:r>
      <w:r w:rsidR="00901D6F">
        <w:t>aw</w:t>
      </w:r>
      <w:r w:rsidR="00EF1A75">
        <w:t>arded</w:t>
      </w:r>
      <w:r w:rsidR="00F70B7F">
        <w:t xml:space="preserve"> for this transition in susceptible isolates or when the patient was already on definitive therapy for non-fluconazole susceptible isolates.</w:t>
      </w:r>
      <w:r w:rsidR="00E7784E">
        <w:t xml:space="preserve"> </w:t>
      </w:r>
      <w:r w:rsidR="00D8753E">
        <w:t>For episodes without</w:t>
      </w:r>
      <w:r w:rsidR="00E7784E">
        <w:t xml:space="preserve"> repeat or cleared </w:t>
      </w:r>
      <w:r w:rsidR="00FB782C">
        <w:t>blood</w:t>
      </w:r>
      <w:r w:rsidR="00E7784E">
        <w:t xml:space="preserve"> cultures, then no points were assigned for 14-day treatment completion. However, if the patient died before completing 14 days of therapy, </w:t>
      </w:r>
      <w:r w:rsidR="00B57235">
        <w:t>points were assigned.</w:t>
      </w:r>
      <w:r w:rsidR="00E7784E">
        <w:t xml:space="preserve"> The EQUAL score suggest</w:t>
      </w:r>
      <w:r w:rsidR="00AE1D33">
        <w:t>ed</w:t>
      </w:r>
      <w:r w:rsidR="00E7784E">
        <w:t xml:space="preserve"> daily follow-up </w:t>
      </w:r>
      <w:r w:rsidR="00FB782C">
        <w:t>blood</w:t>
      </w:r>
      <w:r w:rsidR="00E7784E">
        <w:t xml:space="preserve"> cultures until negative; however, IDSA guidelines state daily or every other day follow-up </w:t>
      </w:r>
      <w:r w:rsidR="00FB782C">
        <w:t>blood</w:t>
      </w:r>
      <w:r w:rsidR="00E7784E">
        <w:t xml:space="preserve"> cultures are adequate.</w:t>
      </w:r>
      <w:r w:rsidR="00F0711E">
        <w:fldChar w:fldCharType="begin"/>
      </w:r>
      <w:r w:rsidR="00F0711E">
        <w:instrText xml:space="preserve"> ADDIN EN.CITE &lt;EndNote&gt;&lt;Cite&gt;&lt;Author&gt;Pappas&lt;/Author&gt;&lt;Year&gt;2016&lt;/Year&gt;&lt;RecNum&gt;86&lt;/RecNum&gt;&lt;DisplayText&gt;&lt;style face="superscript"&gt;4&lt;/style&gt;&lt;/DisplayText&gt;&lt;record&gt;&lt;rec-number&gt;86&lt;/rec-number&gt;&lt;foreign-keys&gt;&lt;key app="EN" db-id="5s2zsz0060revkeatwtp9rt85p0zre0xz0s2" timestamp="1658781426" guid="bb3f9406-ed38-4c37-bbad-3cbb4fe6a364"&gt;86&lt;/key&gt;&lt;/foreign-keys&gt;&lt;ref-type name="Journal Article"&gt;17&lt;/ref-type&gt;&lt;contributors&gt;&lt;authors&gt;&lt;author&gt;Pappas, Peter G.&lt;/author&gt;&lt;author&gt;Kauffman, Carol A.&lt;/author&gt;&lt;author&gt;Andes, David R.&lt;/author&gt;&lt;author&gt;Clancy, Cornelius J.&lt;/author&gt;&lt;author&gt;Marr, Kieren A.&lt;/author&gt;&lt;author&gt;Ostrosky-Zeichner, Luis&lt;/author&gt;&lt;author&gt;Reboli, Annette C.&lt;/author&gt;&lt;author&gt;Schuster, Mindy G.&lt;/author&gt;&lt;author&gt;Vazquez, Jose A.&lt;/author&gt;&lt;author&gt;Walsh, Thomas J.&lt;/author&gt;&lt;author&gt;Zaoutis, Theoklis E.&lt;/author&gt;&lt;author&gt;Sobel, Jack D.&lt;/author&gt;&lt;/authors&gt;&lt;/contributors&gt;&lt;titles&gt;&lt;title&gt;Clinical Practice Guideline for the Management of Candidiasis: 2016 Update by the Infectious Diseases Society of America&lt;/title&gt;&lt;secondary-title&gt;Clinical Infectious Diseases&lt;/secondary-title&gt;&lt;/titles&gt;&lt;periodical&gt;&lt;full-title&gt;Clinical Infectious Diseases&lt;/full-title&gt;&lt;/periodical&gt;&lt;pages&gt;e1-e50&lt;/pages&gt;&lt;volume&gt;62&lt;/volume&gt;&lt;number&gt;4&lt;/number&gt;&lt;dates&gt;&lt;year&gt;2016&lt;/year&gt;&lt;/dates&gt;&lt;publisher&gt;Oxford University Press (OUP)&lt;/publisher&gt;&lt;isbn&gt;1537-6591&lt;/isbn&gt;&lt;urls&gt;&lt;related-urls&gt;&lt;url&gt;https://dx.doi.org/10.1093/cid/civ933&lt;/url&gt;&lt;/related-urls&gt;&lt;/urls&gt;&lt;electronic-resource-num&gt;10.1093/cid/civ933&lt;/electronic-resource-num&gt;&lt;/record&gt;&lt;/Cite&gt;&lt;/EndNote&gt;</w:instrText>
      </w:r>
      <w:r w:rsidR="00F0711E">
        <w:fldChar w:fldCharType="separate"/>
      </w:r>
      <w:r w:rsidR="00F0711E" w:rsidRPr="00F0711E">
        <w:rPr>
          <w:noProof/>
          <w:vertAlign w:val="superscript"/>
        </w:rPr>
        <w:t>4</w:t>
      </w:r>
      <w:r w:rsidR="00F0711E">
        <w:fldChar w:fldCharType="end"/>
      </w:r>
      <w:r w:rsidR="00E7784E">
        <w:t xml:space="preserve"> </w:t>
      </w:r>
      <w:r w:rsidR="00FA4EEA">
        <w:t xml:space="preserve">We assigned points for any follow-up </w:t>
      </w:r>
      <w:r w:rsidR="003F6EA5">
        <w:t>b</w:t>
      </w:r>
      <w:r w:rsidR="00FB782C">
        <w:t>lood cultures</w:t>
      </w:r>
      <w:r w:rsidR="00FA4EEA">
        <w:t xml:space="preserve"> based on practical application</w:t>
      </w:r>
      <w:r w:rsidR="00A53FBB">
        <w:t>.</w:t>
      </w:r>
      <w:r w:rsidR="00A53FBB">
        <w:fldChar w:fldCharType="begin"/>
      </w:r>
      <w:r w:rsidR="00A53FBB">
        <w:instrText xml:space="preserve"> ADDIN EN.CITE &lt;EndNote&gt;&lt;Cite&gt;&lt;Author&gt;Bal&lt;/Author&gt;&lt;Year&gt;2021&lt;/Year&gt;&lt;RecNum&gt;76&lt;/RecNum&gt;&lt;DisplayText&gt;&lt;style face="superscript"&gt;2&lt;/style&gt;&lt;/DisplayText&gt;&lt;record&gt;&lt;rec-number&gt;76&lt;/rec-number&gt;&lt;foreign-keys&gt;&lt;key app="EN" db-id="5s2zsz0060revkeatwtp9rt85p0zre0xz0s2" timestamp="1658781411" guid="ec9018a6-6d61-4c38-9d51-8f0953b5b654"&gt;76&lt;/key&gt;&lt;/foreign-keys&gt;&lt;ref-type name="Journal Article"&gt;17&lt;/ref-type&gt;&lt;contributors&gt;&lt;authors&gt;&lt;author&gt;Bal, Abhijit M.&lt;/author&gt;&lt;/authors&gt;&lt;/contributors&gt;&lt;titles&gt;&lt;title&gt;European confederation of medical mycology quality of clinical candidaemia management score: A review of the points based best practice recommendations&lt;/title&gt;&lt;secondary-title&gt;Mycoses&lt;/secondary-title&gt;&lt;/titles&gt;&lt;pages&gt;123-131&lt;/pages&gt;&lt;volume&gt;64&lt;/volume&gt;&lt;number&gt;2&lt;/number&gt;&lt;dates&gt;&lt;year&gt;2021&lt;/year&gt;&lt;/dates&gt;&lt;publisher&gt;Wiley&lt;/publisher&gt;&lt;isbn&gt;0933-7407&lt;/isbn&gt;&lt;urls&gt;&lt;related-urls&gt;&lt;url&gt;https://dx.doi.org/10.1111/myc.13196&lt;/url&gt;&lt;/related-urls&gt;&lt;/urls&gt;&lt;electronic-resource-num&gt;10.1111/myc.13196&lt;/electronic-resource-num&gt;&lt;/record&gt;&lt;/Cite&gt;&lt;/EndNote&gt;</w:instrText>
      </w:r>
      <w:r w:rsidR="00A53FBB">
        <w:fldChar w:fldCharType="separate"/>
      </w:r>
      <w:r w:rsidR="00A53FBB" w:rsidRPr="00A53FBB">
        <w:rPr>
          <w:noProof/>
          <w:vertAlign w:val="superscript"/>
        </w:rPr>
        <w:t>2</w:t>
      </w:r>
      <w:r w:rsidR="00A53FBB">
        <w:fldChar w:fldCharType="end"/>
      </w:r>
    </w:p>
    <w:p w14:paraId="15B6ABDC" w14:textId="09131BB1" w:rsidR="00985ABC" w:rsidRPr="00FC788E" w:rsidRDefault="00985ABC" w:rsidP="00E7784E">
      <w:pPr>
        <w:spacing w:line="480" w:lineRule="auto"/>
      </w:pPr>
    </w:p>
    <w:p w14:paraId="6C9F637B" w14:textId="77777777" w:rsidR="008E3ACA" w:rsidRDefault="008E3ACA">
      <w:pPr>
        <w:spacing w:after="160" w:line="259" w:lineRule="auto"/>
        <w:rPr>
          <w:rFonts w:eastAsiaTheme="majorEastAsia" w:cstheme="majorBidi"/>
          <w:b/>
          <w:color w:val="000000" w:themeColor="text1"/>
          <w:szCs w:val="32"/>
          <w:u w:val="single"/>
        </w:rPr>
      </w:pPr>
      <w:r>
        <w:br w:type="page"/>
      </w:r>
    </w:p>
    <w:p w14:paraId="598F7EFA" w14:textId="705449C8" w:rsidR="00FC788E" w:rsidRPr="005F4066" w:rsidRDefault="00FC788E" w:rsidP="00FC788E">
      <w:pPr>
        <w:pStyle w:val="Heading1"/>
      </w:pPr>
      <w:r>
        <w:t xml:space="preserve">Supplemental </w:t>
      </w:r>
      <w:r w:rsidRPr="005F4066">
        <w:t>Table 1: EQUAL Candida Score</w:t>
      </w:r>
      <w:r>
        <w:t>*</w:t>
      </w:r>
    </w:p>
    <w:tbl>
      <w:tblPr>
        <w:tblW w:w="9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2195"/>
        <w:gridCol w:w="2121"/>
      </w:tblGrid>
      <w:tr w:rsidR="00FC788E" w:rsidRPr="005F4066" w14:paraId="793A0011" w14:textId="77777777" w:rsidTr="00D81A8E">
        <w:trPr>
          <w:trHeight w:val="582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073288" w14:textId="77777777" w:rsidR="00FC788E" w:rsidRPr="005F4066" w:rsidRDefault="00FC788E" w:rsidP="00C51A8A">
            <w:pPr>
              <w:spacing w:before="120" w:after="120"/>
              <w:textAlignment w:val="baseline"/>
              <w:rPr>
                <w:b/>
                <w:bCs/>
              </w:rPr>
            </w:pPr>
            <w:r w:rsidRPr="005F4066">
              <w:rPr>
                <w:b/>
                <w:bCs/>
              </w:rPr>
              <w:t>EQUAL </w:t>
            </w:r>
            <w:r>
              <w:rPr>
                <w:b/>
                <w:bCs/>
              </w:rPr>
              <w:t>Score Components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2A72F5" w14:textId="77777777" w:rsidR="00FC788E" w:rsidRPr="005F4066" w:rsidRDefault="00FC788E" w:rsidP="00C51A8A">
            <w:pPr>
              <w:spacing w:before="120" w:after="120"/>
              <w:textAlignment w:val="baseline"/>
              <w:rPr>
                <w:b/>
                <w:bCs/>
              </w:rPr>
            </w:pPr>
            <w:r w:rsidRPr="005F4066">
              <w:rPr>
                <w:b/>
                <w:bCs/>
              </w:rPr>
              <w:t>CVC</w:t>
            </w:r>
            <w:r>
              <w:rPr>
                <w:b/>
                <w:bCs/>
              </w:rPr>
              <w:t xml:space="preserve"> Present</w:t>
            </w:r>
            <w:r w:rsidRPr="005F4066">
              <w:rPr>
                <w:b/>
                <w:bCs/>
              </w:rPr>
              <w:t xml:space="preserve"> Score 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88FC0B" w14:textId="77777777" w:rsidR="00FC788E" w:rsidRPr="005F4066" w:rsidRDefault="00FC788E" w:rsidP="00C51A8A">
            <w:pPr>
              <w:spacing w:before="120" w:after="120"/>
              <w:textAlignment w:val="baseline"/>
              <w:rPr>
                <w:b/>
                <w:bCs/>
              </w:rPr>
            </w:pPr>
            <w:r w:rsidRPr="005F4066">
              <w:rPr>
                <w:b/>
                <w:bCs/>
              </w:rPr>
              <w:t>No CVC Score </w:t>
            </w:r>
          </w:p>
        </w:tc>
      </w:tr>
      <w:tr w:rsidR="00FC788E" w:rsidRPr="005F4066" w14:paraId="46DD675E" w14:textId="77777777" w:rsidTr="00D81A8E">
        <w:trPr>
          <w:trHeight w:val="568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2196B8" w14:textId="004A9860" w:rsidR="00FC788E" w:rsidRPr="005F4066" w:rsidRDefault="00FC788E" w:rsidP="00C51A8A">
            <w:pPr>
              <w:spacing w:before="120" w:after="120"/>
              <w:textAlignment w:val="baseline"/>
            </w:pPr>
            <w:r w:rsidRPr="005F4066">
              <w:t>Initial </w:t>
            </w:r>
            <w:r w:rsidR="002416BD">
              <w:t>BCx</w:t>
            </w:r>
            <w:r>
              <w:t xml:space="preserve"> with two</w:t>
            </w:r>
            <w:r w:rsidRPr="005F4066">
              <w:t xml:space="preserve"> bottles </w:t>
            </w:r>
            <w:r>
              <w:t xml:space="preserve">with </w:t>
            </w:r>
            <w:r w:rsidRPr="005F4066">
              <w:t xml:space="preserve">40mL of </w:t>
            </w:r>
            <w:r w:rsidR="00FB782C">
              <w:t>blood</w:t>
            </w:r>
            <w:r w:rsidRPr="005F4066">
              <w:t> 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9FE523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3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2656D1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3</w:t>
            </w:r>
          </w:p>
        </w:tc>
      </w:tr>
      <w:tr w:rsidR="00FC788E" w:rsidRPr="005F4066" w14:paraId="370A97E8" w14:textId="77777777" w:rsidTr="00D81A8E">
        <w:trPr>
          <w:trHeight w:val="582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D35A04" w14:textId="77777777" w:rsidR="00FC788E" w:rsidRPr="005F4066" w:rsidRDefault="00FC788E" w:rsidP="00C51A8A">
            <w:pPr>
              <w:spacing w:before="120" w:after="120"/>
              <w:textAlignment w:val="baseline"/>
            </w:pPr>
            <w:r w:rsidRPr="005F4066">
              <w:t>Species identification 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310F43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3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2365F1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3</w:t>
            </w:r>
          </w:p>
        </w:tc>
      </w:tr>
      <w:tr w:rsidR="00FC788E" w:rsidRPr="005F4066" w14:paraId="460EEF29" w14:textId="77777777" w:rsidTr="00D81A8E">
        <w:trPr>
          <w:trHeight w:val="568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727274" w14:textId="77777777" w:rsidR="00FC788E" w:rsidRPr="005F4066" w:rsidRDefault="00FC788E" w:rsidP="00C51A8A">
            <w:pPr>
              <w:spacing w:before="120" w:after="120"/>
              <w:textAlignment w:val="baseline"/>
            </w:pPr>
            <w:r w:rsidRPr="005F4066">
              <w:t>Susceptibility testing 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9D9772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2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C7B8F1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2</w:t>
            </w:r>
          </w:p>
        </w:tc>
      </w:tr>
      <w:tr w:rsidR="00FC788E" w:rsidRPr="005F4066" w14:paraId="40C18FCB" w14:textId="77777777" w:rsidTr="00D81A8E">
        <w:trPr>
          <w:trHeight w:val="582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F9CA2A" w14:textId="77777777" w:rsidR="00FC788E" w:rsidRPr="005F4066" w:rsidRDefault="00FC788E" w:rsidP="00C51A8A">
            <w:pPr>
              <w:spacing w:before="120" w:after="120"/>
              <w:textAlignment w:val="baseline"/>
            </w:pPr>
            <w:r w:rsidRPr="005F4066">
              <w:t>Echocardiography 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CD9809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1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4E3E86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1</w:t>
            </w:r>
          </w:p>
        </w:tc>
      </w:tr>
      <w:tr w:rsidR="00FC788E" w:rsidRPr="005F4066" w14:paraId="0BF82C99" w14:textId="77777777" w:rsidTr="00D81A8E">
        <w:trPr>
          <w:trHeight w:val="568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B634EA" w14:textId="77777777" w:rsidR="00FC788E" w:rsidRPr="005F4066" w:rsidRDefault="00FC788E" w:rsidP="00C51A8A">
            <w:pPr>
              <w:spacing w:before="120" w:after="120"/>
              <w:textAlignment w:val="baseline"/>
            </w:pPr>
            <w:r w:rsidRPr="005F4066">
              <w:t>Ophthalmoscopy 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18CA80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1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1D7402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1</w:t>
            </w:r>
          </w:p>
        </w:tc>
      </w:tr>
      <w:tr w:rsidR="00FC788E" w:rsidRPr="005F4066" w14:paraId="2359027B" w14:textId="77777777" w:rsidTr="00D81A8E">
        <w:trPr>
          <w:trHeight w:val="582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D3A214" w14:textId="77777777" w:rsidR="00FC788E" w:rsidRPr="005F4066" w:rsidRDefault="00FC788E" w:rsidP="00C51A8A">
            <w:pPr>
              <w:spacing w:before="120" w:after="120"/>
              <w:textAlignment w:val="baseline"/>
            </w:pPr>
            <w:r w:rsidRPr="005F4066">
              <w:t>E</w:t>
            </w:r>
            <w:r>
              <w:t>mpiric e</w:t>
            </w:r>
            <w:r w:rsidRPr="005F4066">
              <w:t>chinocandin treatment 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FDB175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3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8DA754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3</w:t>
            </w:r>
          </w:p>
        </w:tc>
      </w:tr>
      <w:tr w:rsidR="00FC788E" w:rsidRPr="005F4066" w14:paraId="5E5DF27C" w14:textId="77777777" w:rsidTr="00D81A8E">
        <w:trPr>
          <w:trHeight w:val="568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C0EEAB" w14:textId="77777777" w:rsidR="00FC788E" w:rsidRPr="005F4066" w:rsidRDefault="00FC788E" w:rsidP="00C51A8A">
            <w:pPr>
              <w:spacing w:before="120" w:after="120"/>
              <w:textAlignment w:val="baseline"/>
            </w:pPr>
            <w:r w:rsidRPr="005F4066">
              <w:t>Fluconazole step</w:t>
            </w:r>
            <w:r>
              <w:t>-</w:t>
            </w:r>
            <w:r w:rsidRPr="005F4066">
              <w:t>down if susceptible 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90E2A0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2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52D90F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2</w:t>
            </w:r>
          </w:p>
        </w:tc>
      </w:tr>
      <w:tr w:rsidR="00FC788E" w:rsidRPr="005F4066" w14:paraId="4752BBC7" w14:textId="77777777" w:rsidTr="00D81A8E">
        <w:trPr>
          <w:trHeight w:val="582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2C5750" w14:textId="47DC46F1" w:rsidR="00FC788E" w:rsidRPr="005F4066" w:rsidRDefault="00FC788E" w:rsidP="00C51A8A">
            <w:pPr>
              <w:spacing w:before="120" w:after="120"/>
              <w:textAlignment w:val="baseline"/>
            </w:pPr>
            <w:r w:rsidRPr="005F4066">
              <w:t xml:space="preserve">Treatment for 14 days after first negative </w:t>
            </w:r>
            <w:r w:rsidR="002416BD">
              <w:t>BCx</w:t>
            </w:r>
            <w:r w:rsidRPr="005F4066">
              <w:t> 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1E70DB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2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DC3E67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2</w:t>
            </w:r>
          </w:p>
        </w:tc>
      </w:tr>
      <w:tr w:rsidR="00FC788E" w:rsidRPr="005F4066" w14:paraId="2A3855A5" w14:textId="77777777" w:rsidTr="00D81A8E">
        <w:trPr>
          <w:trHeight w:val="568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FA8A46" w14:textId="77777777" w:rsidR="00FC788E" w:rsidRPr="005F4066" w:rsidRDefault="00FC788E" w:rsidP="00C51A8A">
            <w:pPr>
              <w:spacing w:before="120" w:after="120"/>
              <w:textAlignment w:val="baseline"/>
            </w:pPr>
            <w:r w:rsidRPr="005F4066">
              <w:t>CVC Removal within 24 hours 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97761F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3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9B632B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N/A</w:t>
            </w:r>
          </w:p>
        </w:tc>
      </w:tr>
      <w:tr w:rsidR="00FC788E" w:rsidRPr="005F4066" w14:paraId="78E3B9B2" w14:textId="77777777" w:rsidTr="00D81A8E">
        <w:trPr>
          <w:trHeight w:val="582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3A5982" w14:textId="77777777" w:rsidR="00FC788E" w:rsidRPr="005F4066" w:rsidRDefault="00FC788E" w:rsidP="00C51A8A">
            <w:pPr>
              <w:spacing w:before="120" w:after="120"/>
              <w:textAlignment w:val="baseline"/>
            </w:pPr>
            <w:r w:rsidRPr="005F4066">
              <w:t xml:space="preserve">CVC Removal </w:t>
            </w:r>
            <w:r>
              <w:t xml:space="preserve">between </w:t>
            </w:r>
            <w:r w:rsidRPr="005F4066">
              <w:t>24</w:t>
            </w:r>
            <w:r>
              <w:t>-</w:t>
            </w:r>
            <w:r w:rsidRPr="005F4066">
              <w:t>72 hours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889D67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2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0B55B5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N/A</w:t>
            </w:r>
          </w:p>
        </w:tc>
      </w:tr>
      <w:tr w:rsidR="00FC788E" w:rsidRPr="005F4066" w14:paraId="6EC203D7" w14:textId="77777777" w:rsidTr="00D81A8E">
        <w:trPr>
          <w:trHeight w:val="568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57E3AA" w14:textId="62A33FEA" w:rsidR="00FC788E" w:rsidRPr="005F4066" w:rsidRDefault="00FC788E" w:rsidP="00C51A8A">
            <w:pPr>
              <w:spacing w:before="120" w:after="120"/>
              <w:textAlignment w:val="baseline"/>
            </w:pPr>
            <w:r w:rsidRPr="005F4066">
              <w:t>Daily follow-up </w:t>
            </w:r>
            <w:r w:rsidR="002416BD">
              <w:t>BCx</w:t>
            </w:r>
            <w:r w:rsidRPr="005F4066">
              <w:t> until negative 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C5D04A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2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D4976D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2</w:t>
            </w:r>
          </w:p>
        </w:tc>
      </w:tr>
      <w:tr w:rsidR="00FC788E" w:rsidRPr="005F4066" w14:paraId="3A34AF72" w14:textId="77777777" w:rsidTr="00D81A8E">
        <w:trPr>
          <w:trHeight w:val="582"/>
        </w:trPr>
        <w:tc>
          <w:tcPr>
            <w:tcW w:w="52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1A47BE" w14:textId="77777777" w:rsidR="00FC788E" w:rsidRPr="005F4066" w:rsidRDefault="00FC788E" w:rsidP="00C51A8A">
            <w:pPr>
              <w:spacing w:before="120" w:after="120"/>
              <w:textAlignment w:val="baseline"/>
            </w:pPr>
            <w:r w:rsidRPr="005F4066">
              <w:t>Max Score </w:t>
            </w: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3F0896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22</w:t>
            </w:r>
          </w:p>
        </w:tc>
        <w:tc>
          <w:tcPr>
            <w:tcW w:w="21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391DAF" w14:textId="77777777" w:rsidR="00FC788E" w:rsidRPr="005F4066" w:rsidRDefault="00FC788E" w:rsidP="00C51A8A">
            <w:pPr>
              <w:spacing w:before="120" w:after="120"/>
              <w:jc w:val="center"/>
              <w:textAlignment w:val="baseline"/>
            </w:pPr>
            <w:r w:rsidRPr="005F4066">
              <w:t>19</w:t>
            </w:r>
          </w:p>
        </w:tc>
      </w:tr>
    </w:tbl>
    <w:p w14:paraId="123B7F56" w14:textId="2BD7F09D" w:rsidR="00FC788E" w:rsidRDefault="00FC788E" w:rsidP="00FC788E">
      <w:pPr>
        <w:spacing w:line="480" w:lineRule="auto"/>
        <w:rPr>
          <w:bCs/>
        </w:rPr>
      </w:pPr>
      <w:r w:rsidRPr="005F4066">
        <w:rPr>
          <w:bCs/>
        </w:rPr>
        <w:t>Abbreviations. EQUAL:</w:t>
      </w:r>
      <w:r>
        <w:rPr>
          <w:bCs/>
        </w:rPr>
        <w:t xml:space="preserve"> </w:t>
      </w:r>
      <w:r w:rsidRPr="005F4066">
        <w:t>European Confederation of Clinical Mycology QUALity of Clinical Candidemia Management</w:t>
      </w:r>
      <w:r>
        <w:rPr>
          <w:bCs/>
        </w:rPr>
        <w:t xml:space="preserve">, </w:t>
      </w:r>
      <w:r w:rsidRPr="005F4066">
        <w:rPr>
          <w:bCs/>
        </w:rPr>
        <w:t>CVC: central venous catheter</w:t>
      </w:r>
      <w:r>
        <w:rPr>
          <w:bCs/>
        </w:rPr>
        <w:t>,</w:t>
      </w:r>
      <w:r w:rsidRPr="005F4066">
        <w:rPr>
          <w:bCs/>
        </w:rPr>
        <w:t xml:space="preserve"> </w:t>
      </w:r>
      <w:r w:rsidR="00FB782C">
        <w:rPr>
          <w:bCs/>
        </w:rPr>
        <w:t>B</w:t>
      </w:r>
      <w:r w:rsidR="002416BD">
        <w:rPr>
          <w:bCs/>
        </w:rPr>
        <w:t>Cx</w:t>
      </w:r>
      <w:r w:rsidRPr="005F4066">
        <w:rPr>
          <w:bCs/>
        </w:rPr>
        <w:t xml:space="preserve">: </w:t>
      </w:r>
      <w:r w:rsidR="00FB782C">
        <w:rPr>
          <w:bCs/>
        </w:rPr>
        <w:t>blood</w:t>
      </w:r>
      <w:r w:rsidRPr="005F4066">
        <w:rPr>
          <w:bCs/>
        </w:rPr>
        <w:t xml:space="preserve"> culture</w:t>
      </w:r>
      <w:r w:rsidR="002416BD">
        <w:rPr>
          <w:bCs/>
        </w:rPr>
        <w:t>s</w:t>
      </w:r>
      <w:r>
        <w:rPr>
          <w:bCs/>
        </w:rPr>
        <w:t>, N/A: not applicable</w:t>
      </w:r>
    </w:p>
    <w:p w14:paraId="0F90AE55" w14:textId="7711C9B5" w:rsidR="00FC788E" w:rsidRDefault="00FC788E" w:rsidP="00FC788E">
      <w:pPr>
        <w:spacing w:line="480" w:lineRule="auto"/>
        <w:rPr>
          <w:bCs/>
        </w:rPr>
      </w:pPr>
      <w:r>
        <w:rPr>
          <w:bCs/>
        </w:rPr>
        <w:t>*Table adapted from Mellinghoff et al</w:t>
      </w:r>
      <w:r w:rsidR="000E23EA">
        <w:rPr>
          <w:bCs/>
        </w:rPr>
        <w:fldChar w:fldCharType="begin"/>
      </w:r>
      <w:r w:rsidR="002C0C6D">
        <w:rPr>
          <w:bCs/>
        </w:rPr>
        <w:instrText xml:space="preserve"> ADDIN EN.CITE &lt;EndNote&gt;&lt;Cite&gt;&lt;Author&gt;Mellinghoff&lt;/Author&gt;&lt;Year&gt;2018&lt;/Year&gt;&lt;RecNum&gt;75&lt;/RecNum&gt;&lt;DisplayText&gt;&lt;style face="superscript"&gt;1&lt;/style&gt;&lt;/DisplayText&gt;&lt;record&gt;&lt;rec-number&gt;75&lt;/rec-number&gt;&lt;foreign-keys&gt;&lt;key app="EN" db-id="5s2zsz0060revkeatwtp9rt85p0zre0xz0s2" timestamp="1658781409" guid="bdcbdd53-6cff-40f5-97f0-41ade04339f1"&gt;75&lt;/key&gt;&lt;/foreign-keys&gt;&lt;ref-type name="Journal Article"&gt;17&lt;/ref-type&gt;&lt;contributors&gt;&lt;authors&gt;&lt;author&gt;Mellinghoff, Sibylle C.&lt;/author&gt;&lt;author&gt;Hoenigl, Martin&lt;/author&gt;&lt;author&gt;Koehler, Philipp&lt;/author&gt;&lt;author&gt;Kumar, Anil&lt;/author&gt;&lt;author&gt;Lagrou, Katrien&lt;/author&gt;&lt;author&gt;Lass-Flörl, Cornelia&lt;/author&gt;&lt;author&gt;Meis, Jacques F.&lt;/author&gt;&lt;author&gt;Menon, Vidya&lt;/author&gt;&lt;author&gt;Rautemaa-Richardson, Riina&lt;/author&gt;&lt;author&gt;Cornely, Oliver A.&lt;/author&gt;&lt;/authors&gt;&lt;/contributors&gt;&lt;titles&gt;&lt;title&gt;EQUAL Candida Score: An ECMM score derived from current guidelines to measure QUAlity of Clinical Candidaemia Management&lt;/title&gt;&lt;secondary-title&gt;Mycoses&lt;/secondary-title&gt;&lt;/titles&gt;&lt;pages&gt;326-330&lt;/pages&gt;&lt;volume&gt;61&lt;/volume&gt;&lt;number&gt;5&lt;/number&gt;&lt;dates&gt;&lt;year&gt;2018&lt;/year&gt;&lt;/dates&gt;&lt;publisher&gt;Wiley&lt;/publisher&gt;&lt;isbn&gt;0933-7407&lt;/isbn&gt;&lt;urls&gt;&lt;related-urls&gt;&lt;url&gt;https://dx.doi.org/10.1111/myc.12746&lt;/url&gt;&lt;/related-urls&gt;&lt;/urls&gt;&lt;electronic-resource-num&gt;10.1111/myc.12746&lt;/electronic-resource-num&gt;&lt;/record&gt;&lt;/Cite&gt;&lt;/EndNote&gt;</w:instrText>
      </w:r>
      <w:r w:rsidR="000E23EA">
        <w:rPr>
          <w:bCs/>
        </w:rPr>
        <w:fldChar w:fldCharType="separate"/>
      </w:r>
      <w:r w:rsidR="002C0C6D" w:rsidRPr="002C0C6D">
        <w:rPr>
          <w:bCs/>
          <w:noProof/>
          <w:vertAlign w:val="superscript"/>
        </w:rPr>
        <w:t>1</w:t>
      </w:r>
      <w:r w:rsidR="000E23EA">
        <w:rPr>
          <w:bCs/>
        </w:rPr>
        <w:fldChar w:fldCharType="end"/>
      </w:r>
    </w:p>
    <w:p w14:paraId="3C7CAD2C" w14:textId="77777777" w:rsidR="00FC788E" w:rsidRPr="005F4066" w:rsidRDefault="00FC788E" w:rsidP="00FC788E">
      <w:pPr>
        <w:spacing w:line="480" w:lineRule="auto"/>
        <w:rPr>
          <w:bCs/>
        </w:rPr>
      </w:pPr>
    </w:p>
    <w:p w14:paraId="432D77DA" w14:textId="77777777" w:rsidR="008E3ACA" w:rsidRDefault="008E3ACA">
      <w:pPr>
        <w:spacing w:after="160" w:line="259" w:lineRule="auto"/>
        <w:rPr>
          <w:rFonts w:eastAsiaTheme="majorEastAsia" w:cstheme="majorBidi"/>
          <w:b/>
          <w:color w:val="000000" w:themeColor="text1"/>
          <w:szCs w:val="32"/>
          <w:u w:val="single"/>
        </w:rPr>
      </w:pPr>
      <w:r>
        <w:br w:type="page"/>
      </w:r>
    </w:p>
    <w:p w14:paraId="160C56F7" w14:textId="0F0B64FA" w:rsidR="00FC788E" w:rsidRPr="005F4066" w:rsidRDefault="00FC788E" w:rsidP="00FC788E">
      <w:pPr>
        <w:pStyle w:val="Heading1"/>
      </w:pPr>
      <w:r>
        <w:t xml:space="preserve">Supplemental </w:t>
      </w:r>
      <w:r w:rsidRPr="005F4066">
        <w:t>Table</w:t>
      </w:r>
      <w:r>
        <w:t xml:space="preserve"> 2</w:t>
      </w:r>
      <w:r w:rsidRPr="005F4066">
        <w:t>: Outcomes for IDC &lt;48 hours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1890"/>
        <w:gridCol w:w="1890"/>
        <w:gridCol w:w="990"/>
      </w:tblGrid>
      <w:tr w:rsidR="00FC788E" w:rsidRPr="005F4066" w14:paraId="7B19CEF2" w14:textId="77777777" w:rsidTr="00C51A8A">
        <w:tc>
          <w:tcPr>
            <w:tcW w:w="4585" w:type="dxa"/>
          </w:tcPr>
          <w:p w14:paraId="7270FD5F" w14:textId="77777777" w:rsidR="00FC788E" w:rsidRPr="005F4066" w:rsidRDefault="00FC788E" w:rsidP="007F66BA">
            <w:pPr>
              <w:spacing w:before="120" w:after="120"/>
              <w:rPr>
                <w:b/>
                <w:bCs/>
              </w:rPr>
            </w:pPr>
            <w:r w:rsidRPr="005F4066">
              <w:rPr>
                <w:b/>
                <w:bCs/>
              </w:rPr>
              <w:t>Outcomes</w:t>
            </w:r>
          </w:p>
        </w:tc>
        <w:tc>
          <w:tcPr>
            <w:tcW w:w="1890" w:type="dxa"/>
          </w:tcPr>
          <w:p w14:paraId="722E4504" w14:textId="77777777" w:rsidR="007F66BA" w:rsidRDefault="00FC788E" w:rsidP="007F66BA">
            <w:pPr>
              <w:spacing w:before="120" w:after="120"/>
              <w:rPr>
                <w:b/>
                <w:bCs/>
              </w:rPr>
            </w:pPr>
            <w:r w:rsidRPr="005F4066">
              <w:rPr>
                <w:b/>
                <w:bCs/>
              </w:rPr>
              <w:t xml:space="preserve">IDC within 48 hours </w:t>
            </w:r>
          </w:p>
          <w:p w14:paraId="73B515D4" w14:textId="312BA38E" w:rsidR="00FC788E" w:rsidRPr="005F4066" w:rsidRDefault="00FC788E" w:rsidP="007F66BA">
            <w:pPr>
              <w:spacing w:before="120" w:after="120"/>
              <w:rPr>
                <w:b/>
                <w:bCs/>
              </w:rPr>
            </w:pPr>
            <w:r w:rsidRPr="005F4066">
              <w:rPr>
                <w:b/>
                <w:bCs/>
              </w:rPr>
              <w:t>(n=77)</w:t>
            </w:r>
          </w:p>
        </w:tc>
        <w:tc>
          <w:tcPr>
            <w:tcW w:w="1890" w:type="dxa"/>
          </w:tcPr>
          <w:p w14:paraId="6F61AB1F" w14:textId="77777777" w:rsidR="007F66BA" w:rsidRDefault="00FC788E" w:rsidP="007F66BA">
            <w:pPr>
              <w:spacing w:before="120" w:after="120"/>
              <w:rPr>
                <w:b/>
                <w:bCs/>
              </w:rPr>
            </w:pPr>
            <w:r w:rsidRPr="005F4066">
              <w:rPr>
                <w:b/>
                <w:bCs/>
              </w:rPr>
              <w:t xml:space="preserve">No IDC within 48 hours </w:t>
            </w:r>
          </w:p>
          <w:p w14:paraId="05134AA6" w14:textId="498E33AF" w:rsidR="00FC788E" w:rsidRPr="005F4066" w:rsidRDefault="00FC788E" w:rsidP="007F66BA">
            <w:pPr>
              <w:spacing w:before="120" w:after="120"/>
              <w:rPr>
                <w:b/>
                <w:bCs/>
              </w:rPr>
            </w:pPr>
            <w:r w:rsidRPr="005F4066">
              <w:rPr>
                <w:b/>
                <w:bCs/>
              </w:rPr>
              <w:t>(n=15)</w:t>
            </w:r>
          </w:p>
        </w:tc>
        <w:tc>
          <w:tcPr>
            <w:tcW w:w="990" w:type="dxa"/>
          </w:tcPr>
          <w:p w14:paraId="502373AF" w14:textId="77777777" w:rsidR="00FC788E" w:rsidRPr="005F4066" w:rsidRDefault="00FC788E" w:rsidP="007F66BA">
            <w:pPr>
              <w:spacing w:before="120" w:after="120"/>
              <w:jc w:val="center"/>
              <w:rPr>
                <w:b/>
                <w:bCs/>
              </w:rPr>
            </w:pPr>
            <w:r w:rsidRPr="005F4066">
              <w:rPr>
                <w:b/>
                <w:bCs/>
              </w:rPr>
              <w:t>p-value</w:t>
            </w:r>
          </w:p>
        </w:tc>
      </w:tr>
      <w:tr w:rsidR="00FC788E" w:rsidRPr="005F4066" w14:paraId="6CEB54BA" w14:textId="77777777" w:rsidTr="00C51A8A">
        <w:tc>
          <w:tcPr>
            <w:tcW w:w="4585" w:type="dxa"/>
          </w:tcPr>
          <w:p w14:paraId="282519F8" w14:textId="77777777" w:rsidR="00FC788E" w:rsidRPr="005F4066" w:rsidRDefault="00FC788E" w:rsidP="007F66BA">
            <w:pPr>
              <w:spacing w:before="120" w:after="120"/>
            </w:pPr>
            <w:r w:rsidRPr="005F4066">
              <w:t>30-day all-cause mortality</w:t>
            </w:r>
            <w:r>
              <w:t>, No./Total (%)*</w:t>
            </w:r>
          </w:p>
        </w:tc>
        <w:tc>
          <w:tcPr>
            <w:tcW w:w="1890" w:type="dxa"/>
          </w:tcPr>
          <w:p w14:paraId="326202E8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1</w:t>
            </w:r>
            <w:r>
              <w:t>5/70</w:t>
            </w:r>
            <w:r w:rsidRPr="005F4066">
              <w:t xml:space="preserve"> (2</w:t>
            </w:r>
            <w:r>
              <w:t>1.4</w:t>
            </w:r>
            <w:r w:rsidRPr="005F4066">
              <w:t>)</w:t>
            </w:r>
          </w:p>
        </w:tc>
        <w:tc>
          <w:tcPr>
            <w:tcW w:w="1890" w:type="dxa"/>
          </w:tcPr>
          <w:p w14:paraId="75164084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3</w:t>
            </w:r>
            <w:r>
              <w:t>/15</w:t>
            </w:r>
            <w:r w:rsidRPr="005F4066">
              <w:t xml:space="preserve"> (20)</w:t>
            </w:r>
          </w:p>
        </w:tc>
        <w:tc>
          <w:tcPr>
            <w:tcW w:w="990" w:type="dxa"/>
          </w:tcPr>
          <w:p w14:paraId="71B5F7AB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1.00</w:t>
            </w:r>
          </w:p>
        </w:tc>
      </w:tr>
      <w:tr w:rsidR="00FC788E" w:rsidRPr="005F4066" w14:paraId="56865C64" w14:textId="77777777" w:rsidTr="00C51A8A">
        <w:tc>
          <w:tcPr>
            <w:tcW w:w="4585" w:type="dxa"/>
          </w:tcPr>
          <w:p w14:paraId="1B1E5C48" w14:textId="77777777" w:rsidR="00FC788E" w:rsidRPr="005F4066" w:rsidRDefault="00FC788E" w:rsidP="007F66BA">
            <w:pPr>
              <w:spacing w:before="120" w:after="120"/>
            </w:pPr>
            <w:r w:rsidRPr="005F4066">
              <w:t>Length of Admission</w:t>
            </w:r>
            <w:r>
              <w:t>, days, median (IQR)</w:t>
            </w:r>
          </w:p>
        </w:tc>
        <w:tc>
          <w:tcPr>
            <w:tcW w:w="1890" w:type="dxa"/>
          </w:tcPr>
          <w:p w14:paraId="76C7019B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16 (9-50)</w:t>
            </w:r>
          </w:p>
        </w:tc>
        <w:tc>
          <w:tcPr>
            <w:tcW w:w="1890" w:type="dxa"/>
          </w:tcPr>
          <w:p w14:paraId="4B959424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35 (15-50)</w:t>
            </w:r>
          </w:p>
        </w:tc>
        <w:tc>
          <w:tcPr>
            <w:tcW w:w="990" w:type="dxa"/>
          </w:tcPr>
          <w:p w14:paraId="4460F43B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0.27</w:t>
            </w:r>
          </w:p>
        </w:tc>
      </w:tr>
      <w:tr w:rsidR="00FC788E" w:rsidRPr="005F4066" w14:paraId="37DF22EC" w14:textId="77777777" w:rsidTr="00C51A8A">
        <w:tc>
          <w:tcPr>
            <w:tcW w:w="4585" w:type="dxa"/>
          </w:tcPr>
          <w:p w14:paraId="7B9343D0" w14:textId="77777777" w:rsidR="00FC788E" w:rsidRPr="005F4066" w:rsidRDefault="00FC788E" w:rsidP="007F66BA">
            <w:pPr>
              <w:spacing w:before="120" w:after="120"/>
            </w:pPr>
            <w:r w:rsidRPr="005F4066">
              <w:t>60-Day Recurrence</w:t>
            </w:r>
            <w:r>
              <w:t>, No./Total (%)</w:t>
            </w:r>
          </w:p>
        </w:tc>
        <w:tc>
          <w:tcPr>
            <w:tcW w:w="1890" w:type="dxa"/>
          </w:tcPr>
          <w:p w14:paraId="5B9D7A72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1</w:t>
            </w:r>
            <w:r>
              <w:t>/77</w:t>
            </w:r>
            <w:r w:rsidRPr="005F4066">
              <w:t xml:space="preserve"> (1.3)</w:t>
            </w:r>
          </w:p>
        </w:tc>
        <w:tc>
          <w:tcPr>
            <w:tcW w:w="1890" w:type="dxa"/>
          </w:tcPr>
          <w:p w14:paraId="436F593B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0</w:t>
            </w:r>
            <w:r>
              <w:t>/15 (0)</w:t>
            </w:r>
          </w:p>
        </w:tc>
        <w:tc>
          <w:tcPr>
            <w:tcW w:w="990" w:type="dxa"/>
          </w:tcPr>
          <w:p w14:paraId="21BF02E7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1.00</w:t>
            </w:r>
          </w:p>
        </w:tc>
      </w:tr>
      <w:tr w:rsidR="00FC788E" w:rsidRPr="005F4066" w14:paraId="144BBE22" w14:textId="77777777" w:rsidTr="00C51A8A">
        <w:tc>
          <w:tcPr>
            <w:tcW w:w="4585" w:type="dxa"/>
          </w:tcPr>
          <w:p w14:paraId="064B8AC2" w14:textId="77777777" w:rsidR="00FC788E" w:rsidRPr="005F4066" w:rsidRDefault="00FC788E" w:rsidP="007F66BA">
            <w:pPr>
              <w:spacing w:before="120" w:after="120"/>
            </w:pPr>
            <w:r w:rsidRPr="005F4066">
              <w:t>CVC Removal</w:t>
            </w:r>
            <w:r>
              <w:t>, No./Total (%)</w:t>
            </w:r>
          </w:p>
        </w:tc>
        <w:tc>
          <w:tcPr>
            <w:tcW w:w="1890" w:type="dxa"/>
          </w:tcPr>
          <w:p w14:paraId="1B16F1D8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49</w:t>
            </w:r>
            <w:r>
              <w:t>/54</w:t>
            </w:r>
            <w:r w:rsidRPr="005F4066">
              <w:t xml:space="preserve"> (90.7)</w:t>
            </w:r>
          </w:p>
        </w:tc>
        <w:tc>
          <w:tcPr>
            <w:tcW w:w="1890" w:type="dxa"/>
          </w:tcPr>
          <w:p w14:paraId="5A48BC3D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11</w:t>
            </w:r>
            <w:r>
              <w:t>/12</w:t>
            </w:r>
            <w:r w:rsidRPr="005F4066">
              <w:t xml:space="preserve"> (91.7)</w:t>
            </w:r>
          </w:p>
        </w:tc>
        <w:tc>
          <w:tcPr>
            <w:tcW w:w="990" w:type="dxa"/>
          </w:tcPr>
          <w:p w14:paraId="336A6905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1.00</w:t>
            </w:r>
          </w:p>
        </w:tc>
      </w:tr>
      <w:tr w:rsidR="00FC788E" w:rsidRPr="005F4066" w14:paraId="0AE30232" w14:textId="77777777" w:rsidTr="00C51A8A">
        <w:tc>
          <w:tcPr>
            <w:tcW w:w="4585" w:type="dxa"/>
          </w:tcPr>
          <w:p w14:paraId="38C9E59C" w14:textId="77777777" w:rsidR="00FC788E" w:rsidRPr="005F4066" w:rsidRDefault="00FC788E" w:rsidP="007F66BA">
            <w:pPr>
              <w:spacing w:before="120" w:after="120"/>
            </w:pPr>
            <w:r>
              <w:rPr>
                <w:rFonts w:ascii="Times" w:hAnsi="Times"/>
              </w:rPr>
              <w:tab/>
              <w:t>CVC Removal &lt;24 hours</w:t>
            </w:r>
          </w:p>
        </w:tc>
        <w:tc>
          <w:tcPr>
            <w:tcW w:w="1890" w:type="dxa"/>
          </w:tcPr>
          <w:p w14:paraId="347A618C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26/49 (53.1)</w:t>
            </w:r>
          </w:p>
        </w:tc>
        <w:tc>
          <w:tcPr>
            <w:tcW w:w="1890" w:type="dxa"/>
          </w:tcPr>
          <w:p w14:paraId="55FD0376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6/11 (54.6)</w:t>
            </w:r>
          </w:p>
        </w:tc>
        <w:tc>
          <w:tcPr>
            <w:tcW w:w="990" w:type="dxa"/>
            <w:vMerge w:val="restart"/>
            <w:vAlign w:val="center"/>
          </w:tcPr>
          <w:p w14:paraId="667AAA45" w14:textId="77777777" w:rsidR="00FC788E" w:rsidRDefault="00FC788E" w:rsidP="007F66BA">
            <w:pPr>
              <w:spacing w:before="120" w:after="120"/>
              <w:jc w:val="center"/>
            </w:pPr>
            <w:r>
              <w:t>0.55</w:t>
            </w:r>
          </w:p>
        </w:tc>
      </w:tr>
      <w:tr w:rsidR="00FC788E" w:rsidRPr="005F4066" w14:paraId="4F0686B3" w14:textId="77777777" w:rsidTr="00C51A8A">
        <w:tc>
          <w:tcPr>
            <w:tcW w:w="4585" w:type="dxa"/>
          </w:tcPr>
          <w:p w14:paraId="41D7E592" w14:textId="77777777" w:rsidR="00FC788E" w:rsidRPr="005F4066" w:rsidRDefault="00FC788E" w:rsidP="007F66BA">
            <w:pPr>
              <w:spacing w:before="120" w:after="120"/>
            </w:pPr>
            <w:r>
              <w:rPr>
                <w:rFonts w:ascii="Times" w:hAnsi="Times"/>
              </w:rPr>
              <w:tab/>
              <w:t xml:space="preserve">CVC Removal 24-72 hours </w:t>
            </w:r>
          </w:p>
        </w:tc>
        <w:tc>
          <w:tcPr>
            <w:tcW w:w="1890" w:type="dxa"/>
          </w:tcPr>
          <w:p w14:paraId="128EEEBA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11/49 (22.5)</w:t>
            </w:r>
          </w:p>
        </w:tc>
        <w:tc>
          <w:tcPr>
            <w:tcW w:w="1890" w:type="dxa"/>
          </w:tcPr>
          <w:p w14:paraId="10692380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1/11 (9.1)</w:t>
            </w:r>
          </w:p>
        </w:tc>
        <w:tc>
          <w:tcPr>
            <w:tcW w:w="990" w:type="dxa"/>
            <w:vMerge/>
          </w:tcPr>
          <w:p w14:paraId="2C839561" w14:textId="77777777" w:rsidR="00FC788E" w:rsidRDefault="00FC788E" w:rsidP="007F66BA">
            <w:pPr>
              <w:spacing w:before="120" w:after="120"/>
              <w:jc w:val="center"/>
            </w:pPr>
          </w:p>
        </w:tc>
      </w:tr>
      <w:tr w:rsidR="00FC788E" w:rsidRPr="005F4066" w14:paraId="0EF61140" w14:textId="77777777" w:rsidTr="00C51A8A">
        <w:tc>
          <w:tcPr>
            <w:tcW w:w="4585" w:type="dxa"/>
          </w:tcPr>
          <w:p w14:paraId="486A6069" w14:textId="77777777" w:rsidR="00FC788E" w:rsidRPr="005F4066" w:rsidRDefault="00FC788E" w:rsidP="007F66BA">
            <w:pPr>
              <w:spacing w:before="120" w:after="120"/>
            </w:pPr>
            <w:r>
              <w:rPr>
                <w:rFonts w:ascii="Times" w:hAnsi="Times"/>
              </w:rPr>
              <w:tab/>
              <w:t>CVC Removal &gt;72 hours</w:t>
            </w:r>
          </w:p>
        </w:tc>
        <w:tc>
          <w:tcPr>
            <w:tcW w:w="1890" w:type="dxa"/>
          </w:tcPr>
          <w:p w14:paraId="34017EC0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12/49 (24.5)</w:t>
            </w:r>
          </w:p>
        </w:tc>
        <w:tc>
          <w:tcPr>
            <w:tcW w:w="1890" w:type="dxa"/>
          </w:tcPr>
          <w:p w14:paraId="38686717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4/11 (36.4)</w:t>
            </w:r>
          </w:p>
        </w:tc>
        <w:tc>
          <w:tcPr>
            <w:tcW w:w="990" w:type="dxa"/>
            <w:vMerge/>
          </w:tcPr>
          <w:p w14:paraId="1847A0F2" w14:textId="77777777" w:rsidR="00FC788E" w:rsidRDefault="00FC788E" w:rsidP="007F66BA">
            <w:pPr>
              <w:spacing w:before="120" w:after="120"/>
              <w:jc w:val="center"/>
            </w:pPr>
          </w:p>
        </w:tc>
      </w:tr>
      <w:tr w:rsidR="00FC788E" w:rsidRPr="005F4066" w14:paraId="09939E42" w14:textId="77777777" w:rsidTr="00C51A8A">
        <w:tc>
          <w:tcPr>
            <w:tcW w:w="4585" w:type="dxa"/>
          </w:tcPr>
          <w:p w14:paraId="1100739C" w14:textId="5A15DEC7" w:rsidR="00FC788E" w:rsidRPr="005F4066" w:rsidRDefault="00FC788E" w:rsidP="007F66BA">
            <w:pPr>
              <w:spacing w:before="120" w:after="120"/>
            </w:pPr>
            <w:r w:rsidRPr="005F4066">
              <w:t xml:space="preserve">Repeat </w:t>
            </w:r>
            <w:r w:rsidR="004C6273">
              <w:t>BCx</w:t>
            </w:r>
            <w:r>
              <w:t>, No./Total (%)</w:t>
            </w:r>
          </w:p>
        </w:tc>
        <w:tc>
          <w:tcPr>
            <w:tcW w:w="1890" w:type="dxa"/>
          </w:tcPr>
          <w:p w14:paraId="595FD35B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76</w:t>
            </w:r>
            <w:r>
              <w:t>/77</w:t>
            </w:r>
            <w:r w:rsidRPr="005F4066">
              <w:t xml:space="preserve"> (98.7)</w:t>
            </w:r>
          </w:p>
        </w:tc>
        <w:tc>
          <w:tcPr>
            <w:tcW w:w="1890" w:type="dxa"/>
          </w:tcPr>
          <w:p w14:paraId="4C3C1FED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14</w:t>
            </w:r>
            <w:r>
              <w:t>/15</w:t>
            </w:r>
            <w:r w:rsidRPr="005F4066">
              <w:t xml:space="preserve"> (93.3)</w:t>
            </w:r>
          </w:p>
        </w:tc>
        <w:tc>
          <w:tcPr>
            <w:tcW w:w="990" w:type="dxa"/>
          </w:tcPr>
          <w:p w14:paraId="39A1A715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0.3</w:t>
            </w:r>
          </w:p>
        </w:tc>
      </w:tr>
      <w:tr w:rsidR="00FC788E" w:rsidRPr="005F4066" w14:paraId="45412021" w14:textId="77777777" w:rsidTr="00C51A8A">
        <w:tc>
          <w:tcPr>
            <w:tcW w:w="4585" w:type="dxa"/>
          </w:tcPr>
          <w:p w14:paraId="7F2B0458" w14:textId="77777777" w:rsidR="00FC788E" w:rsidRPr="005F4066" w:rsidRDefault="00FC788E" w:rsidP="007F66BA">
            <w:pPr>
              <w:spacing w:before="120" w:after="120"/>
            </w:pPr>
            <w:r w:rsidRPr="005F4066">
              <w:t xml:space="preserve">Ophthalmology </w:t>
            </w:r>
            <w:r>
              <w:t>examination, No./Total (%)</w:t>
            </w:r>
          </w:p>
        </w:tc>
        <w:tc>
          <w:tcPr>
            <w:tcW w:w="1890" w:type="dxa"/>
          </w:tcPr>
          <w:p w14:paraId="305290EA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52</w:t>
            </w:r>
            <w:r>
              <w:t>/77</w:t>
            </w:r>
            <w:r w:rsidRPr="005F4066">
              <w:t xml:space="preserve"> (67.5)</w:t>
            </w:r>
          </w:p>
        </w:tc>
        <w:tc>
          <w:tcPr>
            <w:tcW w:w="1890" w:type="dxa"/>
          </w:tcPr>
          <w:p w14:paraId="6A8E3F0A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6</w:t>
            </w:r>
            <w:r>
              <w:t>/15</w:t>
            </w:r>
            <w:r w:rsidRPr="005F4066">
              <w:t xml:space="preserve"> (40%)</w:t>
            </w:r>
          </w:p>
        </w:tc>
        <w:tc>
          <w:tcPr>
            <w:tcW w:w="990" w:type="dxa"/>
          </w:tcPr>
          <w:p w14:paraId="6E156142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0.076</w:t>
            </w:r>
          </w:p>
        </w:tc>
      </w:tr>
      <w:tr w:rsidR="00FC788E" w:rsidRPr="005F4066" w14:paraId="1B558325" w14:textId="77777777" w:rsidTr="00C51A8A">
        <w:tc>
          <w:tcPr>
            <w:tcW w:w="4585" w:type="dxa"/>
          </w:tcPr>
          <w:p w14:paraId="6E7A7544" w14:textId="77777777" w:rsidR="00FC788E" w:rsidRPr="005F4066" w:rsidRDefault="00FC788E" w:rsidP="007F66BA">
            <w:pPr>
              <w:spacing w:before="120" w:after="120"/>
            </w:pPr>
            <w:r w:rsidRPr="005F4066">
              <w:t>Echocardiography</w:t>
            </w:r>
            <w:r>
              <w:t>, No./Total (%)</w:t>
            </w:r>
          </w:p>
        </w:tc>
        <w:tc>
          <w:tcPr>
            <w:tcW w:w="1890" w:type="dxa"/>
          </w:tcPr>
          <w:p w14:paraId="6AF1A564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56</w:t>
            </w:r>
            <w:r>
              <w:t>/77</w:t>
            </w:r>
            <w:r w:rsidRPr="005F4066">
              <w:t xml:space="preserve"> (72.7)</w:t>
            </w:r>
          </w:p>
        </w:tc>
        <w:tc>
          <w:tcPr>
            <w:tcW w:w="1890" w:type="dxa"/>
          </w:tcPr>
          <w:p w14:paraId="5362D88D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7</w:t>
            </w:r>
            <w:r>
              <w:t>/15</w:t>
            </w:r>
            <w:r w:rsidRPr="005F4066">
              <w:t xml:space="preserve"> (46.7)</w:t>
            </w:r>
          </w:p>
        </w:tc>
        <w:tc>
          <w:tcPr>
            <w:tcW w:w="990" w:type="dxa"/>
          </w:tcPr>
          <w:p w14:paraId="121A705E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0.07</w:t>
            </w:r>
          </w:p>
        </w:tc>
      </w:tr>
      <w:tr w:rsidR="00FC788E" w:rsidRPr="005F4066" w14:paraId="264D1F1F" w14:textId="77777777" w:rsidTr="00C51A8A">
        <w:tc>
          <w:tcPr>
            <w:tcW w:w="4585" w:type="dxa"/>
          </w:tcPr>
          <w:p w14:paraId="3A94D060" w14:textId="31F9B94E" w:rsidR="00FC788E" w:rsidRPr="005F4066" w:rsidRDefault="00FC788E" w:rsidP="007F66BA">
            <w:pPr>
              <w:spacing w:before="120" w:after="120"/>
            </w:pPr>
            <w:r w:rsidRPr="005F4066">
              <w:t xml:space="preserve">Time to </w:t>
            </w:r>
            <w:r w:rsidR="004C6273">
              <w:t>BCx</w:t>
            </w:r>
            <w:r w:rsidRPr="005F4066">
              <w:t xml:space="preserve"> clearance</w:t>
            </w:r>
            <w:r>
              <w:t>, hours, median (IQR)</w:t>
            </w:r>
          </w:p>
        </w:tc>
        <w:tc>
          <w:tcPr>
            <w:tcW w:w="1890" w:type="dxa"/>
          </w:tcPr>
          <w:p w14:paraId="7A0AB39C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81.3 (57.3-138.6)</w:t>
            </w:r>
            <w:r w:rsidRPr="005F4066">
              <w:t xml:space="preserve"> (n=75)</w:t>
            </w:r>
          </w:p>
        </w:tc>
        <w:tc>
          <w:tcPr>
            <w:tcW w:w="1890" w:type="dxa"/>
          </w:tcPr>
          <w:p w14:paraId="0799657B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113.9</w:t>
            </w:r>
            <w:r w:rsidRPr="005F4066">
              <w:t xml:space="preserve"> </w:t>
            </w:r>
            <w:r>
              <w:t xml:space="preserve">(95.7-133.6) </w:t>
            </w:r>
            <w:r w:rsidRPr="005F4066">
              <w:t>(n=13)</w:t>
            </w:r>
          </w:p>
        </w:tc>
        <w:tc>
          <w:tcPr>
            <w:tcW w:w="990" w:type="dxa"/>
          </w:tcPr>
          <w:p w14:paraId="22D6D243" w14:textId="77777777" w:rsidR="00FC788E" w:rsidRDefault="00FC788E" w:rsidP="007F66BA">
            <w:pPr>
              <w:spacing w:before="120" w:after="120"/>
              <w:jc w:val="center"/>
            </w:pPr>
            <w:r>
              <w:t>0.09</w:t>
            </w:r>
          </w:p>
        </w:tc>
      </w:tr>
      <w:tr w:rsidR="00FC788E" w:rsidRPr="005F4066" w14:paraId="39B2F566" w14:textId="77777777" w:rsidTr="00C51A8A">
        <w:tc>
          <w:tcPr>
            <w:tcW w:w="4585" w:type="dxa"/>
          </w:tcPr>
          <w:p w14:paraId="77AFA660" w14:textId="77777777" w:rsidR="00FC788E" w:rsidRPr="005F4066" w:rsidRDefault="00FC788E" w:rsidP="007F66BA">
            <w:pPr>
              <w:spacing w:before="120" w:after="120"/>
            </w:pPr>
            <w:r>
              <w:t xml:space="preserve">Total </w:t>
            </w:r>
            <w:r w:rsidRPr="005F4066">
              <w:t>duration of treatment</w:t>
            </w:r>
            <w:r>
              <w:t>, days, median (IQR)</w:t>
            </w:r>
          </w:p>
        </w:tc>
        <w:tc>
          <w:tcPr>
            <w:tcW w:w="1890" w:type="dxa"/>
          </w:tcPr>
          <w:p w14:paraId="288EA0F8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16 (14-25)</w:t>
            </w:r>
            <w:r w:rsidRPr="005F4066">
              <w:t xml:space="preserve"> (n=66)</w:t>
            </w:r>
          </w:p>
        </w:tc>
        <w:tc>
          <w:tcPr>
            <w:tcW w:w="1890" w:type="dxa"/>
          </w:tcPr>
          <w:p w14:paraId="02C219BF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17</w:t>
            </w:r>
            <w:r w:rsidRPr="005F4066">
              <w:t xml:space="preserve"> </w:t>
            </w:r>
            <w:r>
              <w:t>(15-20)</w:t>
            </w:r>
            <w:r w:rsidRPr="005F4066">
              <w:t xml:space="preserve"> (n=6)</w:t>
            </w:r>
          </w:p>
        </w:tc>
        <w:tc>
          <w:tcPr>
            <w:tcW w:w="990" w:type="dxa"/>
          </w:tcPr>
          <w:p w14:paraId="6B626B15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0.59</w:t>
            </w:r>
          </w:p>
        </w:tc>
      </w:tr>
      <w:tr w:rsidR="00FC788E" w:rsidRPr="005F4066" w14:paraId="4E0249C0" w14:textId="77777777" w:rsidTr="00C51A8A">
        <w:tc>
          <w:tcPr>
            <w:tcW w:w="4585" w:type="dxa"/>
          </w:tcPr>
          <w:p w14:paraId="217D22B2" w14:textId="69014D60" w:rsidR="00FC788E" w:rsidRPr="005F4066" w:rsidRDefault="00FC788E" w:rsidP="007F66BA">
            <w:pPr>
              <w:spacing w:before="120" w:after="120"/>
            </w:pPr>
            <w:r>
              <w:rPr>
                <w:rFonts w:ascii="Times" w:hAnsi="Times"/>
              </w:rPr>
              <w:t xml:space="preserve">Duration of treatment </w:t>
            </w:r>
            <w:r w:rsidRPr="008A0433">
              <w:rPr>
                <w:rFonts w:ascii="Times" w:hAnsi="Times"/>
              </w:rPr>
              <w:t>≥</w:t>
            </w:r>
            <w:r>
              <w:rPr>
                <w:rFonts w:ascii="Times" w:hAnsi="Times"/>
              </w:rPr>
              <w:t xml:space="preserve">14 days after </w:t>
            </w:r>
            <w:r w:rsidR="004C6273">
              <w:rPr>
                <w:rFonts w:ascii="Times" w:hAnsi="Times"/>
              </w:rPr>
              <w:t>BCx</w:t>
            </w:r>
            <w:r>
              <w:rPr>
                <w:rFonts w:ascii="Times" w:hAnsi="Times"/>
              </w:rPr>
              <w:t xml:space="preserve"> clearance, No./Total (%)</w:t>
            </w:r>
          </w:p>
        </w:tc>
        <w:tc>
          <w:tcPr>
            <w:tcW w:w="1890" w:type="dxa"/>
          </w:tcPr>
          <w:p w14:paraId="58A8DBEE" w14:textId="77777777" w:rsidR="00FC788E" w:rsidRDefault="00FC788E" w:rsidP="007F66BA">
            <w:pPr>
              <w:spacing w:before="120" w:after="120"/>
              <w:jc w:val="center"/>
            </w:pPr>
            <w:r>
              <w:rPr>
                <w:rFonts w:ascii="Times" w:hAnsi="Times"/>
              </w:rPr>
              <w:t>54/59 (91.5)</w:t>
            </w:r>
          </w:p>
        </w:tc>
        <w:tc>
          <w:tcPr>
            <w:tcW w:w="1890" w:type="dxa"/>
          </w:tcPr>
          <w:p w14:paraId="610A2E6C" w14:textId="77777777" w:rsidR="00FC788E" w:rsidRDefault="00FC788E" w:rsidP="007F66BA">
            <w:pPr>
              <w:spacing w:before="120" w:after="120"/>
              <w:jc w:val="center"/>
            </w:pPr>
            <w:r>
              <w:t>10/13 (76.9)</w:t>
            </w:r>
          </w:p>
        </w:tc>
        <w:tc>
          <w:tcPr>
            <w:tcW w:w="990" w:type="dxa"/>
          </w:tcPr>
          <w:p w14:paraId="5EA3D3D4" w14:textId="77777777" w:rsidR="00FC788E" w:rsidRDefault="00FC788E" w:rsidP="007F66BA">
            <w:pPr>
              <w:spacing w:before="120" w:after="120"/>
              <w:jc w:val="center"/>
            </w:pPr>
            <w:r>
              <w:t>0.15</w:t>
            </w:r>
          </w:p>
        </w:tc>
      </w:tr>
      <w:tr w:rsidR="00FC788E" w:rsidRPr="005F4066" w14:paraId="0B630BE4" w14:textId="77777777" w:rsidTr="00C51A8A">
        <w:tc>
          <w:tcPr>
            <w:tcW w:w="4585" w:type="dxa"/>
          </w:tcPr>
          <w:p w14:paraId="48D42D81" w14:textId="77777777" w:rsidR="00FC788E" w:rsidRPr="005F4066" w:rsidRDefault="00FC788E" w:rsidP="007F66BA">
            <w:pPr>
              <w:spacing w:before="120" w:after="120"/>
            </w:pPr>
            <w:r w:rsidRPr="005F4066">
              <w:t>Initial antifungal echinocandin</w:t>
            </w:r>
            <w:r>
              <w:rPr>
                <w:rFonts w:ascii="Times" w:hAnsi="Times"/>
              </w:rPr>
              <w:t>, No./Total (%)</w:t>
            </w:r>
          </w:p>
        </w:tc>
        <w:tc>
          <w:tcPr>
            <w:tcW w:w="1890" w:type="dxa"/>
          </w:tcPr>
          <w:p w14:paraId="0EE29724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51</w:t>
            </w:r>
            <w:r>
              <w:t>/77</w:t>
            </w:r>
            <w:r w:rsidRPr="005F4066">
              <w:t xml:space="preserve"> (66.2)</w:t>
            </w:r>
          </w:p>
        </w:tc>
        <w:tc>
          <w:tcPr>
            <w:tcW w:w="1890" w:type="dxa"/>
          </w:tcPr>
          <w:p w14:paraId="25CCFB6C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10</w:t>
            </w:r>
            <w:r>
              <w:t>/15</w:t>
            </w:r>
            <w:r w:rsidRPr="005F4066">
              <w:t xml:space="preserve"> (66.7)</w:t>
            </w:r>
          </w:p>
        </w:tc>
        <w:tc>
          <w:tcPr>
            <w:tcW w:w="990" w:type="dxa"/>
            <w:vMerge w:val="restart"/>
          </w:tcPr>
          <w:p w14:paraId="43D632AE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1.00</w:t>
            </w:r>
          </w:p>
        </w:tc>
      </w:tr>
      <w:tr w:rsidR="00FC788E" w:rsidRPr="005F4066" w14:paraId="0156E6FC" w14:textId="77777777" w:rsidTr="00C51A8A">
        <w:tc>
          <w:tcPr>
            <w:tcW w:w="4585" w:type="dxa"/>
          </w:tcPr>
          <w:p w14:paraId="71CBD2A9" w14:textId="77777777" w:rsidR="00FC788E" w:rsidRPr="005F4066" w:rsidRDefault="00FC788E" w:rsidP="007F66BA">
            <w:pPr>
              <w:spacing w:before="120" w:after="120"/>
            </w:pPr>
            <w:r w:rsidRPr="005F4066">
              <w:t>Initial antifungal fluconazole</w:t>
            </w:r>
            <w:r>
              <w:rPr>
                <w:rFonts w:ascii="Times" w:hAnsi="Times"/>
              </w:rPr>
              <w:t>, No./Total (%)</w:t>
            </w:r>
          </w:p>
        </w:tc>
        <w:tc>
          <w:tcPr>
            <w:tcW w:w="1890" w:type="dxa"/>
          </w:tcPr>
          <w:p w14:paraId="335D9D60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2</w:t>
            </w:r>
            <w:r>
              <w:t>6/77</w:t>
            </w:r>
            <w:r w:rsidRPr="005F4066">
              <w:t xml:space="preserve"> (3</w:t>
            </w:r>
            <w:r>
              <w:t>3.8</w:t>
            </w:r>
            <w:r w:rsidRPr="005F4066">
              <w:t>)</w:t>
            </w:r>
          </w:p>
        </w:tc>
        <w:tc>
          <w:tcPr>
            <w:tcW w:w="1890" w:type="dxa"/>
          </w:tcPr>
          <w:p w14:paraId="296B28A5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5</w:t>
            </w:r>
            <w:r>
              <w:t>/15</w:t>
            </w:r>
            <w:r w:rsidRPr="005F4066">
              <w:t xml:space="preserve"> (33.3)</w:t>
            </w:r>
          </w:p>
        </w:tc>
        <w:tc>
          <w:tcPr>
            <w:tcW w:w="990" w:type="dxa"/>
            <w:vMerge/>
          </w:tcPr>
          <w:p w14:paraId="0F030156" w14:textId="77777777" w:rsidR="00FC788E" w:rsidRPr="005F4066" w:rsidRDefault="00FC788E" w:rsidP="007F66BA">
            <w:pPr>
              <w:spacing w:before="120" w:after="120"/>
              <w:jc w:val="center"/>
            </w:pPr>
          </w:p>
        </w:tc>
      </w:tr>
      <w:tr w:rsidR="00FC788E" w:rsidRPr="005F4066" w14:paraId="05A0654F" w14:textId="77777777" w:rsidTr="00C51A8A">
        <w:tc>
          <w:tcPr>
            <w:tcW w:w="4585" w:type="dxa"/>
          </w:tcPr>
          <w:p w14:paraId="7DE8017F" w14:textId="77777777" w:rsidR="00FC788E" w:rsidRPr="005F4066" w:rsidRDefault="00FC788E" w:rsidP="007F66BA">
            <w:pPr>
              <w:spacing w:before="120" w:after="120"/>
            </w:pPr>
            <w:r w:rsidRPr="005F4066">
              <w:t>Initial antifungal susceptible</w:t>
            </w:r>
            <w:r>
              <w:rPr>
                <w:rFonts w:ascii="Times" w:hAnsi="Times"/>
              </w:rPr>
              <w:t>, No./Total (%)</w:t>
            </w:r>
            <w:r w:rsidRPr="00441713">
              <w:rPr>
                <w:vertAlign w:val="superscript"/>
              </w:rPr>
              <w:t>†</w:t>
            </w:r>
          </w:p>
        </w:tc>
        <w:tc>
          <w:tcPr>
            <w:tcW w:w="1890" w:type="dxa"/>
          </w:tcPr>
          <w:p w14:paraId="488E6EEE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72/76 (94.7)</w:t>
            </w:r>
          </w:p>
        </w:tc>
        <w:tc>
          <w:tcPr>
            <w:tcW w:w="1890" w:type="dxa"/>
          </w:tcPr>
          <w:p w14:paraId="1B428757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12/15 (80)</w:t>
            </w:r>
          </w:p>
        </w:tc>
        <w:tc>
          <w:tcPr>
            <w:tcW w:w="990" w:type="dxa"/>
          </w:tcPr>
          <w:p w14:paraId="624ED724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0.09</w:t>
            </w:r>
          </w:p>
        </w:tc>
      </w:tr>
      <w:tr w:rsidR="00FC788E" w:rsidRPr="005F4066" w14:paraId="088FEB3D" w14:textId="77777777" w:rsidTr="00C51A8A">
        <w:tc>
          <w:tcPr>
            <w:tcW w:w="4585" w:type="dxa"/>
          </w:tcPr>
          <w:p w14:paraId="755B4A62" w14:textId="77777777" w:rsidR="00FC788E" w:rsidRPr="005F4066" w:rsidRDefault="00FC788E" w:rsidP="007F66BA">
            <w:pPr>
              <w:spacing w:before="120" w:after="120"/>
            </w:pPr>
            <w:r>
              <w:rPr>
                <w:rFonts w:ascii="Times" w:hAnsi="Times"/>
              </w:rPr>
              <w:t>Fluconazole stepdown performed, No./Total (%)</w:t>
            </w:r>
            <w:r w:rsidRPr="00441713">
              <w:rPr>
                <w:vertAlign w:val="superscript"/>
              </w:rPr>
              <w:t>‡</w:t>
            </w:r>
          </w:p>
        </w:tc>
        <w:tc>
          <w:tcPr>
            <w:tcW w:w="1890" w:type="dxa"/>
          </w:tcPr>
          <w:p w14:paraId="4A4184C4" w14:textId="77777777" w:rsidR="00FC788E" w:rsidRDefault="00FC788E" w:rsidP="007F66BA">
            <w:pPr>
              <w:spacing w:before="120" w:after="120"/>
              <w:jc w:val="center"/>
            </w:pPr>
            <w:r>
              <w:rPr>
                <w:rFonts w:ascii="Times" w:hAnsi="Times"/>
              </w:rPr>
              <w:t>31/51 (60.8)</w:t>
            </w:r>
          </w:p>
        </w:tc>
        <w:tc>
          <w:tcPr>
            <w:tcW w:w="1890" w:type="dxa"/>
          </w:tcPr>
          <w:p w14:paraId="4E8F3416" w14:textId="77777777" w:rsidR="00FC788E" w:rsidRDefault="00FC788E" w:rsidP="007F66BA">
            <w:pPr>
              <w:spacing w:before="120" w:after="120"/>
              <w:jc w:val="center"/>
            </w:pPr>
            <w:r>
              <w:t>6/10 (60)</w:t>
            </w:r>
          </w:p>
        </w:tc>
        <w:tc>
          <w:tcPr>
            <w:tcW w:w="990" w:type="dxa"/>
          </w:tcPr>
          <w:p w14:paraId="66CE0482" w14:textId="77777777" w:rsidR="00FC788E" w:rsidRDefault="00FC788E" w:rsidP="007F66BA">
            <w:pPr>
              <w:spacing w:before="120" w:after="120"/>
              <w:jc w:val="center"/>
            </w:pPr>
            <w:r>
              <w:t>1.00</w:t>
            </w:r>
          </w:p>
        </w:tc>
      </w:tr>
      <w:tr w:rsidR="00FC788E" w:rsidRPr="005F4066" w14:paraId="52D6C314" w14:textId="77777777" w:rsidTr="00C51A8A">
        <w:tc>
          <w:tcPr>
            <w:tcW w:w="4585" w:type="dxa"/>
          </w:tcPr>
          <w:p w14:paraId="144027E1" w14:textId="77777777" w:rsidR="00FC788E" w:rsidRPr="005F4066" w:rsidRDefault="00FC788E" w:rsidP="007F66BA">
            <w:pPr>
              <w:spacing w:before="120" w:after="120"/>
            </w:pPr>
            <w:r w:rsidRPr="005F4066">
              <w:t>CVC</w:t>
            </w:r>
            <w:r>
              <w:t xml:space="preserve"> Present</w:t>
            </w:r>
            <w:r w:rsidRPr="005F4066">
              <w:t xml:space="preserve"> EQUAL Candida Score</w:t>
            </w:r>
            <w:r>
              <w:t>, points, median (IQR)</w:t>
            </w:r>
          </w:p>
        </w:tc>
        <w:tc>
          <w:tcPr>
            <w:tcW w:w="1890" w:type="dxa"/>
          </w:tcPr>
          <w:p w14:paraId="7C46965C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1</w:t>
            </w:r>
            <w:r>
              <w:t>6 (14-17)</w:t>
            </w:r>
            <w:r w:rsidRPr="005F4066">
              <w:t xml:space="preserve"> (n=54)</w:t>
            </w:r>
          </w:p>
        </w:tc>
        <w:tc>
          <w:tcPr>
            <w:tcW w:w="1890" w:type="dxa"/>
          </w:tcPr>
          <w:p w14:paraId="3B034D65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13.</w:t>
            </w:r>
            <w:r>
              <w:t>5 (11-16.5)</w:t>
            </w:r>
            <w:r w:rsidRPr="005F4066">
              <w:t xml:space="preserve"> (n=12)</w:t>
            </w:r>
          </w:p>
        </w:tc>
        <w:tc>
          <w:tcPr>
            <w:tcW w:w="990" w:type="dxa"/>
          </w:tcPr>
          <w:p w14:paraId="08BCECD8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0.10</w:t>
            </w:r>
          </w:p>
        </w:tc>
      </w:tr>
      <w:tr w:rsidR="00FC788E" w:rsidRPr="005F4066" w14:paraId="380670C3" w14:textId="77777777" w:rsidTr="00C51A8A">
        <w:tc>
          <w:tcPr>
            <w:tcW w:w="4585" w:type="dxa"/>
          </w:tcPr>
          <w:p w14:paraId="1406C157" w14:textId="77777777" w:rsidR="00FC788E" w:rsidRPr="005F4066" w:rsidRDefault="00FC788E" w:rsidP="007F66BA">
            <w:pPr>
              <w:spacing w:before="120" w:after="120"/>
            </w:pPr>
            <w:r w:rsidRPr="005F4066">
              <w:t>No CVC EQUAL Candida Score</w:t>
            </w:r>
            <w:r>
              <w:t>, points, median (IQR)</w:t>
            </w:r>
          </w:p>
        </w:tc>
        <w:tc>
          <w:tcPr>
            <w:tcW w:w="1890" w:type="dxa"/>
          </w:tcPr>
          <w:p w14:paraId="6233EFBC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12</w:t>
            </w:r>
            <w:r>
              <w:t xml:space="preserve"> (10-15)</w:t>
            </w:r>
            <w:r w:rsidRPr="005F4066">
              <w:t xml:space="preserve"> (n=23)</w:t>
            </w:r>
          </w:p>
        </w:tc>
        <w:tc>
          <w:tcPr>
            <w:tcW w:w="1890" w:type="dxa"/>
          </w:tcPr>
          <w:p w14:paraId="7D80E3EC" w14:textId="77777777" w:rsidR="00FC788E" w:rsidRPr="005F4066" w:rsidRDefault="00FC788E" w:rsidP="007F66BA">
            <w:pPr>
              <w:spacing w:before="120" w:after="120"/>
              <w:jc w:val="center"/>
            </w:pPr>
            <w:r w:rsidRPr="005F4066">
              <w:t>12</w:t>
            </w:r>
            <w:r>
              <w:t xml:space="preserve"> (11-14)</w:t>
            </w:r>
            <w:r w:rsidRPr="005F4066">
              <w:t xml:space="preserve"> (n=3)</w:t>
            </w:r>
          </w:p>
        </w:tc>
        <w:tc>
          <w:tcPr>
            <w:tcW w:w="990" w:type="dxa"/>
          </w:tcPr>
          <w:p w14:paraId="54B4D2C3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0.9</w:t>
            </w:r>
          </w:p>
        </w:tc>
      </w:tr>
      <w:tr w:rsidR="00FC788E" w:rsidRPr="005F4066" w14:paraId="5EA1AC05" w14:textId="77777777" w:rsidTr="00C51A8A">
        <w:tc>
          <w:tcPr>
            <w:tcW w:w="4585" w:type="dxa"/>
          </w:tcPr>
          <w:p w14:paraId="6A20AE39" w14:textId="77777777" w:rsidR="00FC788E" w:rsidRPr="005F4066" w:rsidRDefault="00FC788E" w:rsidP="007F66BA">
            <w:pPr>
              <w:spacing w:before="120" w:after="120"/>
            </w:pPr>
            <w:r w:rsidRPr="005F4066">
              <w:t>ASP Recommended IDC</w:t>
            </w:r>
            <w:r>
              <w:rPr>
                <w:rFonts w:ascii="Times" w:hAnsi="Times"/>
              </w:rPr>
              <w:t>, No./Total (%)</w:t>
            </w:r>
          </w:p>
        </w:tc>
        <w:tc>
          <w:tcPr>
            <w:tcW w:w="1890" w:type="dxa"/>
          </w:tcPr>
          <w:p w14:paraId="02C8A231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7/77 (9.1)</w:t>
            </w:r>
          </w:p>
        </w:tc>
        <w:tc>
          <w:tcPr>
            <w:tcW w:w="1890" w:type="dxa"/>
          </w:tcPr>
          <w:p w14:paraId="6602F157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1/15 (6.7)</w:t>
            </w:r>
          </w:p>
        </w:tc>
        <w:tc>
          <w:tcPr>
            <w:tcW w:w="990" w:type="dxa"/>
          </w:tcPr>
          <w:p w14:paraId="19F171A6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1.00</w:t>
            </w:r>
          </w:p>
        </w:tc>
      </w:tr>
      <w:tr w:rsidR="00FC788E" w:rsidRPr="005F4066" w14:paraId="15352BE4" w14:textId="77777777" w:rsidTr="00C51A8A">
        <w:tc>
          <w:tcPr>
            <w:tcW w:w="4585" w:type="dxa"/>
          </w:tcPr>
          <w:p w14:paraId="7B5116ED" w14:textId="77777777" w:rsidR="00FC788E" w:rsidRPr="005F4066" w:rsidRDefault="00FC788E" w:rsidP="007F66BA">
            <w:pPr>
              <w:spacing w:before="120" w:after="120"/>
            </w:pPr>
            <w:r w:rsidRPr="005F4066">
              <w:t>ASP Recommended Therapy Change</w:t>
            </w:r>
            <w:r>
              <w:rPr>
                <w:rFonts w:ascii="Times" w:hAnsi="Times"/>
              </w:rPr>
              <w:t>, No./Total (%)</w:t>
            </w:r>
          </w:p>
        </w:tc>
        <w:tc>
          <w:tcPr>
            <w:tcW w:w="1890" w:type="dxa"/>
          </w:tcPr>
          <w:p w14:paraId="70E97D80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13/77 (16.9)</w:t>
            </w:r>
          </w:p>
        </w:tc>
        <w:tc>
          <w:tcPr>
            <w:tcW w:w="1890" w:type="dxa"/>
          </w:tcPr>
          <w:p w14:paraId="48809DFF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4/15 (26.7)</w:t>
            </w:r>
          </w:p>
        </w:tc>
        <w:tc>
          <w:tcPr>
            <w:tcW w:w="990" w:type="dxa"/>
          </w:tcPr>
          <w:p w14:paraId="093A1B47" w14:textId="77777777" w:rsidR="00FC788E" w:rsidRPr="005F4066" w:rsidRDefault="00FC788E" w:rsidP="007F66BA">
            <w:pPr>
              <w:spacing w:before="120" w:after="120"/>
              <w:jc w:val="center"/>
            </w:pPr>
            <w:r>
              <w:t>0.47</w:t>
            </w:r>
          </w:p>
        </w:tc>
      </w:tr>
    </w:tbl>
    <w:p w14:paraId="33E18D0A" w14:textId="09FCF3F8" w:rsidR="00FC788E" w:rsidRPr="005F4066" w:rsidRDefault="00FC788E" w:rsidP="00FC788E">
      <w:pPr>
        <w:spacing w:line="480" w:lineRule="auto"/>
      </w:pPr>
      <w:r w:rsidRPr="005F4066">
        <w:t xml:space="preserve">Abbreviations. </w:t>
      </w:r>
      <w:r>
        <w:t xml:space="preserve">IDC: infectious diseases consultation, </w:t>
      </w:r>
      <w:r w:rsidR="00AC273B">
        <w:t>No.: num</w:t>
      </w:r>
      <w:r w:rsidR="00437CEA">
        <w:t xml:space="preserve">ber, </w:t>
      </w:r>
      <w:r>
        <w:t xml:space="preserve">IQR: interquartile range, </w:t>
      </w:r>
      <w:r w:rsidRPr="005F4066">
        <w:t>CVC: central venous catheter</w:t>
      </w:r>
      <w:r>
        <w:t xml:space="preserve">, </w:t>
      </w:r>
      <w:r w:rsidR="00FB782C">
        <w:t>B</w:t>
      </w:r>
      <w:r w:rsidR="004C6273">
        <w:t>Cx</w:t>
      </w:r>
      <w:r>
        <w:t xml:space="preserve">: </w:t>
      </w:r>
      <w:r w:rsidR="00FB782C">
        <w:t>blood</w:t>
      </w:r>
      <w:r>
        <w:t xml:space="preserve"> culture, </w:t>
      </w:r>
      <w:r w:rsidRPr="005F4066">
        <w:rPr>
          <w:bCs/>
        </w:rPr>
        <w:t>EQUAL:</w:t>
      </w:r>
      <w:r>
        <w:rPr>
          <w:bCs/>
        </w:rPr>
        <w:t xml:space="preserve"> </w:t>
      </w:r>
      <w:r w:rsidRPr="005F4066">
        <w:t>European Confederation of Clinical Mycology QUALity of Clinical Candidemia Management</w:t>
      </w:r>
      <w:r>
        <w:t>, ASP: antimicrobial stewardship program</w:t>
      </w:r>
    </w:p>
    <w:p w14:paraId="6EEC8FD9" w14:textId="77777777" w:rsidR="00FC788E" w:rsidRPr="00CA6852" w:rsidRDefault="00FC788E" w:rsidP="00FC788E">
      <w:pPr>
        <w:spacing w:line="480" w:lineRule="auto"/>
      </w:pPr>
      <w:r w:rsidRPr="005F4066">
        <w:t>*n=8</w:t>
      </w:r>
      <w:r>
        <w:t>5</w:t>
      </w:r>
      <w:r w:rsidRPr="005F4066">
        <w:t xml:space="preserve"> due to 3 excluded patients who survived hospitalization but could not confirm 30-day survival</w:t>
      </w:r>
    </w:p>
    <w:p w14:paraId="04576229" w14:textId="77777777" w:rsidR="00FC788E" w:rsidRDefault="00FC788E" w:rsidP="00FC788E">
      <w:pPr>
        <w:spacing w:line="480" w:lineRule="auto"/>
      </w:pPr>
      <w:r w:rsidRPr="00441713">
        <w:rPr>
          <w:vertAlign w:val="superscript"/>
        </w:rPr>
        <w:t>†</w:t>
      </w:r>
      <w:r>
        <w:t>One patient received empiric voriconazole, for which minimum inhibitory concentrations are provided, but susceptibility interpretation is not provided in our lab</w:t>
      </w:r>
    </w:p>
    <w:p w14:paraId="275D68C8" w14:textId="77777777" w:rsidR="00FC788E" w:rsidRPr="005F4066" w:rsidRDefault="00FC788E" w:rsidP="00FC788E">
      <w:pPr>
        <w:spacing w:line="480" w:lineRule="auto"/>
      </w:pPr>
      <w:r w:rsidRPr="00441713">
        <w:rPr>
          <w:vertAlign w:val="superscript"/>
        </w:rPr>
        <w:t>‡</w:t>
      </w:r>
      <w:r>
        <w:t>Only calculated if patient received empiric micafungin</w:t>
      </w:r>
    </w:p>
    <w:p w14:paraId="543ADB22" w14:textId="77777777" w:rsidR="008E3ACA" w:rsidRDefault="008E3ACA">
      <w:pPr>
        <w:spacing w:after="160" w:line="259" w:lineRule="auto"/>
        <w:rPr>
          <w:rFonts w:eastAsiaTheme="majorEastAsia" w:cstheme="majorBidi"/>
          <w:b/>
          <w:color w:val="000000" w:themeColor="text1"/>
          <w:szCs w:val="32"/>
          <w:u w:val="single"/>
        </w:rPr>
      </w:pPr>
      <w:r>
        <w:br w:type="page"/>
      </w:r>
    </w:p>
    <w:p w14:paraId="7CE15944" w14:textId="02FA37C9" w:rsidR="000E23EA" w:rsidRDefault="00A320E2" w:rsidP="000E23EA">
      <w:pPr>
        <w:pStyle w:val="Heading1"/>
      </w:pPr>
      <w:r>
        <w:t>Supplemental References</w:t>
      </w:r>
    </w:p>
    <w:p w14:paraId="289D6F44" w14:textId="77777777" w:rsidR="00F0711E" w:rsidRPr="00F0711E" w:rsidRDefault="000E23EA" w:rsidP="00F0711E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0711E" w:rsidRPr="00F0711E">
        <w:rPr>
          <w:b/>
        </w:rPr>
        <w:t>1.</w:t>
      </w:r>
      <w:r w:rsidR="00F0711E" w:rsidRPr="00F0711E">
        <w:tab/>
        <w:t xml:space="preserve">Mellinghoff SC, Hoenigl M, Koehler P, et al. EQUAL Candida Score: An ECMM score derived from current guidelines to measure QUAlity of Clinical Candidaemia Management. </w:t>
      </w:r>
      <w:r w:rsidR="00F0711E" w:rsidRPr="00F0711E">
        <w:rPr>
          <w:i/>
        </w:rPr>
        <w:t xml:space="preserve">Mycoses </w:t>
      </w:r>
      <w:r w:rsidR="00F0711E" w:rsidRPr="00F0711E">
        <w:t>2018;61:326-330.</w:t>
      </w:r>
    </w:p>
    <w:p w14:paraId="04BF1AFF" w14:textId="77777777" w:rsidR="00F0711E" w:rsidRPr="00F0711E" w:rsidRDefault="00F0711E" w:rsidP="00F0711E">
      <w:pPr>
        <w:pStyle w:val="EndNoteBibliography"/>
      </w:pPr>
      <w:r w:rsidRPr="00F0711E">
        <w:rPr>
          <w:b/>
        </w:rPr>
        <w:t>2.</w:t>
      </w:r>
      <w:r w:rsidRPr="00F0711E">
        <w:tab/>
        <w:t xml:space="preserve">Bal AM. European confederation of medical mycology quality of clinical candidaemia management score: A review of the points based best practice recommendations. </w:t>
      </w:r>
      <w:r w:rsidRPr="00F0711E">
        <w:rPr>
          <w:i/>
        </w:rPr>
        <w:t xml:space="preserve">Mycoses </w:t>
      </w:r>
      <w:r w:rsidRPr="00F0711E">
        <w:t>2021;64:123-131.</w:t>
      </w:r>
    </w:p>
    <w:p w14:paraId="040497D4" w14:textId="77777777" w:rsidR="00F0711E" w:rsidRPr="00F0711E" w:rsidRDefault="00F0711E" w:rsidP="00F0711E">
      <w:pPr>
        <w:pStyle w:val="EndNoteBibliography"/>
      </w:pPr>
      <w:r w:rsidRPr="00F0711E">
        <w:rPr>
          <w:b/>
        </w:rPr>
        <w:t>3.</w:t>
      </w:r>
      <w:r w:rsidRPr="00F0711E">
        <w:tab/>
        <w:t xml:space="preserve">Nemer S, Imtiaz T, Varikkara M, Collier A, Bal AM. Management of candidaemia with reference to the European confederation of medical mycology quality indicators. </w:t>
      </w:r>
      <w:r w:rsidRPr="00F0711E">
        <w:rPr>
          <w:i/>
        </w:rPr>
        <w:t xml:space="preserve">Infect Dis (Lond) </w:t>
      </w:r>
      <w:r w:rsidRPr="00F0711E">
        <w:t>2019;51:527-533.</w:t>
      </w:r>
    </w:p>
    <w:p w14:paraId="353C1FB0" w14:textId="77777777" w:rsidR="00F0711E" w:rsidRPr="00F0711E" w:rsidRDefault="00F0711E" w:rsidP="00F0711E">
      <w:pPr>
        <w:pStyle w:val="EndNoteBibliography"/>
      </w:pPr>
      <w:r w:rsidRPr="00F0711E">
        <w:rPr>
          <w:b/>
        </w:rPr>
        <w:t>4.</w:t>
      </w:r>
      <w:r w:rsidRPr="00F0711E">
        <w:tab/>
        <w:t xml:space="preserve">Pappas PG, Kauffman CA, Andes DR, et al. Clinical Practice Guideline for the Management of Candidiasis: 2016 Update by the Infectious Diseases Society of America. </w:t>
      </w:r>
      <w:r w:rsidRPr="00F0711E">
        <w:rPr>
          <w:i/>
        </w:rPr>
        <w:t xml:space="preserve">Clinical Infectious Diseases </w:t>
      </w:r>
      <w:r w:rsidRPr="00F0711E">
        <w:t>2016;62:e1-e50.</w:t>
      </w:r>
    </w:p>
    <w:p w14:paraId="19FFD6B6" w14:textId="4607D325" w:rsidR="00D01BE2" w:rsidRPr="00D01BE2" w:rsidRDefault="000E23EA" w:rsidP="00D01BE2">
      <w:r>
        <w:fldChar w:fldCharType="end"/>
      </w:r>
    </w:p>
    <w:sectPr w:rsidR="00D01BE2" w:rsidRPr="00D01BE2" w:rsidSect="005C6644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Njc3NjQyNTY3MTBW0lEKTi0uzszPAykwrgUAyna2s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fection Control &amp;amp; Hospital Epidemiology (ICHE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2zsz0060revkeatwtp9rt85p0zre0xz0s2&quot;&gt;EndNote Library&lt;record-ids&gt;&lt;item&gt;75&lt;/item&gt;&lt;item&gt;76&lt;/item&gt;&lt;item&gt;82&lt;/item&gt;&lt;item&gt;86&lt;/item&gt;&lt;/record-ids&gt;&lt;/item&gt;&lt;/Libraries&gt;"/>
  </w:docVars>
  <w:rsids>
    <w:rsidRoot w:val="00FC788E"/>
    <w:rsid w:val="00011C1C"/>
    <w:rsid w:val="00016338"/>
    <w:rsid w:val="000A1344"/>
    <w:rsid w:val="000D03C2"/>
    <w:rsid w:val="000E23EA"/>
    <w:rsid w:val="000F24F7"/>
    <w:rsid w:val="00175D04"/>
    <w:rsid w:val="00191DCC"/>
    <w:rsid w:val="002147B4"/>
    <w:rsid w:val="002416BD"/>
    <w:rsid w:val="002C0C6D"/>
    <w:rsid w:val="00322DC8"/>
    <w:rsid w:val="003B0774"/>
    <w:rsid w:val="003D4330"/>
    <w:rsid w:val="003E0EC3"/>
    <w:rsid w:val="003F6EA5"/>
    <w:rsid w:val="00433107"/>
    <w:rsid w:val="00437CEA"/>
    <w:rsid w:val="004725CB"/>
    <w:rsid w:val="00496BC5"/>
    <w:rsid w:val="004C6273"/>
    <w:rsid w:val="005657FE"/>
    <w:rsid w:val="005C6644"/>
    <w:rsid w:val="006A669C"/>
    <w:rsid w:val="00774A96"/>
    <w:rsid w:val="007C1A26"/>
    <w:rsid w:val="007D2B96"/>
    <w:rsid w:val="007D46BA"/>
    <w:rsid w:val="007E24F9"/>
    <w:rsid w:val="007F4512"/>
    <w:rsid w:val="007F66BA"/>
    <w:rsid w:val="008A1CAF"/>
    <w:rsid w:val="008E3ACA"/>
    <w:rsid w:val="00901D6F"/>
    <w:rsid w:val="00926757"/>
    <w:rsid w:val="00945276"/>
    <w:rsid w:val="009601EE"/>
    <w:rsid w:val="00985ABC"/>
    <w:rsid w:val="00A320E2"/>
    <w:rsid w:val="00A53FBB"/>
    <w:rsid w:val="00A7367E"/>
    <w:rsid w:val="00AC273B"/>
    <w:rsid w:val="00AE1D33"/>
    <w:rsid w:val="00B57235"/>
    <w:rsid w:val="00B669A0"/>
    <w:rsid w:val="00B871B8"/>
    <w:rsid w:val="00C51A8A"/>
    <w:rsid w:val="00D01BE2"/>
    <w:rsid w:val="00D81A8E"/>
    <w:rsid w:val="00D8753E"/>
    <w:rsid w:val="00E6480D"/>
    <w:rsid w:val="00E7784E"/>
    <w:rsid w:val="00EF1A75"/>
    <w:rsid w:val="00F0711E"/>
    <w:rsid w:val="00F70B7F"/>
    <w:rsid w:val="00FA4EEA"/>
    <w:rsid w:val="00FB1664"/>
    <w:rsid w:val="00FB782C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B781"/>
  <w15:chartTrackingRefBased/>
  <w15:docId w15:val="{1E6593D1-D8BA-4058-8FE0-57B36F1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88E"/>
    <w:pPr>
      <w:keepNext/>
      <w:keepLines/>
      <w:spacing w:before="240" w:line="480" w:lineRule="auto"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88E"/>
    <w:rPr>
      <w:rFonts w:ascii="Times New Roman" w:eastAsiaTheme="majorEastAsia" w:hAnsi="Times New Roman" w:cstheme="majorBidi"/>
      <w:b/>
      <w:color w:val="000000" w:themeColor="text1"/>
      <w:sz w:val="24"/>
      <w:szCs w:val="32"/>
      <w:u w:val="single"/>
    </w:rPr>
  </w:style>
  <w:style w:type="table" w:styleId="TableGrid">
    <w:name w:val="Table Grid"/>
    <w:basedOn w:val="TableNormal"/>
    <w:uiPriority w:val="39"/>
    <w:rsid w:val="00FC78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7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7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A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26757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0E23E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23EA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E23E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E23EA"/>
    <w:rPr>
      <w:rFonts w:ascii="Times New Roman" w:eastAsia="Times New Roman" w:hAnsi="Times New Roman"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C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F8D4-D1CD-4CEC-9343-D5CABDEB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1422</Words>
  <Characters>8107</Characters>
  <Application>Microsoft Office Word</Application>
  <DocSecurity>4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Jonathan H</dc:creator>
  <cp:keywords/>
  <dc:description/>
  <cp:lastModifiedBy>Ryder, Jonathan H</cp:lastModifiedBy>
  <cp:revision>4</cp:revision>
  <dcterms:created xsi:type="dcterms:W3CDTF">2022-07-27T03:03:00Z</dcterms:created>
  <dcterms:modified xsi:type="dcterms:W3CDTF">2022-07-27T19:38:00Z</dcterms:modified>
</cp:coreProperties>
</file>