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C2DD1" w14:textId="77777777" w:rsidR="0030366E" w:rsidRDefault="0030366E" w:rsidP="0030366E">
      <w:pPr>
        <w:pStyle w:val="Brdtekst"/>
        <w:rPr>
          <w:b/>
          <w:bCs/>
          <w:lang w:val="en-GB"/>
        </w:rPr>
      </w:pPr>
      <w:r>
        <w:rPr>
          <w:b/>
          <w:bCs/>
          <w:lang w:val="en-GB"/>
        </w:rPr>
        <w:t>Appendix A: Supplementary results</w:t>
      </w:r>
    </w:p>
    <w:p w14:paraId="181661B3" w14:textId="77777777" w:rsidR="0030366E" w:rsidRPr="007F09EE" w:rsidRDefault="0030366E" w:rsidP="0030366E">
      <w:pPr>
        <w:pStyle w:val="Brdtekst"/>
        <w:spacing w:line="276" w:lineRule="auto"/>
        <w:rPr>
          <w:i/>
          <w:iCs/>
          <w:lang w:val="en-GB"/>
        </w:rPr>
      </w:pPr>
      <w:r w:rsidRPr="007F09EE">
        <w:rPr>
          <w:i/>
          <w:iCs/>
          <w:lang w:val="en-GB"/>
        </w:rPr>
        <w:t>Different definitions of secondary cases and how they affect the calculation of the household secondary attack rate.</w:t>
      </w:r>
    </w:p>
    <w:p w14:paraId="2DAEE167" w14:textId="77777777" w:rsidR="0030366E" w:rsidRDefault="0030366E" w:rsidP="0030366E">
      <w:pPr>
        <w:pStyle w:val="Brdtekst"/>
        <w:spacing w:line="276" w:lineRule="auto"/>
        <w:rPr>
          <w:lang w:val="en-GB"/>
        </w:rPr>
      </w:pPr>
      <w:r>
        <w:rPr>
          <w:lang w:val="en-GB"/>
        </w:rPr>
        <w:t xml:space="preserve">Generally, the secondary attack rate is defined as </w:t>
      </w:r>
      <w:proofErr w:type="gramStart"/>
      <w:r>
        <w:rPr>
          <w:lang w:val="en-GB"/>
        </w:rPr>
        <w:t>follows;</w:t>
      </w:r>
      <w:proofErr w:type="gramEnd"/>
    </w:p>
    <w:p w14:paraId="2909E9F0" w14:textId="77777777" w:rsidR="0030366E" w:rsidRPr="00611817" w:rsidRDefault="0030366E" w:rsidP="0030366E">
      <w:pPr>
        <w:pStyle w:val="Brdtekst"/>
        <w:spacing w:line="276" w:lineRule="auto"/>
        <w:rPr>
          <w:lang w:val="en-GB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lang w:val="en-GB"/>
            </w:rPr>
            <m:t xml:space="preserve">SAR= </m:t>
          </m:r>
          <m:f>
            <m:fPr>
              <m:ctrlPr>
                <w:rPr>
                  <w:rFonts w:ascii="Cambria Math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hAnsi="Cambria Math"/>
                  <w:lang w:val="en-GB"/>
                </w:rPr>
                <m:t>number of secondary cases</m:t>
              </m:r>
            </m:num>
            <m:den>
              <m:r>
                <w:rPr>
                  <w:rFonts w:ascii="Cambria Math" w:hAnsi="Cambria Math"/>
                  <w:lang w:val="en-GB"/>
                </w:rPr>
                <m:t>number of family members-index case(s)</m:t>
              </m:r>
            </m:den>
          </m:f>
          <m:r>
            <w:rPr>
              <w:rFonts w:ascii="Cambria Math" w:hAnsi="Cambria Math"/>
              <w:lang w:val="en-GB"/>
            </w:rPr>
            <m:t>×100</m:t>
          </m:r>
        </m:oMath>
      </m:oMathPara>
    </w:p>
    <w:p w14:paraId="7C605488" w14:textId="77777777" w:rsidR="0030366E" w:rsidRPr="007F09EE" w:rsidRDefault="0030366E" w:rsidP="0030366E">
      <w:pPr>
        <w:pStyle w:val="Brdtekst"/>
        <w:spacing w:line="276" w:lineRule="auto"/>
        <w:jc w:val="both"/>
        <w:rPr>
          <w:lang w:val="en-GB"/>
        </w:rPr>
      </w:pPr>
      <w:r>
        <w:rPr>
          <w:lang w:val="en-GB"/>
        </w:rPr>
        <w:t>In the appendix we look at alternative ways to define SAR. Specifically, we look at three definitions:</w:t>
      </w:r>
    </w:p>
    <w:p w14:paraId="1697D607" w14:textId="77777777" w:rsidR="0030366E" w:rsidRPr="00C03A6E" w:rsidRDefault="0030366E" w:rsidP="0030366E">
      <w:pPr>
        <w:pStyle w:val="Brdtekst"/>
        <w:spacing w:line="276" w:lineRule="auto"/>
        <w:jc w:val="both"/>
        <w:rPr>
          <w:u w:val="single"/>
          <w:lang w:val="en-GB"/>
        </w:rPr>
      </w:pPr>
      <w:r w:rsidRPr="00C03A6E">
        <w:rPr>
          <w:u w:val="single"/>
          <w:lang w:val="en-GB"/>
        </w:rPr>
        <w:t>SAR14</w:t>
      </w:r>
    </w:p>
    <w:p w14:paraId="59FA7E51" w14:textId="77777777" w:rsidR="0030366E" w:rsidRPr="004A75B4" w:rsidRDefault="0030366E" w:rsidP="0030366E">
      <w:pPr>
        <w:pStyle w:val="Brdtekst"/>
        <w:spacing w:line="276" w:lineRule="auto"/>
        <w:jc w:val="both"/>
        <w:rPr>
          <w:lang w:val="en-GB"/>
        </w:rPr>
      </w:pPr>
      <w:r w:rsidRPr="004A75B4">
        <w:rPr>
          <w:lang w:val="en-GB"/>
        </w:rPr>
        <w:t>This is the definition used in the main text.</w:t>
      </w:r>
    </w:p>
    <w:p w14:paraId="79CCD6F8" w14:textId="77777777" w:rsidR="0030366E" w:rsidRDefault="0030366E" w:rsidP="0030366E">
      <w:pPr>
        <w:pStyle w:val="Brdtekst"/>
        <w:numPr>
          <w:ilvl w:val="0"/>
          <w:numId w:val="1"/>
        </w:numPr>
        <w:spacing w:line="276" w:lineRule="auto"/>
        <w:rPr>
          <w:lang w:val="en-GB"/>
        </w:rPr>
      </w:pPr>
      <w:r>
        <w:rPr>
          <w:lang w:val="en-GB"/>
        </w:rPr>
        <w:t>Index cases: The first person(s) to test positive based on date of sample collection.</w:t>
      </w:r>
    </w:p>
    <w:p w14:paraId="425FD75D" w14:textId="77777777" w:rsidR="0030366E" w:rsidRDefault="0030366E" w:rsidP="0030366E">
      <w:pPr>
        <w:pStyle w:val="Brdtekst"/>
        <w:numPr>
          <w:ilvl w:val="0"/>
          <w:numId w:val="1"/>
        </w:numPr>
        <w:spacing w:line="276" w:lineRule="auto"/>
        <w:rPr>
          <w:lang w:val="en-GB"/>
        </w:rPr>
      </w:pPr>
      <w:r>
        <w:rPr>
          <w:lang w:val="en-GB"/>
        </w:rPr>
        <w:t>Numerator:</w:t>
      </w:r>
      <w:r w:rsidRPr="00097459">
        <w:rPr>
          <w:lang w:val="en-GB"/>
        </w:rPr>
        <w:t xml:space="preserve"> </w:t>
      </w:r>
      <w:r>
        <w:rPr>
          <w:lang w:val="en-GB"/>
        </w:rPr>
        <w:t>A</w:t>
      </w:r>
      <w:r w:rsidRPr="00097459">
        <w:rPr>
          <w:lang w:val="en-GB"/>
        </w:rPr>
        <w:t xml:space="preserve">ll non-index </w:t>
      </w:r>
      <w:r>
        <w:rPr>
          <w:lang w:val="en-GB"/>
        </w:rPr>
        <w:t>household</w:t>
      </w:r>
      <w:r w:rsidRPr="00097459">
        <w:rPr>
          <w:lang w:val="en-GB"/>
        </w:rPr>
        <w:t xml:space="preserve"> members who tested positive by PCR within </w:t>
      </w:r>
      <w:r>
        <w:rPr>
          <w:lang w:val="en-GB"/>
        </w:rPr>
        <w:t>14</w:t>
      </w:r>
      <w:r w:rsidRPr="00097459">
        <w:rPr>
          <w:lang w:val="en-GB"/>
        </w:rPr>
        <w:t xml:space="preserve"> days after the testing date of the index case</w:t>
      </w:r>
    </w:p>
    <w:p w14:paraId="71D5DA95" w14:textId="77777777" w:rsidR="0030366E" w:rsidRDefault="0030366E" w:rsidP="0030366E">
      <w:pPr>
        <w:pStyle w:val="Brdtekst"/>
        <w:numPr>
          <w:ilvl w:val="0"/>
          <w:numId w:val="1"/>
        </w:numPr>
        <w:spacing w:line="276" w:lineRule="auto"/>
        <w:rPr>
          <w:lang w:val="en-GB"/>
        </w:rPr>
      </w:pPr>
      <w:r>
        <w:rPr>
          <w:lang w:val="en-GB"/>
        </w:rPr>
        <w:t>Denominator</w:t>
      </w:r>
      <w:r w:rsidRPr="00097459">
        <w:rPr>
          <w:lang w:val="en-GB"/>
        </w:rPr>
        <w:t>:</w:t>
      </w:r>
      <w:r>
        <w:rPr>
          <w:lang w:val="en-GB"/>
        </w:rPr>
        <w:t xml:space="preserve"> All household members excluding (1) index cases and (2) household members having tested positive previously</w:t>
      </w:r>
    </w:p>
    <w:p w14:paraId="342F7121" w14:textId="77777777" w:rsidR="0030366E" w:rsidRDefault="0030366E" w:rsidP="0030366E">
      <w:pPr>
        <w:pStyle w:val="Brdtekst"/>
        <w:spacing w:line="276" w:lineRule="auto"/>
        <w:rPr>
          <w:lang w:val="en-GB"/>
        </w:rPr>
      </w:pPr>
    </w:p>
    <w:p w14:paraId="1B13C127" w14:textId="77777777" w:rsidR="0030366E" w:rsidRPr="00C03A6E" w:rsidRDefault="0030366E" w:rsidP="0030366E">
      <w:pPr>
        <w:pStyle w:val="Brdtekst"/>
        <w:spacing w:line="276" w:lineRule="auto"/>
        <w:jc w:val="both"/>
        <w:rPr>
          <w:u w:val="single"/>
          <w:lang w:val="en-GB"/>
        </w:rPr>
      </w:pPr>
      <w:r w:rsidRPr="00C03A6E">
        <w:rPr>
          <w:u w:val="single"/>
          <w:lang w:val="en-GB"/>
        </w:rPr>
        <w:t>SAR3-10</w:t>
      </w:r>
    </w:p>
    <w:p w14:paraId="5FE5B78E" w14:textId="77777777" w:rsidR="0030366E" w:rsidRDefault="0030366E" w:rsidP="0030366E">
      <w:pPr>
        <w:pStyle w:val="Brdtekst"/>
        <w:numPr>
          <w:ilvl w:val="0"/>
          <w:numId w:val="1"/>
        </w:numPr>
        <w:spacing w:line="276" w:lineRule="auto"/>
        <w:rPr>
          <w:lang w:val="en-GB"/>
        </w:rPr>
      </w:pPr>
      <w:r>
        <w:rPr>
          <w:lang w:val="en-GB"/>
        </w:rPr>
        <w:t>Index cases: The first person(s) to test positive based on date of sample collection.</w:t>
      </w:r>
    </w:p>
    <w:p w14:paraId="0ABF99E2" w14:textId="77777777" w:rsidR="0030366E" w:rsidRDefault="0030366E" w:rsidP="0030366E">
      <w:pPr>
        <w:pStyle w:val="Brdtekst"/>
        <w:numPr>
          <w:ilvl w:val="0"/>
          <w:numId w:val="1"/>
        </w:numPr>
        <w:spacing w:line="276" w:lineRule="auto"/>
        <w:rPr>
          <w:lang w:val="en-GB"/>
        </w:rPr>
      </w:pPr>
      <w:r>
        <w:rPr>
          <w:lang w:val="en-GB"/>
        </w:rPr>
        <w:t>Numerator:</w:t>
      </w:r>
      <w:r w:rsidRPr="00097459">
        <w:rPr>
          <w:lang w:val="en-GB"/>
        </w:rPr>
        <w:t xml:space="preserve"> </w:t>
      </w:r>
      <w:r>
        <w:rPr>
          <w:lang w:val="en-GB"/>
        </w:rPr>
        <w:t>A</w:t>
      </w:r>
      <w:r w:rsidRPr="00097459">
        <w:rPr>
          <w:lang w:val="en-GB"/>
        </w:rPr>
        <w:t xml:space="preserve">ll non-index </w:t>
      </w:r>
      <w:r>
        <w:rPr>
          <w:lang w:val="en-GB"/>
        </w:rPr>
        <w:t>household</w:t>
      </w:r>
      <w:r w:rsidRPr="00097459">
        <w:rPr>
          <w:lang w:val="en-GB"/>
        </w:rPr>
        <w:t xml:space="preserve"> members who tested positive by PCR </w:t>
      </w:r>
      <w:r>
        <w:rPr>
          <w:lang w:val="en-GB"/>
        </w:rPr>
        <w:t>3–10</w:t>
      </w:r>
      <w:r w:rsidRPr="00097459">
        <w:rPr>
          <w:lang w:val="en-GB"/>
        </w:rPr>
        <w:t xml:space="preserve"> days after the testing date of the index case</w:t>
      </w:r>
    </w:p>
    <w:p w14:paraId="737F17AA" w14:textId="77777777" w:rsidR="0030366E" w:rsidRDefault="0030366E" w:rsidP="0030366E">
      <w:pPr>
        <w:pStyle w:val="Brdtekst"/>
        <w:numPr>
          <w:ilvl w:val="0"/>
          <w:numId w:val="1"/>
        </w:numPr>
        <w:spacing w:line="276" w:lineRule="auto"/>
        <w:rPr>
          <w:lang w:val="en-GB"/>
        </w:rPr>
      </w:pPr>
      <w:r>
        <w:rPr>
          <w:lang w:val="en-GB"/>
        </w:rPr>
        <w:t>Denominator</w:t>
      </w:r>
      <w:r w:rsidRPr="00097459">
        <w:rPr>
          <w:lang w:val="en-GB"/>
        </w:rPr>
        <w:t>:</w:t>
      </w:r>
      <w:r>
        <w:rPr>
          <w:lang w:val="en-GB"/>
        </w:rPr>
        <w:t xml:space="preserve"> All household members excluding (1) index cases and (2) household members having tested positive previously and (3) household members having tested positive on day 1–2 after index</w:t>
      </w:r>
    </w:p>
    <w:p w14:paraId="6DBBC72C" w14:textId="77777777" w:rsidR="0030366E" w:rsidRDefault="0030366E" w:rsidP="0030366E">
      <w:pPr>
        <w:pStyle w:val="Brdtekst"/>
        <w:spacing w:line="276" w:lineRule="auto"/>
        <w:rPr>
          <w:lang w:val="en-GB"/>
        </w:rPr>
      </w:pPr>
      <w:r>
        <w:rPr>
          <w:lang w:val="en-GB"/>
        </w:rPr>
        <w:t>This definition will have the same number of index cases as the first definition.</w:t>
      </w:r>
    </w:p>
    <w:p w14:paraId="57D4CAE9" w14:textId="77777777" w:rsidR="0030366E" w:rsidRPr="00C03A6E" w:rsidRDefault="0030366E" w:rsidP="0030366E">
      <w:pPr>
        <w:pStyle w:val="Brdtekst"/>
        <w:spacing w:line="276" w:lineRule="auto"/>
        <w:jc w:val="both"/>
        <w:rPr>
          <w:u w:val="single"/>
          <w:lang w:val="en-GB"/>
        </w:rPr>
      </w:pPr>
      <w:r w:rsidRPr="00C03A6E">
        <w:rPr>
          <w:u w:val="single"/>
          <w:lang w:val="en-GB"/>
        </w:rPr>
        <w:t>SAR3-10 strict</w:t>
      </w:r>
    </w:p>
    <w:p w14:paraId="19792417" w14:textId="77777777" w:rsidR="0030366E" w:rsidRDefault="0030366E" w:rsidP="0030366E">
      <w:pPr>
        <w:pStyle w:val="Brdtekst"/>
        <w:numPr>
          <w:ilvl w:val="0"/>
          <w:numId w:val="1"/>
        </w:numPr>
        <w:spacing w:line="276" w:lineRule="auto"/>
        <w:rPr>
          <w:lang w:val="en-GB"/>
        </w:rPr>
      </w:pPr>
      <w:r>
        <w:rPr>
          <w:lang w:val="en-GB"/>
        </w:rPr>
        <w:t>Index cases: The first person to test positive based on date of sample collection. Excluding (1) multiple indexes and (2) index cases where another household member tests positive 1-2 days after the index case</w:t>
      </w:r>
    </w:p>
    <w:p w14:paraId="576A38DB" w14:textId="77777777" w:rsidR="0030366E" w:rsidRDefault="0030366E" w:rsidP="0030366E">
      <w:pPr>
        <w:pStyle w:val="Brdtekst"/>
        <w:numPr>
          <w:ilvl w:val="0"/>
          <w:numId w:val="1"/>
        </w:numPr>
        <w:spacing w:line="276" w:lineRule="auto"/>
        <w:rPr>
          <w:lang w:val="en-GB"/>
        </w:rPr>
      </w:pPr>
      <w:r>
        <w:rPr>
          <w:lang w:val="en-GB"/>
        </w:rPr>
        <w:lastRenderedPageBreak/>
        <w:t>Numerator:</w:t>
      </w:r>
      <w:r w:rsidRPr="00097459">
        <w:rPr>
          <w:lang w:val="en-GB"/>
        </w:rPr>
        <w:t xml:space="preserve"> </w:t>
      </w:r>
      <w:r>
        <w:rPr>
          <w:lang w:val="en-GB"/>
        </w:rPr>
        <w:t>A</w:t>
      </w:r>
      <w:r w:rsidRPr="00097459">
        <w:rPr>
          <w:lang w:val="en-GB"/>
        </w:rPr>
        <w:t xml:space="preserve">ll non-index </w:t>
      </w:r>
      <w:r>
        <w:rPr>
          <w:lang w:val="en-GB"/>
        </w:rPr>
        <w:t>household</w:t>
      </w:r>
      <w:r w:rsidRPr="00097459">
        <w:rPr>
          <w:lang w:val="en-GB"/>
        </w:rPr>
        <w:t xml:space="preserve"> members who tested positive by PCR </w:t>
      </w:r>
      <w:r>
        <w:rPr>
          <w:lang w:val="en-GB"/>
        </w:rPr>
        <w:t>3–10</w:t>
      </w:r>
      <w:r w:rsidRPr="00097459">
        <w:rPr>
          <w:lang w:val="en-GB"/>
        </w:rPr>
        <w:t xml:space="preserve"> days after the testing date of the index case</w:t>
      </w:r>
    </w:p>
    <w:p w14:paraId="211413BC" w14:textId="77777777" w:rsidR="0030366E" w:rsidRDefault="0030366E" w:rsidP="0030366E">
      <w:pPr>
        <w:pStyle w:val="Brdtekst"/>
        <w:numPr>
          <w:ilvl w:val="0"/>
          <w:numId w:val="1"/>
        </w:numPr>
        <w:spacing w:line="276" w:lineRule="auto"/>
        <w:rPr>
          <w:lang w:val="en-GB"/>
        </w:rPr>
      </w:pPr>
      <w:r>
        <w:rPr>
          <w:lang w:val="en-GB"/>
        </w:rPr>
        <w:t>Denominator</w:t>
      </w:r>
      <w:r w:rsidRPr="00097459">
        <w:rPr>
          <w:lang w:val="en-GB"/>
        </w:rPr>
        <w:t>:</w:t>
      </w:r>
      <w:r>
        <w:rPr>
          <w:lang w:val="en-GB"/>
        </w:rPr>
        <w:t xml:space="preserve"> All household members excluding (1) index cases and (2) household members having tested positive previously</w:t>
      </w:r>
    </w:p>
    <w:p w14:paraId="1A45D589" w14:textId="77777777" w:rsidR="0030366E" w:rsidRDefault="0030366E" w:rsidP="0030366E">
      <w:pPr>
        <w:pStyle w:val="Brdtekst"/>
        <w:rPr>
          <w:lang w:val="en-GB"/>
        </w:rPr>
      </w:pPr>
    </w:p>
    <w:p w14:paraId="041DB221" w14:textId="77777777" w:rsidR="0030366E" w:rsidRDefault="0030366E" w:rsidP="0030366E">
      <w:pPr>
        <w:pStyle w:val="Brdtekst"/>
        <w:spacing w:after="0" w:line="240" w:lineRule="auto"/>
        <w:rPr>
          <w:lang w:val="en-GB"/>
        </w:rPr>
      </w:pPr>
      <w:r>
        <w:rPr>
          <w:lang w:val="en-GB"/>
        </w:rPr>
        <w:t>Table A1: Household secondary attack rate when the index case is a hospital worker</w:t>
      </w:r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851"/>
        <w:gridCol w:w="992"/>
        <w:gridCol w:w="1134"/>
        <w:gridCol w:w="992"/>
        <w:gridCol w:w="1276"/>
        <w:gridCol w:w="1135"/>
        <w:gridCol w:w="1325"/>
      </w:tblGrid>
      <w:tr w:rsidR="0030366E" w:rsidRPr="00736082" w14:paraId="0533F5E0" w14:textId="77777777" w:rsidTr="00053ADC">
        <w:trPr>
          <w:trHeight w:val="298"/>
        </w:trPr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4748CD" w14:textId="77777777" w:rsidR="0030366E" w:rsidRPr="00451E2C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nb-NO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C0856B" w14:textId="77777777" w:rsidR="0030366E" w:rsidRPr="00153079" w:rsidRDefault="0030366E" w:rsidP="00053ADC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153079">
              <w:rPr>
                <w:b/>
                <w:bCs/>
                <w:sz w:val="22"/>
                <w:szCs w:val="22"/>
                <w:lang w:val="en-GB"/>
              </w:rPr>
              <w:t>SAR3–10</w:t>
            </w:r>
          </w:p>
        </w:tc>
        <w:tc>
          <w:tcPr>
            <w:tcW w:w="4728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CAFC0B" w14:textId="77777777" w:rsidR="0030366E" w:rsidRPr="00153079" w:rsidRDefault="0030366E" w:rsidP="00053ADC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153079">
              <w:rPr>
                <w:b/>
                <w:bCs/>
                <w:sz w:val="22"/>
                <w:szCs w:val="22"/>
                <w:lang w:val="en-GB"/>
              </w:rPr>
              <w:t>SAR3–10 strict</w:t>
            </w:r>
          </w:p>
        </w:tc>
      </w:tr>
      <w:tr w:rsidR="0030366E" w:rsidRPr="00736082" w14:paraId="3B0CE342" w14:textId="77777777" w:rsidTr="00053ADC">
        <w:trPr>
          <w:trHeight w:val="298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C4C53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nb-NO" w:eastAsia="nb-NO"/>
              </w:rPr>
            </w:pPr>
            <w:proofErr w:type="spellStart"/>
            <w:r w:rsidRPr="00153079">
              <w:rPr>
                <w:rFonts w:eastAsia="Times New Roman"/>
                <w:b/>
                <w:bCs/>
                <w:color w:val="000000"/>
                <w:sz w:val="22"/>
                <w:szCs w:val="22"/>
                <w:lang w:val="nb-NO" w:eastAsia="nb-NO"/>
              </w:rPr>
              <w:t>Occupation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8D6B3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nb-NO" w:eastAsia="nb-NO"/>
              </w:rPr>
            </w:pPr>
            <w:r w:rsidRPr="00153079">
              <w:rPr>
                <w:b/>
                <w:bCs/>
                <w:sz w:val="22"/>
                <w:szCs w:val="22"/>
                <w:lang w:val="en-GB"/>
              </w:rPr>
              <w:t>Overall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15151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nb-NO" w:eastAsia="nb-NO"/>
              </w:rPr>
            </w:pPr>
            <w:r w:rsidRPr="00153079">
              <w:rPr>
                <w:b/>
                <w:bCs/>
                <w:sz w:val="22"/>
                <w:szCs w:val="22"/>
                <w:lang w:val="en-GB"/>
              </w:rPr>
              <w:t>Aug 2020–Dec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9646B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nb-NO" w:eastAsia="nb-NO"/>
              </w:rPr>
            </w:pPr>
            <w:r w:rsidRPr="00153079">
              <w:rPr>
                <w:b/>
                <w:bCs/>
                <w:sz w:val="22"/>
                <w:szCs w:val="22"/>
                <w:lang w:val="en-GB"/>
              </w:rPr>
              <w:t>Jan 2021–Aug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E4E77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nb-NO" w:eastAsia="nb-NO"/>
              </w:rPr>
            </w:pPr>
            <w:r w:rsidRPr="00153079">
              <w:rPr>
                <w:rFonts w:eastAsia="Times New Roman"/>
                <w:b/>
                <w:bCs/>
                <w:color w:val="000000"/>
                <w:sz w:val="22"/>
                <w:szCs w:val="22"/>
                <w:lang w:val="nb-NO" w:eastAsia="nb-NO"/>
              </w:rPr>
              <w:t xml:space="preserve">Index </w:t>
            </w:r>
            <w:proofErr w:type="gramStart"/>
            <w:r w:rsidRPr="00153079">
              <w:rPr>
                <w:rFonts w:eastAsia="Times New Roman"/>
                <w:b/>
                <w:bCs/>
                <w:color w:val="000000"/>
                <w:sz w:val="22"/>
                <w:szCs w:val="22"/>
                <w:lang w:val="nb-NO" w:eastAsia="nb-NO"/>
              </w:rPr>
              <w:t>cases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4ECCC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nb-NO" w:eastAsia="nb-NO"/>
              </w:rPr>
            </w:pPr>
            <w:r w:rsidRPr="00153079">
              <w:rPr>
                <w:b/>
                <w:bCs/>
                <w:sz w:val="22"/>
                <w:szCs w:val="22"/>
                <w:lang w:val="en-GB"/>
              </w:rPr>
              <w:t>Overall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CFF1E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nb-NO" w:eastAsia="nb-NO"/>
              </w:rPr>
            </w:pPr>
            <w:r w:rsidRPr="00153079">
              <w:rPr>
                <w:b/>
                <w:bCs/>
                <w:sz w:val="22"/>
                <w:szCs w:val="22"/>
                <w:lang w:val="en-GB"/>
              </w:rPr>
              <w:t>Aug 2020–Dec 2020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3CD6F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nb-NO" w:eastAsia="nb-NO"/>
              </w:rPr>
            </w:pPr>
            <w:r w:rsidRPr="00153079">
              <w:rPr>
                <w:b/>
                <w:bCs/>
                <w:sz w:val="22"/>
                <w:szCs w:val="22"/>
                <w:lang w:val="en-GB"/>
              </w:rPr>
              <w:t>Jan 2021–Aug 2021</w:t>
            </w:r>
          </w:p>
        </w:tc>
      </w:tr>
      <w:tr w:rsidR="0030366E" w:rsidRPr="00736082" w14:paraId="32E5B8DA" w14:textId="77777777" w:rsidTr="00053ADC">
        <w:trPr>
          <w:trHeight w:val="29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733D7" w14:textId="77777777" w:rsidR="0030366E" w:rsidRPr="00736082" w:rsidRDefault="0030366E" w:rsidP="00053AD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proofErr w:type="spellStart"/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Physicians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CA948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 xml:space="preserve">0.141 </w:t>
            </w: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br/>
              <w:t>(0.106, 0.186)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6F178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 xml:space="preserve">0.122 </w:t>
            </w: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br/>
              <w:t>(0.077, 0.189)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A58EA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 xml:space="preserve">0.157 </w:t>
            </w: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br/>
              <w:t>(0.109, 0.22)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A1FE6C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A40FD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 xml:space="preserve">0.13 </w:t>
            </w: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br/>
              <w:t>(0.093, 0.177)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BF5E4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 xml:space="preserve">0.106 </w:t>
            </w: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br/>
              <w:t>(0.06, 0.18)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4E659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 xml:space="preserve">0.147 </w:t>
            </w: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br/>
              <w:t>(0.098, 0.214)</w:t>
            </w:r>
          </w:p>
        </w:tc>
      </w:tr>
      <w:tr w:rsidR="0030366E" w:rsidRPr="00736082" w14:paraId="18249A69" w14:textId="77777777" w:rsidTr="00053ADC">
        <w:trPr>
          <w:trHeight w:val="29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158D7" w14:textId="77777777" w:rsidR="0030366E" w:rsidRPr="00736082" w:rsidRDefault="0030366E" w:rsidP="00053AD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proofErr w:type="spellStart"/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Specialist</w:t>
            </w:r>
            <w:proofErr w:type="spellEnd"/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 xml:space="preserve"> </w:t>
            </w:r>
            <w:proofErr w:type="spellStart"/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nurses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9FB30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 xml:space="preserve">0.197 </w:t>
            </w: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br/>
              <w:t>(0.151, 0.252)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61410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 xml:space="preserve">0.183 </w:t>
            </w: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br/>
              <w:t>(0.124, 0.262)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C896C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 xml:space="preserve">0.211 </w:t>
            </w: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br/>
              <w:t>(0.146, 0.294)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40C563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10F94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 xml:space="preserve">0.182 </w:t>
            </w: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br/>
              <w:t>(0.134, 0.243)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F657A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 xml:space="preserve">0.172 </w:t>
            </w: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br/>
              <w:t>(0.109, 0.261)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4C272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 xml:space="preserve">0.192 </w:t>
            </w: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br/>
              <w:t>(0.126, 0.28</w:t>
            </w:r>
            <w:r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0</w:t>
            </w: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)</w:t>
            </w:r>
          </w:p>
        </w:tc>
      </w:tr>
      <w:tr w:rsidR="0030366E" w:rsidRPr="00736082" w14:paraId="01882F16" w14:textId="77777777" w:rsidTr="00053ADC">
        <w:trPr>
          <w:trHeight w:val="29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45F86" w14:textId="77777777" w:rsidR="0030366E" w:rsidRPr="00736082" w:rsidRDefault="0030366E" w:rsidP="00053AD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proofErr w:type="spellStart"/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Nurses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1660F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 xml:space="preserve">0.121 </w:t>
            </w: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br/>
              <w:t>(0.099, 0.146)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500C6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 xml:space="preserve">0.09 </w:t>
            </w: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br/>
              <w:t>(0.063, 0.126)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B9607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 xml:space="preserve">0.145 </w:t>
            </w: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br/>
              <w:t>(0.114, 0.182)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376C2E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319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DC7D3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 xml:space="preserve">0.1 </w:t>
            </w: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br/>
              <w:t>(0.079, 0.125)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7BC72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 xml:space="preserve">0.076 </w:t>
            </w: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br/>
              <w:t>(0.051, 0.113)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5569B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 xml:space="preserve">0.119 </w:t>
            </w: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br/>
              <w:t>(0.089, 0.156)</w:t>
            </w:r>
          </w:p>
        </w:tc>
      </w:tr>
      <w:tr w:rsidR="0030366E" w:rsidRPr="00736082" w14:paraId="56B8E9B1" w14:textId="77777777" w:rsidTr="00053ADC">
        <w:trPr>
          <w:trHeight w:val="29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30A00" w14:textId="77777777" w:rsidR="0030366E" w:rsidRPr="00736082" w:rsidRDefault="0030366E" w:rsidP="00053AD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proofErr w:type="spellStart"/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Nursing</w:t>
            </w:r>
            <w:proofErr w:type="spellEnd"/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 xml:space="preserve"> Associates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385E2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 xml:space="preserve">0.083 </w:t>
            </w: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br/>
              <w:t>(0.059, 0.116)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3F2E9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 xml:space="preserve">0.124 </w:t>
            </w: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br/>
              <w:t>(0.077, 0.194)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ABD40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 xml:space="preserve">0.062 </w:t>
            </w: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br/>
              <w:t>(0.038, 0.1)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DAE33D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C94B3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 xml:space="preserve">0.061 </w:t>
            </w: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br/>
              <w:t>(0.04, 0.092)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13C1D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 xml:space="preserve">0.125 </w:t>
            </w: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br/>
              <w:t>(0.076, 0.199)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C215E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 xml:space="preserve">0.028 </w:t>
            </w: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br/>
              <w:t>(0.013, 0.059)</w:t>
            </w:r>
          </w:p>
        </w:tc>
      </w:tr>
      <w:tr w:rsidR="0030366E" w:rsidRPr="00736082" w14:paraId="6AF81F4A" w14:textId="77777777" w:rsidTr="00053ADC">
        <w:trPr>
          <w:trHeight w:val="29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9FD47" w14:textId="77777777" w:rsidR="0030366E" w:rsidRPr="00736082" w:rsidRDefault="0030366E" w:rsidP="00053AD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 xml:space="preserve">Health </w:t>
            </w:r>
            <w:proofErr w:type="spellStart"/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care</w:t>
            </w:r>
            <w:proofErr w:type="spellEnd"/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 xml:space="preserve"> </w:t>
            </w:r>
            <w:proofErr w:type="spellStart"/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assistants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63554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 xml:space="preserve">0.167 </w:t>
            </w: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br/>
              <w:t>(0.126, 0.218)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8BB9F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 xml:space="preserve">0.146 </w:t>
            </w: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br/>
              <w:t>(0.086, 0.239)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29004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 xml:space="preserve">0.176 </w:t>
            </w: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br/>
              <w:t>(0.127, 0.241)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BA758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FB627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 xml:space="preserve">0.145 </w:t>
            </w: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br/>
              <w:t>(0.103, 0.199)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BF88C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 xml:space="preserve">0.078 </w:t>
            </w: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br/>
              <w:t>(0.034, 0.17)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AC86F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 xml:space="preserve">0.175 </w:t>
            </w: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br/>
              <w:t>(0.121, 0.245)</w:t>
            </w:r>
          </w:p>
        </w:tc>
      </w:tr>
      <w:tr w:rsidR="0030366E" w:rsidRPr="00736082" w14:paraId="64961918" w14:textId="77777777" w:rsidTr="00053ADC">
        <w:trPr>
          <w:trHeight w:val="29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55956" w14:textId="77777777" w:rsidR="0030366E" w:rsidRPr="00736082" w:rsidRDefault="0030366E" w:rsidP="00053AD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proofErr w:type="spellStart"/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Other</w:t>
            </w:r>
            <w:proofErr w:type="spellEnd"/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 xml:space="preserve"> </w:t>
            </w:r>
            <w:proofErr w:type="spellStart"/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HCWs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11108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 xml:space="preserve">0.183 </w:t>
            </w: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br/>
              <w:t>(0.145, 0.229)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7431D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 xml:space="preserve">0.178 </w:t>
            </w: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br/>
              <w:t>(0.127, 0.242)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675E5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 xml:space="preserve">0.19 </w:t>
            </w: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br/>
              <w:t>(0.136, 0.258)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59B2B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EBDAD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 xml:space="preserve">0.151 </w:t>
            </w: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br/>
              <w:t>(0.112, 0.199)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F75D5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 xml:space="preserve">0.146 </w:t>
            </w: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br/>
              <w:t>(0.097, 0.213)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83A02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 xml:space="preserve">0.157 </w:t>
            </w: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br/>
              <w:t>(0.101, 0.234)</w:t>
            </w:r>
          </w:p>
        </w:tc>
      </w:tr>
      <w:tr w:rsidR="0030366E" w:rsidRPr="00736082" w14:paraId="478253F5" w14:textId="77777777" w:rsidTr="00053ADC">
        <w:trPr>
          <w:trHeight w:val="29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D9AA9" w14:textId="77777777" w:rsidR="0030366E" w:rsidRPr="00736082" w:rsidRDefault="0030366E" w:rsidP="00053AD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Administrative or support staff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349A4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 xml:space="preserve">0.158 </w:t>
            </w: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br/>
              <w:t>(0.129, 0.193)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D0959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 xml:space="preserve">0.098 </w:t>
            </w: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br/>
              <w:t>(0.062, 0.152)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C5CF8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 xml:space="preserve">0.19 </w:t>
            </w: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br/>
              <w:t>(0.151, 0.236)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07746E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A6DBD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 xml:space="preserve">0.155 </w:t>
            </w: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br/>
              <w:t>(0.124, 0.193)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0B3F7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 xml:space="preserve">0.099 </w:t>
            </w: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br/>
              <w:t>(0.06, 0.16)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4EF6E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 xml:space="preserve">0.185 </w:t>
            </w: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br/>
              <w:t>(0.143, 0.235)</w:t>
            </w:r>
          </w:p>
        </w:tc>
      </w:tr>
      <w:tr w:rsidR="0030366E" w:rsidRPr="00736082" w14:paraId="1847AD3C" w14:textId="77777777" w:rsidTr="00053ADC">
        <w:trPr>
          <w:trHeight w:val="298"/>
        </w:trPr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BC7BA" w14:textId="77777777" w:rsidR="0030366E" w:rsidRPr="00736082" w:rsidRDefault="0030366E" w:rsidP="00053AD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2"/>
                <w:szCs w:val="22"/>
                <w:lang w:val="nb-NO" w:eastAsia="nb-NO"/>
              </w:rPr>
            </w:pPr>
            <w:r w:rsidRPr="00736082">
              <w:rPr>
                <w:rFonts w:eastAsia="Times New Roman"/>
                <w:i/>
                <w:iCs/>
                <w:color w:val="000000"/>
                <w:sz w:val="22"/>
                <w:szCs w:val="22"/>
                <w:lang w:val="nb-NO" w:eastAsia="nb-NO"/>
              </w:rPr>
              <w:t>Total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hideMark/>
          </w:tcPr>
          <w:p w14:paraId="238A0FBA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 xml:space="preserve">0.143 </w:t>
            </w: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br/>
              <w:t>(0.131, 0.157)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hideMark/>
          </w:tcPr>
          <w:p w14:paraId="028A0E71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 xml:space="preserve">0.126 </w:t>
            </w: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br/>
              <w:t>(0.108, 0.147)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hideMark/>
          </w:tcPr>
          <w:p w14:paraId="0558BD8D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 xml:space="preserve">0.155 </w:t>
            </w: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br/>
              <w:t>(0.138, 0.174)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hideMark/>
          </w:tcPr>
          <w:p w14:paraId="386C7C0E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1098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hideMark/>
          </w:tcPr>
          <w:p w14:paraId="34DFE78A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0.</w:t>
            </w:r>
            <w:r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124</w:t>
            </w: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 xml:space="preserve"> </w:t>
            </w: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br/>
              <w:t>(0.131, 0.157)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hideMark/>
          </w:tcPr>
          <w:p w14:paraId="0CC2681C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 xml:space="preserve">0.126 </w:t>
            </w: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br/>
              <w:t>(0.108, 0.147)</w:t>
            </w:r>
          </w:p>
        </w:tc>
        <w:tc>
          <w:tcPr>
            <w:tcW w:w="132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hideMark/>
          </w:tcPr>
          <w:p w14:paraId="1920BEE2" w14:textId="77777777" w:rsidR="0030366E" w:rsidRPr="00736082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 xml:space="preserve">0.155 </w:t>
            </w:r>
            <w:r w:rsidRPr="00736082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br/>
              <w:t>(0.138, 0.174)</w:t>
            </w:r>
          </w:p>
        </w:tc>
      </w:tr>
    </w:tbl>
    <w:p w14:paraId="10CD9511" w14:textId="77777777" w:rsidR="0030366E" w:rsidRDefault="0030366E" w:rsidP="0030366E">
      <w:pPr>
        <w:spacing w:line="240" w:lineRule="auto"/>
        <w:rPr>
          <w:lang w:val="en-GB" w:eastAsia="nb-NO"/>
        </w:rPr>
      </w:pPr>
      <w:r>
        <w:rPr>
          <w:lang w:val="en-GB"/>
        </w:rPr>
        <w:t>Note: 95 % Confidence intervals in parenthesis. SAR is reported as a proportion.</w:t>
      </w:r>
    </w:p>
    <w:p w14:paraId="39DC5E7B" w14:textId="4854AAC1" w:rsidR="0030366E" w:rsidRDefault="0030366E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56215C17" w14:textId="77777777" w:rsidR="0030366E" w:rsidRDefault="0030366E" w:rsidP="0030366E">
      <w:pPr>
        <w:pStyle w:val="Brdtekst"/>
        <w:rPr>
          <w:i/>
          <w:iCs/>
          <w:lang w:val="en-GB"/>
        </w:rPr>
      </w:pPr>
      <w:r w:rsidRPr="00063042">
        <w:rPr>
          <w:i/>
          <w:iCs/>
          <w:lang w:val="en-GB"/>
        </w:rPr>
        <w:lastRenderedPageBreak/>
        <w:t>Household acquired cases dependent on different definitions of secondary cases</w:t>
      </w:r>
    </w:p>
    <w:p w14:paraId="58D6BC2A" w14:textId="13DCDA1B" w:rsidR="0030366E" w:rsidRDefault="0030366E" w:rsidP="0030366E">
      <w:pPr>
        <w:pStyle w:val="Brdtekst"/>
        <w:spacing w:line="240" w:lineRule="auto"/>
        <w:rPr>
          <w:lang w:val="en-GB"/>
        </w:rPr>
      </w:pPr>
      <w:r>
        <w:rPr>
          <w:lang w:val="en-GB"/>
        </w:rPr>
        <w:t xml:space="preserve">We looked at two other </w:t>
      </w:r>
      <w:r>
        <w:rPr>
          <w:lang w:val="en-GB"/>
        </w:rPr>
        <w:t>definitions</w:t>
      </w:r>
      <w:r>
        <w:rPr>
          <w:lang w:val="en-GB"/>
        </w:rPr>
        <w:t xml:space="preserve"> of secondary cases, which correspond to the definition of secondary cases for SAR3-7 and SAR3-7 strict, and where the secondary case is a hospital worker.</w:t>
      </w:r>
    </w:p>
    <w:p w14:paraId="40FD80FB" w14:textId="77777777" w:rsidR="0030366E" w:rsidRDefault="0030366E" w:rsidP="0030366E">
      <w:pPr>
        <w:pStyle w:val="Brdtekst"/>
        <w:spacing w:after="0" w:line="240" w:lineRule="auto"/>
        <w:rPr>
          <w:lang w:val="en-GB"/>
        </w:rPr>
      </w:pPr>
      <w:r>
        <w:rPr>
          <w:lang w:val="en-GB"/>
        </w:rPr>
        <w:t xml:space="preserve">Table A2: Number of hospital workers who are secondary cases in their own household, and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7"/>
        <w:gridCol w:w="1181"/>
        <w:gridCol w:w="1182"/>
        <w:gridCol w:w="1181"/>
        <w:gridCol w:w="1182"/>
        <w:gridCol w:w="1181"/>
        <w:gridCol w:w="1182"/>
      </w:tblGrid>
      <w:tr w:rsidR="0030366E" w:rsidRPr="00C41A64" w14:paraId="53B96D50" w14:textId="77777777" w:rsidTr="00053ADC">
        <w:trPr>
          <w:trHeight w:val="288"/>
        </w:trPr>
        <w:tc>
          <w:tcPr>
            <w:tcW w:w="231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4A0256" w14:textId="77777777" w:rsidR="0030366E" w:rsidRPr="006E0DA6" w:rsidRDefault="0030366E" w:rsidP="00053ADC">
            <w:pPr>
              <w:spacing w:after="0" w:line="240" w:lineRule="auto"/>
              <w:rPr>
                <w:b/>
                <w:bCs/>
                <w:lang w:val="en-GB"/>
              </w:rPr>
            </w:pPr>
          </w:p>
        </w:tc>
        <w:tc>
          <w:tcPr>
            <w:tcW w:w="236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487F53" w14:textId="77777777" w:rsidR="0030366E" w:rsidRPr="006E0DA6" w:rsidRDefault="0030366E" w:rsidP="00053ADC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6E0DA6">
              <w:rPr>
                <w:b/>
                <w:bCs/>
                <w:lang w:val="en-GB"/>
              </w:rPr>
              <w:t>Secondary cases 1–14 days</w:t>
            </w:r>
          </w:p>
        </w:tc>
        <w:tc>
          <w:tcPr>
            <w:tcW w:w="236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496413" w14:textId="77777777" w:rsidR="0030366E" w:rsidRPr="006E0DA6" w:rsidRDefault="0030366E" w:rsidP="00053ADC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6E0DA6">
              <w:rPr>
                <w:b/>
                <w:bCs/>
                <w:lang w:val="en-GB"/>
              </w:rPr>
              <w:t>Secondary cases 3–10 days</w:t>
            </w:r>
          </w:p>
        </w:tc>
        <w:tc>
          <w:tcPr>
            <w:tcW w:w="236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910D56" w14:textId="77777777" w:rsidR="0030366E" w:rsidRPr="006E0DA6" w:rsidRDefault="0030366E" w:rsidP="00053ADC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6E0DA6">
              <w:rPr>
                <w:b/>
                <w:bCs/>
                <w:lang w:val="en-GB"/>
              </w:rPr>
              <w:t>Secondary cases 3–10 days (strict)</w:t>
            </w:r>
          </w:p>
        </w:tc>
      </w:tr>
      <w:tr w:rsidR="0030366E" w:rsidRPr="00C41A64" w14:paraId="0727B94A" w14:textId="77777777" w:rsidTr="00053ADC">
        <w:trPr>
          <w:trHeight w:val="288"/>
        </w:trPr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846F" w14:textId="77777777" w:rsidR="0030366E" w:rsidRPr="00C41A64" w:rsidRDefault="0030366E" w:rsidP="00053ADC">
            <w:pPr>
              <w:spacing w:after="0" w:line="240" w:lineRule="auto"/>
              <w:rPr>
                <w:b/>
                <w:bCs/>
                <w:lang w:val="en-GB"/>
              </w:rPr>
            </w:pPr>
            <w:r w:rsidRPr="006E0DA6">
              <w:rPr>
                <w:b/>
                <w:bCs/>
                <w:lang w:val="en-GB"/>
              </w:rPr>
              <w:t>Occupation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C5F28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6E0DA6">
              <w:rPr>
                <w:b/>
                <w:bCs/>
                <w:lang w:val="en-GB"/>
              </w:rPr>
              <w:t>Freq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B4A4A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6E0DA6">
              <w:rPr>
                <w:b/>
                <w:bCs/>
                <w:lang w:val="en-GB"/>
              </w:rPr>
              <w:t>Prop.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DBAAB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6E0DA6">
              <w:rPr>
                <w:b/>
                <w:bCs/>
                <w:lang w:val="en-GB"/>
              </w:rPr>
              <w:t>Freq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F1E65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6E0DA6">
              <w:rPr>
                <w:b/>
                <w:bCs/>
                <w:lang w:val="en-GB"/>
              </w:rPr>
              <w:t>Prop.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DCE39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6E0DA6">
              <w:rPr>
                <w:b/>
                <w:bCs/>
                <w:lang w:val="en-GB"/>
              </w:rPr>
              <w:t>Freq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D5021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6E0DA6">
              <w:rPr>
                <w:b/>
                <w:bCs/>
                <w:lang w:val="en-GB"/>
              </w:rPr>
              <w:t>Prop.</w:t>
            </w:r>
          </w:p>
        </w:tc>
      </w:tr>
      <w:tr w:rsidR="0030366E" w:rsidRPr="00C41A64" w14:paraId="4FA1EB52" w14:textId="77777777" w:rsidTr="00053ADC">
        <w:trPr>
          <w:trHeight w:val="288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014F" w14:textId="77777777" w:rsidR="0030366E" w:rsidRPr="00C41A64" w:rsidRDefault="0030366E" w:rsidP="00053ADC">
            <w:pPr>
              <w:spacing w:after="0" w:line="240" w:lineRule="auto"/>
              <w:rPr>
                <w:lang w:val="en-GB"/>
              </w:rPr>
            </w:pPr>
            <w:r w:rsidRPr="00C41A64">
              <w:rPr>
                <w:lang w:val="en-GB"/>
              </w:rPr>
              <w:t>Physicians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AFABA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51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1B944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0</w:t>
            </w:r>
            <w:r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.</w:t>
            </w: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15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D3DBE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23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68C46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0</w:t>
            </w:r>
            <w:r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.</w:t>
            </w: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022A3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19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D8C72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0</w:t>
            </w:r>
            <w:r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.</w:t>
            </w: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05</w:t>
            </w:r>
          </w:p>
        </w:tc>
      </w:tr>
      <w:tr w:rsidR="0030366E" w:rsidRPr="00C41A64" w14:paraId="0389B897" w14:textId="77777777" w:rsidTr="00053ADC">
        <w:trPr>
          <w:trHeight w:val="288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9703" w14:textId="77777777" w:rsidR="0030366E" w:rsidRPr="00C41A64" w:rsidRDefault="0030366E" w:rsidP="00053ADC">
            <w:pPr>
              <w:spacing w:after="0" w:line="240" w:lineRule="auto"/>
              <w:rPr>
                <w:lang w:val="en-GB"/>
              </w:rPr>
            </w:pPr>
            <w:r w:rsidRPr="00C41A64">
              <w:rPr>
                <w:lang w:val="en-GB"/>
              </w:rPr>
              <w:t>Specialist nurses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708FC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69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07C8B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0</w:t>
            </w:r>
            <w:r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.</w:t>
            </w: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25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6C7E5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27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F8F82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0</w:t>
            </w:r>
            <w:r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.</w:t>
            </w: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136AE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22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BA3DA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0</w:t>
            </w:r>
            <w:r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.</w:t>
            </w: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08</w:t>
            </w:r>
          </w:p>
        </w:tc>
      </w:tr>
      <w:tr w:rsidR="0030366E" w:rsidRPr="00C41A64" w14:paraId="01030220" w14:textId="77777777" w:rsidTr="00053ADC">
        <w:trPr>
          <w:trHeight w:val="288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3CE4" w14:textId="77777777" w:rsidR="0030366E" w:rsidRPr="00C41A64" w:rsidRDefault="0030366E" w:rsidP="00053ADC">
            <w:pPr>
              <w:spacing w:after="0" w:line="240" w:lineRule="auto"/>
              <w:rPr>
                <w:lang w:val="en-GB"/>
              </w:rPr>
            </w:pPr>
            <w:r w:rsidRPr="00C41A64">
              <w:rPr>
                <w:lang w:val="en-GB"/>
              </w:rPr>
              <w:t>Nurses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BCDF8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113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98673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0</w:t>
            </w:r>
            <w:r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.</w:t>
            </w: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15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7BE39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49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95F61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0</w:t>
            </w:r>
            <w:r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.</w:t>
            </w: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D01CE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41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AEF17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0</w:t>
            </w:r>
            <w:r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.</w:t>
            </w: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05</w:t>
            </w:r>
          </w:p>
        </w:tc>
      </w:tr>
      <w:tr w:rsidR="0030366E" w:rsidRPr="00C41A64" w14:paraId="02D3CBD0" w14:textId="77777777" w:rsidTr="00053ADC">
        <w:trPr>
          <w:trHeight w:val="288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4503" w14:textId="77777777" w:rsidR="0030366E" w:rsidRPr="00C41A64" w:rsidRDefault="0030366E" w:rsidP="00053ADC">
            <w:pPr>
              <w:spacing w:after="0" w:line="240" w:lineRule="auto"/>
              <w:rPr>
                <w:lang w:val="en-GB"/>
              </w:rPr>
            </w:pPr>
            <w:r w:rsidRPr="00C41A64">
              <w:rPr>
                <w:lang w:val="en-GB"/>
              </w:rPr>
              <w:t>Nursing Associates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5778F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39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86484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0</w:t>
            </w:r>
            <w:r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.</w:t>
            </w: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5054D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15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943A7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0</w:t>
            </w:r>
            <w:r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.</w:t>
            </w: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507A1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27A8A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0</w:t>
            </w:r>
            <w:r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.</w:t>
            </w: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02</w:t>
            </w:r>
          </w:p>
        </w:tc>
      </w:tr>
      <w:tr w:rsidR="0030366E" w:rsidRPr="00C41A64" w14:paraId="39CE8683" w14:textId="77777777" w:rsidTr="00053ADC">
        <w:trPr>
          <w:trHeight w:val="288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AF93" w14:textId="77777777" w:rsidR="0030366E" w:rsidRPr="00C41A64" w:rsidRDefault="0030366E" w:rsidP="00053ADC">
            <w:pPr>
              <w:spacing w:after="0" w:line="240" w:lineRule="auto"/>
              <w:rPr>
                <w:lang w:val="en-GB"/>
              </w:rPr>
            </w:pPr>
            <w:r w:rsidRPr="00C41A64">
              <w:rPr>
                <w:lang w:val="en-GB"/>
              </w:rPr>
              <w:t>Health care assistants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2590C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EE625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0</w:t>
            </w:r>
            <w:r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.</w:t>
            </w: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FE98A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F33A4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0</w:t>
            </w:r>
            <w:r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.</w:t>
            </w: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CF29E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481A5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0</w:t>
            </w:r>
            <w:r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.</w:t>
            </w: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04</w:t>
            </w:r>
          </w:p>
        </w:tc>
      </w:tr>
      <w:tr w:rsidR="0030366E" w:rsidRPr="00C41A64" w14:paraId="7ECFA385" w14:textId="77777777" w:rsidTr="00053ADC">
        <w:trPr>
          <w:trHeight w:val="288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14D3" w14:textId="77777777" w:rsidR="0030366E" w:rsidRPr="00C41A64" w:rsidRDefault="0030366E" w:rsidP="00053ADC">
            <w:pPr>
              <w:spacing w:after="0" w:line="240" w:lineRule="auto"/>
              <w:rPr>
                <w:lang w:val="en-GB"/>
              </w:rPr>
            </w:pPr>
            <w:r w:rsidRPr="00C41A64">
              <w:rPr>
                <w:lang w:val="en-GB"/>
              </w:rPr>
              <w:t>Other HCWs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AB633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101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C8A4F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0</w:t>
            </w:r>
            <w:r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.</w:t>
            </w: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26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2D2FD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43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50907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0</w:t>
            </w:r>
            <w:r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.</w:t>
            </w: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3891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29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F0996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0</w:t>
            </w:r>
            <w:r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.</w:t>
            </w: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08</w:t>
            </w:r>
          </w:p>
        </w:tc>
      </w:tr>
      <w:tr w:rsidR="0030366E" w:rsidRPr="00C41A64" w14:paraId="2170C29B" w14:textId="77777777" w:rsidTr="00053ADC">
        <w:trPr>
          <w:trHeight w:val="288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11F5" w14:textId="77777777" w:rsidR="0030366E" w:rsidRPr="00C41A64" w:rsidRDefault="0030366E" w:rsidP="00053ADC">
            <w:pPr>
              <w:spacing w:after="0" w:line="240" w:lineRule="auto"/>
              <w:rPr>
                <w:lang w:val="en-GB"/>
              </w:rPr>
            </w:pPr>
            <w:r w:rsidRPr="00C41A64">
              <w:rPr>
                <w:lang w:val="en-GB"/>
              </w:rPr>
              <w:t>Administrative or support staff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AF2E4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131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4FDA8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0</w:t>
            </w:r>
            <w:r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.</w:t>
            </w: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22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3CDED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53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FEA44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0</w:t>
            </w:r>
            <w:r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.</w:t>
            </w: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B257F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45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A371B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0</w:t>
            </w:r>
            <w:r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.</w:t>
            </w: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08</w:t>
            </w:r>
          </w:p>
        </w:tc>
      </w:tr>
      <w:tr w:rsidR="0030366E" w:rsidRPr="00C41A64" w14:paraId="32A53231" w14:textId="77777777" w:rsidTr="00053ADC">
        <w:trPr>
          <w:trHeight w:val="288"/>
        </w:trPr>
        <w:tc>
          <w:tcPr>
            <w:tcW w:w="231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665D5" w14:textId="77777777" w:rsidR="0030366E" w:rsidRPr="00C41A64" w:rsidRDefault="0030366E" w:rsidP="00053ADC">
            <w:pPr>
              <w:spacing w:after="0" w:line="240" w:lineRule="auto"/>
              <w:rPr>
                <w:i/>
                <w:iCs/>
                <w:lang w:val="en-GB"/>
              </w:rPr>
            </w:pPr>
            <w:r w:rsidRPr="00C41A64">
              <w:rPr>
                <w:i/>
                <w:iCs/>
                <w:lang w:val="en-GB"/>
              </w:rPr>
              <w:t>Total</w:t>
            </w:r>
          </w:p>
        </w:tc>
        <w:tc>
          <w:tcPr>
            <w:tcW w:w="118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hideMark/>
          </w:tcPr>
          <w:p w14:paraId="0ADD9F0F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534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hideMark/>
          </w:tcPr>
          <w:p w14:paraId="732BAD88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0</w:t>
            </w:r>
            <w:r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.</w:t>
            </w: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18</w:t>
            </w:r>
          </w:p>
        </w:tc>
        <w:tc>
          <w:tcPr>
            <w:tcW w:w="118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hideMark/>
          </w:tcPr>
          <w:p w14:paraId="6DAD2540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223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hideMark/>
          </w:tcPr>
          <w:p w14:paraId="267B095A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0</w:t>
            </w:r>
            <w:r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.</w:t>
            </w: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hideMark/>
          </w:tcPr>
          <w:p w14:paraId="59229A56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172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hideMark/>
          </w:tcPr>
          <w:p w14:paraId="1F87AA83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0</w:t>
            </w:r>
            <w:r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.</w:t>
            </w:r>
            <w:r w:rsidRPr="00C41A64"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  <w:t>06</w:t>
            </w:r>
          </w:p>
        </w:tc>
      </w:tr>
    </w:tbl>
    <w:p w14:paraId="06834A09" w14:textId="77777777" w:rsidR="0030366E" w:rsidRDefault="0030366E" w:rsidP="0030366E">
      <w:pPr>
        <w:pStyle w:val="Brdtekst"/>
        <w:rPr>
          <w:lang w:val="en-GB"/>
        </w:rPr>
      </w:pPr>
    </w:p>
    <w:p w14:paraId="75BBF2A3" w14:textId="77777777" w:rsidR="0030366E" w:rsidRDefault="0030366E" w:rsidP="0030366E">
      <w:pPr>
        <w:pStyle w:val="Brdtekst"/>
        <w:spacing w:after="0" w:line="240" w:lineRule="auto"/>
        <w:rPr>
          <w:lang w:val="en-GB"/>
        </w:rPr>
      </w:pPr>
      <w:r>
        <w:rPr>
          <w:lang w:val="en-GB"/>
        </w:rPr>
        <w:t xml:space="preserve">Table A3: Number of hospital workers who are secondary cases in their own household, and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5"/>
        <w:gridCol w:w="1547"/>
        <w:gridCol w:w="1548"/>
        <w:gridCol w:w="1547"/>
        <w:gridCol w:w="1549"/>
      </w:tblGrid>
      <w:tr w:rsidR="0030366E" w:rsidRPr="006E0DA6" w14:paraId="5C51279D" w14:textId="77777777" w:rsidTr="00053ADC">
        <w:trPr>
          <w:trHeight w:val="277"/>
        </w:trPr>
        <w:tc>
          <w:tcPr>
            <w:tcW w:w="303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586055" w14:textId="77777777" w:rsidR="0030366E" w:rsidRPr="006E0DA6" w:rsidRDefault="0030366E" w:rsidP="00053ADC">
            <w:pPr>
              <w:spacing w:after="0" w:line="240" w:lineRule="auto"/>
              <w:rPr>
                <w:b/>
                <w:bCs/>
                <w:lang w:val="en-GB"/>
              </w:rPr>
            </w:pPr>
          </w:p>
        </w:tc>
        <w:tc>
          <w:tcPr>
            <w:tcW w:w="6191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74864E" w14:textId="77777777" w:rsidR="0030366E" w:rsidRDefault="0030366E" w:rsidP="00053ADC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6E0DA6">
              <w:rPr>
                <w:b/>
                <w:bCs/>
                <w:lang w:val="en-GB"/>
              </w:rPr>
              <w:t>Secondary cases 1–14 days</w:t>
            </w:r>
          </w:p>
        </w:tc>
      </w:tr>
      <w:tr w:rsidR="0030366E" w:rsidRPr="006E0DA6" w14:paraId="478359E3" w14:textId="77777777" w:rsidTr="00053ADC">
        <w:trPr>
          <w:trHeight w:val="277"/>
        </w:trPr>
        <w:tc>
          <w:tcPr>
            <w:tcW w:w="303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69A49A" w14:textId="77777777" w:rsidR="0030366E" w:rsidRPr="006E0DA6" w:rsidRDefault="0030366E" w:rsidP="00053ADC">
            <w:pPr>
              <w:spacing w:after="0" w:line="240" w:lineRule="auto"/>
              <w:rPr>
                <w:b/>
                <w:bCs/>
                <w:lang w:val="en-GB"/>
              </w:rPr>
            </w:pPr>
          </w:p>
        </w:tc>
        <w:tc>
          <w:tcPr>
            <w:tcW w:w="309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DC775E" w14:textId="77777777" w:rsidR="0030366E" w:rsidRPr="006E0DA6" w:rsidRDefault="0030366E" w:rsidP="00053ADC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5677BA">
              <w:rPr>
                <w:b/>
                <w:bCs/>
                <w:lang w:val="en-GB"/>
              </w:rPr>
              <w:t>Aug 2020–</w:t>
            </w:r>
            <w:r>
              <w:rPr>
                <w:b/>
                <w:bCs/>
                <w:lang w:val="en-GB"/>
              </w:rPr>
              <w:t>Dec</w:t>
            </w:r>
            <w:r w:rsidRPr="005677BA">
              <w:rPr>
                <w:b/>
                <w:bCs/>
                <w:lang w:val="en-GB"/>
              </w:rPr>
              <w:t xml:space="preserve"> 202</w:t>
            </w: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309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DC3FAB" w14:textId="77777777" w:rsidR="0030366E" w:rsidRPr="006E0DA6" w:rsidRDefault="0030366E" w:rsidP="00053ADC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Jan</w:t>
            </w:r>
            <w:r w:rsidRPr="005677BA">
              <w:rPr>
                <w:b/>
                <w:bCs/>
                <w:lang w:val="en-GB"/>
              </w:rPr>
              <w:t xml:space="preserve"> 202</w:t>
            </w:r>
            <w:r>
              <w:rPr>
                <w:b/>
                <w:bCs/>
                <w:lang w:val="en-GB"/>
              </w:rPr>
              <w:t>1</w:t>
            </w:r>
            <w:r w:rsidRPr="005677BA">
              <w:rPr>
                <w:b/>
                <w:bCs/>
                <w:lang w:val="en-GB"/>
              </w:rPr>
              <w:t>–Aug 2021</w:t>
            </w:r>
          </w:p>
        </w:tc>
      </w:tr>
      <w:tr w:rsidR="0030366E" w:rsidRPr="00C41A64" w14:paraId="6EF37FC5" w14:textId="77777777" w:rsidTr="00053ADC">
        <w:trPr>
          <w:trHeight w:val="277"/>
        </w:trPr>
        <w:tc>
          <w:tcPr>
            <w:tcW w:w="3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4058" w14:textId="77777777" w:rsidR="0030366E" w:rsidRPr="00C41A64" w:rsidRDefault="0030366E" w:rsidP="00053ADC">
            <w:pPr>
              <w:spacing w:after="0" w:line="240" w:lineRule="auto"/>
              <w:rPr>
                <w:b/>
                <w:bCs/>
                <w:lang w:val="en-GB"/>
              </w:rPr>
            </w:pPr>
            <w:r w:rsidRPr="006E0DA6">
              <w:rPr>
                <w:b/>
                <w:bCs/>
                <w:lang w:val="en-GB"/>
              </w:rPr>
              <w:t>Occupation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D3281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6E0DA6">
              <w:rPr>
                <w:b/>
                <w:bCs/>
                <w:lang w:val="en-GB"/>
              </w:rPr>
              <w:t>Freq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76417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6E0DA6">
              <w:rPr>
                <w:b/>
                <w:bCs/>
                <w:lang w:val="en-GB"/>
              </w:rPr>
              <w:t>Prop.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7AF7A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6E0DA6">
              <w:rPr>
                <w:b/>
                <w:bCs/>
                <w:lang w:val="en-GB"/>
              </w:rPr>
              <w:t>Freq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3D588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6E0DA6">
              <w:rPr>
                <w:b/>
                <w:bCs/>
                <w:lang w:val="en-GB"/>
              </w:rPr>
              <w:t>Prop.</w:t>
            </w:r>
          </w:p>
        </w:tc>
      </w:tr>
      <w:tr w:rsidR="0030366E" w:rsidRPr="00C41A64" w14:paraId="084CC23A" w14:textId="77777777" w:rsidTr="00053ADC">
        <w:trPr>
          <w:trHeight w:val="277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9FB5" w14:textId="77777777" w:rsidR="0030366E" w:rsidRPr="00C41A64" w:rsidRDefault="0030366E" w:rsidP="00053ADC">
            <w:pPr>
              <w:spacing w:after="0" w:line="240" w:lineRule="auto"/>
              <w:rPr>
                <w:lang w:val="en-GB"/>
              </w:rPr>
            </w:pPr>
            <w:r w:rsidRPr="00C41A64">
              <w:rPr>
                <w:lang w:val="en-GB"/>
              </w:rPr>
              <w:t>Physicians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8F09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745F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3386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745F8">
              <w:rPr>
                <w:color w:val="000000"/>
                <w:sz w:val="22"/>
                <w:szCs w:val="22"/>
              </w:rPr>
              <w:t>0.14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5AD8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745F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EF07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745F8">
              <w:rPr>
                <w:color w:val="000000"/>
                <w:sz w:val="22"/>
                <w:szCs w:val="22"/>
              </w:rPr>
              <w:t>0.16</w:t>
            </w:r>
          </w:p>
        </w:tc>
      </w:tr>
      <w:tr w:rsidR="0030366E" w:rsidRPr="00C41A64" w14:paraId="756B550A" w14:textId="77777777" w:rsidTr="00053ADC">
        <w:trPr>
          <w:trHeight w:val="277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E704" w14:textId="77777777" w:rsidR="0030366E" w:rsidRPr="00C41A64" w:rsidRDefault="0030366E" w:rsidP="00053ADC">
            <w:pPr>
              <w:spacing w:after="0" w:line="240" w:lineRule="auto"/>
              <w:rPr>
                <w:lang w:val="en-GB"/>
              </w:rPr>
            </w:pPr>
            <w:r w:rsidRPr="00C41A64">
              <w:rPr>
                <w:lang w:val="en-GB"/>
              </w:rPr>
              <w:t>Specialist nurses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43EC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745F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6270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745F8">
              <w:rPr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5B3F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745F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63B1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745F8">
              <w:rPr>
                <w:color w:val="000000"/>
                <w:sz w:val="22"/>
                <w:szCs w:val="22"/>
              </w:rPr>
              <w:t>0.32</w:t>
            </w:r>
          </w:p>
        </w:tc>
      </w:tr>
      <w:tr w:rsidR="0030366E" w:rsidRPr="00C41A64" w14:paraId="435948F5" w14:textId="77777777" w:rsidTr="00053ADC">
        <w:trPr>
          <w:trHeight w:val="277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555F" w14:textId="77777777" w:rsidR="0030366E" w:rsidRPr="00C41A64" w:rsidRDefault="0030366E" w:rsidP="00053ADC">
            <w:pPr>
              <w:spacing w:after="0" w:line="240" w:lineRule="auto"/>
              <w:rPr>
                <w:lang w:val="en-GB"/>
              </w:rPr>
            </w:pPr>
            <w:r w:rsidRPr="00C41A64">
              <w:rPr>
                <w:lang w:val="en-GB"/>
              </w:rPr>
              <w:t>Nurses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F759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745F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095F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745F8">
              <w:rPr>
                <w:color w:val="000000"/>
                <w:sz w:val="22"/>
                <w:szCs w:val="22"/>
              </w:rPr>
              <w:t>0.08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34B1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745F8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2019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745F8">
              <w:rPr>
                <w:color w:val="000000"/>
                <w:sz w:val="22"/>
                <w:szCs w:val="22"/>
              </w:rPr>
              <w:t>0.2</w:t>
            </w:r>
          </w:p>
        </w:tc>
      </w:tr>
      <w:tr w:rsidR="0030366E" w:rsidRPr="00C41A64" w14:paraId="43BDF859" w14:textId="77777777" w:rsidTr="00053ADC">
        <w:trPr>
          <w:trHeight w:val="277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ABBB" w14:textId="77777777" w:rsidR="0030366E" w:rsidRPr="00C41A64" w:rsidRDefault="0030366E" w:rsidP="00053ADC">
            <w:pPr>
              <w:spacing w:after="0" w:line="240" w:lineRule="auto"/>
              <w:rPr>
                <w:lang w:val="en-GB"/>
              </w:rPr>
            </w:pPr>
            <w:r w:rsidRPr="00C41A64">
              <w:rPr>
                <w:lang w:val="en-GB"/>
              </w:rPr>
              <w:t>Nursing Associates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FEC5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745F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C39B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745F8">
              <w:rPr>
                <w:color w:val="000000"/>
                <w:sz w:val="22"/>
                <w:szCs w:val="22"/>
              </w:rPr>
              <w:t>0.08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C456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745F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E577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745F8">
              <w:rPr>
                <w:color w:val="000000"/>
                <w:sz w:val="22"/>
                <w:szCs w:val="22"/>
              </w:rPr>
              <w:t>0.1</w:t>
            </w:r>
          </w:p>
        </w:tc>
      </w:tr>
      <w:tr w:rsidR="0030366E" w:rsidRPr="00C41A64" w14:paraId="1709BC33" w14:textId="77777777" w:rsidTr="00053ADC">
        <w:trPr>
          <w:trHeight w:val="277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3A4F" w14:textId="77777777" w:rsidR="0030366E" w:rsidRPr="00C41A64" w:rsidRDefault="0030366E" w:rsidP="00053ADC">
            <w:pPr>
              <w:spacing w:after="0" w:line="240" w:lineRule="auto"/>
              <w:rPr>
                <w:lang w:val="en-GB"/>
              </w:rPr>
            </w:pPr>
            <w:r w:rsidRPr="00C41A64">
              <w:rPr>
                <w:lang w:val="en-GB"/>
              </w:rPr>
              <w:t>Health care assistants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C995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745F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2DA6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745F8">
              <w:rPr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0EF2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745F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4B5C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745F8">
              <w:rPr>
                <w:color w:val="000000"/>
                <w:sz w:val="22"/>
                <w:szCs w:val="22"/>
              </w:rPr>
              <w:t>0.16</w:t>
            </w:r>
          </w:p>
        </w:tc>
      </w:tr>
      <w:tr w:rsidR="0030366E" w:rsidRPr="00C41A64" w14:paraId="2A8E929B" w14:textId="77777777" w:rsidTr="00053ADC">
        <w:trPr>
          <w:trHeight w:val="277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B7B5" w14:textId="77777777" w:rsidR="0030366E" w:rsidRPr="00C41A64" w:rsidRDefault="0030366E" w:rsidP="00053ADC">
            <w:pPr>
              <w:spacing w:after="0" w:line="240" w:lineRule="auto"/>
              <w:rPr>
                <w:lang w:val="en-GB"/>
              </w:rPr>
            </w:pPr>
            <w:r w:rsidRPr="00C41A64">
              <w:rPr>
                <w:lang w:val="en-GB"/>
              </w:rPr>
              <w:t>Other HCWs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8A07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745F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D7FB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745F8">
              <w:rPr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7CD1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745F8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4674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745F8">
              <w:rPr>
                <w:color w:val="000000"/>
                <w:sz w:val="22"/>
                <w:szCs w:val="22"/>
              </w:rPr>
              <w:t>0.3</w:t>
            </w:r>
          </w:p>
        </w:tc>
      </w:tr>
      <w:tr w:rsidR="0030366E" w:rsidRPr="00C41A64" w14:paraId="0FFD4184" w14:textId="77777777" w:rsidTr="00053ADC">
        <w:trPr>
          <w:trHeight w:val="277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FC35" w14:textId="77777777" w:rsidR="0030366E" w:rsidRPr="00C41A64" w:rsidRDefault="0030366E" w:rsidP="00053ADC">
            <w:pPr>
              <w:spacing w:after="0" w:line="240" w:lineRule="auto"/>
              <w:rPr>
                <w:lang w:val="en-GB"/>
              </w:rPr>
            </w:pPr>
            <w:r w:rsidRPr="00C41A64">
              <w:rPr>
                <w:lang w:val="en-GB"/>
              </w:rPr>
              <w:t>Administrative or support staff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440F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745F8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E63C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745F8">
              <w:rPr>
                <w:color w:val="000000"/>
                <w:sz w:val="22"/>
                <w:szCs w:val="22"/>
              </w:rPr>
              <w:t>0.22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967C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745F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1BA5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745F8">
              <w:rPr>
                <w:color w:val="000000"/>
                <w:sz w:val="22"/>
                <w:szCs w:val="22"/>
              </w:rPr>
              <w:t>0.22</w:t>
            </w:r>
          </w:p>
        </w:tc>
      </w:tr>
      <w:tr w:rsidR="0030366E" w:rsidRPr="00C41A64" w14:paraId="142FE5A2" w14:textId="77777777" w:rsidTr="00053ADC">
        <w:trPr>
          <w:trHeight w:val="277"/>
        </w:trPr>
        <w:tc>
          <w:tcPr>
            <w:tcW w:w="303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71DC1" w14:textId="77777777" w:rsidR="0030366E" w:rsidRPr="00C41A64" w:rsidRDefault="0030366E" w:rsidP="00053ADC">
            <w:pPr>
              <w:spacing w:after="0" w:line="240" w:lineRule="auto"/>
              <w:rPr>
                <w:i/>
                <w:iCs/>
                <w:lang w:val="en-GB"/>
              </w:rPr>
            </w:pPr>
            <w:r w:rsidRPr="00C41A64">
              <w:rPr>
                <w:i/>
                <w:iCs/>
                <w:lang w:val="en-GB"/>
              </w:rPr>
              <w:t>Total</w:t>
            </w:r>
          </w:p>
        </w:tc>
        <w:tc>
          <w:tcPr>
            <w:tcW w:w="154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D1C73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745F8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154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94F7B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745F8">
              <w:rPr>
                <w:color w:val="000000"/>
                <w:sz w:val="22"/>
                <w:szCs w:val="22"/>
              </w:rPr>
              <w:t>0.14</w:t>
            </w:r>
          </w:p>
        </w:tc>
        <w:tc>
          <w:tcPr>
            <w:tcW w:w="154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AFB26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745F8">
              <w:rPr>
                <w:color w:val="000000"/>
                <w:sz w:val="22"/>
                <w:szCs w:val="22"/>
              </w:rPr>
              <w:t>379</w:t>
            </w:r>
          </w:p>
        </w:tc>
        <w:tc>
          <w:tcPr>
            <w:tcW w:w="154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1B600" w14:textId="77777777" w:rsidR="0030366E" w:rsidRPr="00C41A64" w:rsidRDefault="0030366E" w:rsidP="00053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nb-NO" w:eastAsia="nb-NO"/>
              </w:rPr>
            </w:pPr>
            <w:r w:rsidRPr="007745F8">
              <w:rPr>
                <w:color w:val="000000"/>
                <w:sz w:val="22"/>
                <w:szCs w:val="22"/>
              </w:rPr>
              <w:t>0.2</w:t>
            </w:r>
          </w:p>
        </w:tc>
      </w:tr>
    </w:tbl>
    <w:p w14:paraId="0C894435" w14:textId="77777777" w:rsidR="0030366E" w:rsidRPr="00600937" w:rsidRDefault="0030366E" w:rsidP="0030366E">
      <w:pPr>
        <w:pStyle w:val="Brdtekst"/>
      </w:pPr>
    </w:p>
    <w:p w14:paraId="4025196F" w14:textId="77777777" w:rsidR="00535F69" w:rsidRDefault="00535F69"/>
    <w:sectPr w:rsidR="00535F69" w:rsidSect="00A96D0F">
      <w:pgSz w:w="12240" w:h="15840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7749E"/>
    <w:multiLevelType w:val="hybridMultilevel"/>
    <w:tmpl w:val="54B4F1DE"/>
    <w:lvl w:ilvl="0" w:tplc="95EA97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6E"/>
    <w:rsid w:val="001037D5"/>
    <w:rsid w:val="0030366E"/>
    <w:rsid w:val="00535F69"/>
    <w:rsid w:val="006E54AA"/>
    <w:rsid w:val="0073345E"/>
    <w:rsid w:val="00C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35B3"/>
  <w15:chartTrackingRefBased/>
  <w15:docId w15:val="{CFE55832-6A61-4677-AD3D-F3CB26E2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6E"/>
    <w:pPr>
      <w:spacing w:after="200" w:line="48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qFormat/>
    <w:rsid w:val="0030366E"/>
    <w:pPr>
      <w:spacing w:before="180" w:after="180"/>
    </w:pPr>
  </w:style>
  <w:style w:type="character" w:customStyle="1" w:styleId="BrdtekstTegn">
    <w:name w:val="Brødtekst Tegn"/>
    <w:basedOn w:val="Standardskriftforavsnitt"/>
    <w:link w:val="Brdtekst"/>
    <w:rsid w:val="0030366E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Elgersma, Ingeborg Hess</dc:creator>
  <cp:keywords/>
  <dc:description/>
  <cp:lastModifiedBy>Elgersma, Ingeborg Hess</cp:lastModifiedBy>
  <cp:revision>1</cp:revision>
  <dcterms:created xsi:type="dcterms:W3CDTF">2022-03-15T08:35:00Z</dcterms:created>
  <dcterms:modified xsi:type="dcterms:W3CDTF">2022-03-15T08:36:00Z</dcterms:modified>
</cp:coreProperties>
</file>