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87BBB" w14:textId="77777777" w:rsidR="00517D65" w:rsidRPr="00AE5E66" w:rsidRDefault="00517D65" w:rsidP="00517D65">
      <w:pPr>
        <w:bidi w:val="0"/>
        <w:rPr>
          <w:rFonts w:asciiTheme="majorBidi" w:hAnsiTheme="majorBidi" w:cstheme="majorBidi"/>
        </w:rPr>
        <w:sectPr w:rsidR="00517D65" w:rsidRPr="00AE5E66" w:rsidSect="007C0C67">
          <w:type w:val="continuous"/>
          <w:pgSz w:w="11906" w:h="16838"/>
          <w:pgMar w:top="1440" w:right="1797" w:bottom="1440" w:left="1797" w:header="709" w:footer="709" w:gutter="0"/>
          <w:cols w:space="708"/>
          <w:bidi/>
          <w:rtlGutter/>
          <w:docGrid w:linePitch="360"/>
        </w:sectPr>
      </w:pPr>
      <w:bookmarkStart w:id="0" w:name="_GoBack"/>
      <w:bookmarkEnd w:id="0"/>
    </w:p>
    <w:p w14:paraId="55D19494" w14:textId="390EC50F" w:rsidR="00906392" w:rsidRDefault="00906392" w:rsidP="00080E28">
      <w:pPr>
        <w:bidi w:val="0"/>
        <w:spacing w:after="0" w:line="480" w:lineRule="auto"/>
        <w:rPr>
          <w:rFonts w:asciiTheme="majorBidi" w:hAnsiTheme="majorBidi" w:cstheme="majorBidi"/>
          <w:sz w:val="24"/>
          <w:szCs w:val="24"/>
        </w:rPr>
      </w:pPr>
      <w:r>
        <w:rPr>
          <w:rFonts w:asciiTheme="majorBidi" w:hAnsiTheme="majorBidi" w:cstheme="majorBidi"/>
          <w:color w:val="333333"/>
          <w:sz w:val="24"/>
          <w:szCs w:val="24"/>
          <w:shd w:val="clear" w:color="auto" w:fill="FFFFFF"/>
        </w:rPr>
        <w:t xml:space="preserve">Supplementary material for </w:t>
      </w:r>
      <w:r>
        <w:rPr>
          <w:rFonts w:asciiTheme="majorBidi" w:hAnsiTheme="majorBidi" w:cstheme="majorBidi"/>
          <w:sz w:val="24"/>
          <w:szCs w:val="24"/>
        </w:rPr>
        <w:t>"</w:t>
      </w:r>
      <w:r w:rsidRPr="004325ED">
        <w:rPr>
          <w:rFonts w:asciiTheme="majorBidi" w:hAnsiTheme="majorBidi" w:cstheme="majorBidi"/>
          <w:sz w:val="24"/>
          <w:szCs w:val="24"/>
        </w:rPr>
        <w:t xml:space="preserve">Carriage of vancomycin-resistant </w:t>
      </w:r>
      <w:r w:rsidRPr="004325ED">
        <w:rPr>
          <w:rFonts w:asciiTheme="majorBidi" w:hAnsiTheme="majorBidi" w:cstheme="majorBidi"/>
          <w:i/>
          <w:iCs/>
          <w:sz w:val="24"/>
          <w:szCs w:val="24"/>
        </w:rPr>
        <w:t>Enterococcus faecium</w:t>
      </w:r>
      <w:r w:rsidRPr="004325ED">
        <w:rPr>
          <w:rFonts w:asciiTheme="majorBidi" w:hAnsiTheme="majorBidi" w:cstheme="majorBidi"/>
          <w:sz w:val="24"/>
          <w:szCs w:val="24"/>
        </w:rPr>
        <w:t xml:space="preserve"> in infants following an outbreak in the neonatal intensive care unit: time to clearance of carriage and use of molecular methods to detect colonization</w:t>
      </w:r>
      <w:r>
        <w:rPr>
          <w:rFonts w:asciiTheme="majorBidi" w:hAnsiTheme="majorBidi" w:cstheme="majorBidi"/>
          <w:sz w:val="24"/>
          <w:szCs w:val="24"/>
        </w:rPr>
        <w:t>"</w:t>
      </w:r>
    </w:p>
    <w:p w14:paraId="06AA96A9" w14:textId="2E7F3E87" w:rsidR="00080E28" w:rsidRPr="00080E28" w:rsidRDefault="00080E28" w:rsidP="00080E28">
      <w:pPr>
        <w:bidi w:val="0"/>
        <w:spacing w:after="0" w:line="480" w:lineRule="auto"/>
        <w:ind w:left="720"/>
        <w:rPr>
          <w:rFonts w:asciiTheme="majorBidi" w:hAnsiTheme="majorBidi" w:cstheme="majorBidi"/>
          <w:sz w:val="24"/>
          <w:szCs w:val="24"/>
        </w:rPr>
      </w:pPr>
      <w:r>
        <w:rPr>
          <w:rFonts w:asciiTheme="majorBidi" w:hAnsiTheme="majorBidi" w:cstheme="majorBidi"/>
          <w:sz w:val="24"/>
          <w:szCs w:val="24"/>
        </w:rPr>
        <w:t xml:space="preserve">1) </w:t>
      </w:r>
      <w:r w:rsidRPr="00080E28">
        <w:rPr>
          <w:rFonts w:asciiTheme="majorBidi" w:hAnsiTheme="majorBidi" w:cstheme="majorBidi"/>
          <w:sz w:val="24"/>
          <w:szCs w:val="24"/>
        </w:rPr>
        <w:t>Laboratory methods</w:t>
      </w:r>
    </w:p>
    <w:p w14:paraId="44459036" w14:textId="7B4577EA" w:rsidR="00080E28" w:rsidRPr="00080E28" w:rsidRDefault="00080E28" w:rsidP="00080E28">
      <w:pPr>
        <w:bidi w:val="0"/>
        <w:spacing w:after="0" w:line="480" w:lineRule="auto"/>
        <w:ind w:left="720"/>
        <w:rPr>
          <w:rFonts w:asciiTheme="majorBidi" w:hAnsiTheme="majorBidi" w:cstheme="majorBidi"/>
          <w:sz w:val="24"/>
          <w:szCs w:val="24"/>
        </w:rPr>
      </w:pPr>
      <w:r>
        <w:rPr>
          <w:rFonts w:asciiTheme="majorBidi" w:hAnsiTheme="majorBidi" w:cstheme="majorBidi"/>
          <w:sz w:val="24"/>
          <w:szCs w:val="24"/>
        </w:rPr>
        <w:t xml:space="preserve">2) </w:t>
      </w:r>
      <w:r w:rsidRPr="00080E28">
        <w:rPr>
          <w:rFonts w:asciiTheme="majorBidi" w:hAnsiTheme="majorBidi" w:cstheme="majorBidi"/>
          <w:sz w:val="24"/>
          <w:szCs w:val="24"/>
        </w:rPr>
        <w:t>Table S1</w:t>
      </w:r>
    </w:p>
    <w:p w14:paraId="083F620B" w14:textId="414CA824" w:rsidR="00080E28" w:rsidRPr="00080E28" w:rsidRDefault="00080E28" w:rsidP="00080E28">
      <w:pPr>
        <w:bidi w:val="0"/>
        <w:spacing w:after="0" w:line="480" w:lineRule="auto"/>
        <w:ind w:left="720"/>
        <w:rPr>
          <w:rFonts w:asciiTheme="majorBidi" w:hAnsiTheme="majorBidi" w:cstheme="majorBidi"/>
          <w:sz w:val="24"/>
          <w:szCs w:val="24"/>
        </w:rPr>
      </w:pPr>
      <w:r>
        <w:rPr>
          <w:rFonts w:asciiTheme="majorBidi" w:hAnsiTheme="majorBidi" w:cstheme="majorBidi"/>
          <w:sz w:val="24"/>
          <w:szCs w:val="24"/>
        </w:rPr>
        <w:t xml:space="preserve">3) </w:t>
      </w:r>
      <w:r w:rsidRPr="00080E28">
        <w:rPr>
          <w:rFonts w:asciiTheme="majorBidi" w:hAnsiTheme="majorBidi" w:cstheme="majorBidi"/>
          <w:sz w:val="24"/>
          <w:szCs w:val="24"/>
        </w:rPr>
        <w:t>Figure S1</w:t>
      </w:r>
    </w:p>
    <w:p w14:paraId="0AD4DD64" w14:textId="77777777" w:rsidR="00080E28" w:rsidRDefault="00080E28" w:rsidP="00080E28">
      <w:pPr>
        <w:bidi w:val="0"/>
        <w:spacing w:line="480" w:lineRule="auto"/>
        <w:contextualSpacing/>
        <w:rPr>
          <w:rFonts w:asciiTheme="majorBidi" w:hAnsiTheme="majorBidi" w:cstheme="majorBidi"/>
          <w:b/>
          <w:bCs/>
          <w:color w:val="333333"/>
          <w:sz w:val="24"/>
          <w:szCs w:val="24"/>
          <w:shd w:val="clear" w:color="auto" w:fill="FFFFFF"/>
        </w:rPr>
      </w:pPr>
    </w:p>
    <w:p w14:paraId="6AEF6EDA" w14:textId="3840038C" w:rsidR="00384627" w:rsidRPr="00AE5E66" w:rsidRDefault="00384627" w:rsidP="00080E28">
      <w:pPr>
        <w:bidi w:val="0"/>
        <w:spacing w:line="480" w:lineRule="auto"/>
        <w:contextualSpacing/>
        <w:rPr>
          <w:rFonts w:asciiTheme="majorBidi" w:hAnsiTheme="majorBidi" w:cstheme="majorBidi"/>
          <w:color w:val="333333"/>
          <w:sz w:val="24"/>
          <w:szCs w:val="24"/>
          <w:shd w:val="clear" w:color="auto" w:fill="FFFFFF"/>
        </w:rPr>
      </w:pPr>
      <w:r w:rsidRPr="00906392">
        <w:rPr>
          <w:rFonts w:asciiTheme="majorBidi" w:hAnsiTheme="majorBidi" w:cstheme="majorBidi"/>
          <w:b/>
          <w:bCs/>
          <w:color w:val="333333"/>
          <w:sz w:val="24"/>
          <w:szCs w:val="24"/>
          <w:shd w:val="clear" w:color="auto" w:fill="FFFFFF"/>
        </w:rPr>
        <w:t>Laboratory methods for VRE-fm detection</w:t>
      </w:r>
    </w:p>
    <w:p w14:paraId="7E7C8AB1" w14:textId="77777777" w:rsidR="00384627" w:rsidRPr="00AE5E66" w:rsidRDefault="00384627" w:rsidP="00384627">
      <w:pPr>
        <w:autoSpaceDE w:val="0"/>
        <w:autoSpaceDN w:val="0"/>
        <w:bidi w:val="0"/>
        <w:adjustRightInd w:val="0"/>
        <w:spacing w:after="0" w:line="480" w:lineRule="auto"/>
        <w:contextualSpacing/>
        <w:rPr>
          <w:rFonts w:asciiTheme="majorBidi" w:hAnsiTheme="majorBidi" w:cstheme="majorBidi"/>
          <w:i/>
          <w:iCs/>
          <w:color w:val="333333"/>
          <w:sz w:val="24"/>
          <w:szCs w:val="24"/>
          <w:shd w:val="clear" w:color="auto" w:fill="FFFFFF"/>
        </w:rPr>
      </w:pPr>
      <w:r w:rsidRPr="00AE5E66">
        <w:rPr>
          <w:rFonts w:asciiTheme="majorBidi" w:hAnsiTheme="majorBidi" w:cstheme="majorBidi"/>
          <w:i/>
          <w:iCs/>
          <w:color w:val="333333"/>
          <w:sz w:val="24"/>
          <w:szCs w:val="24"/>
          <w:shd w:val="clear" w:color="auto" w:fill="FFFFFF"/>
        </w:rPr>
        <w:t>Molecular approach</w:t>
      </w:r>
    </w:p>
    <w:p w14:paraId="0AE19EEA" w14:textId="3B5FDB97" w:rsidR="00384627" w:rsidRPr="00AE5E66" w:rsidRDefault="00307F87" w:rsidP="00553000">
      <w:pPr>
        <w:autoSpaceDE w:val="0"/>
        <w:autoSpaceDN w:val="0"/>
        <w:bidi w:val="0"/>
        <w:adjustRightInd w:val="0"/>
        <w:spacing w:after="0" w:line="480" w:lineRule="auto"/>
        <w:contextualSpacing/>
        <w:rPr>
          <w:rFonts w:asciiTheme="majorBidi" w:hAnsiTheme="majorBidi" w:cstheme="majorBidi"/>
          <w:color w:val="333333"/>
          <w:sz w:val="24"/>
          <w:szCs w:val="24"/>
          <w:shd w:val="clear" w:color="auto" w:fill="FFFFFF"/>
        </w:rPr>
      </w:pPr>
      <w:r w:rsidRPr="00AE5E66">
        <w:rPr>
          <w:rFonts w:asciiTheme="majorBidi" w:hAnsiTheme="majorBidi" w:cstheme="majorBidi"/>
          <w:color w:val="333333"/>
          <w:sz w:val="24"/>
          <w:szCs w:val="24"/>
          <w:shd w:val="clear" w:color="auto" w:fill="FFFFFF"/>
        </w:rPr>
        <w:t>The molecular method was previously described by Depardieu et al.</w:t>
      </w:r>
      <w:r w:rsidR="00E76594">
        <w:rPr>
          <w:rFonts w:asciiTheme="majorBidi" w:hAnsiTheme="majorBidi" w:cstheme="majorBidi"/>
          <w:color w:val="333333"/>
          <w:sz w:val="24"/>
          <w:szCs w:val="24"/>
          <w:shd w:val="clear" w:color="auto" w:fill="FFFFFF"/>
        </w:rPr>
        <w:fldChar w:fldCharType="begin" w:fldLock="1"/>
      </w:r>
      <w:r w:rsidR="00C669E4">
        <w:rPr>
          <w:rFonts w:asciiTheme="majorBidi" w:hAnsiTheme="majorBidi" w:cstheme="majorBidi"/>
          <w:color w:val="333333"/>
          <w:sz w:val="24"/>
          <w:szCs w:val="24"/>
          <w:shd w:val="clear" w:color="auto" w:fill="FFFFFF"/>
        </w:rPr>
        <w:instrText>ADDIN CSL_CITATION {"citationItems":[{"id":"ITEM-1","itemData":{"DOI":"10.1128/JCM.42.12.5857-5860.2004","ISSN":"0095-1137","PMID":"15583325","abstract":"A multiplex PCR assay was developed for detection of the six types of glycopeptide resistance characterized in enterococci and for identification of Enterococcus faecium, Enterococcus faecalis, Staphylococcus aureus, and Staphylococcus epidermidis at the species level. Primers targeting the genes vanA, vanB, vanC, vanD, vanE, vanG, and ddl of E. faecium and E. faecalis and nuc of S. aureus and a chromosomal portion specific to S. epidermidis were designed to allow amplification of fragments with various sizes. This specific and sensitive technique allows detection of glycopeptide-resistant strains, in particular methicillin-resistant S. aureus, that may escape phenotype-based automated rapid methods.","author":[{"dropping-particle":"","family":"Depardieu","given":"Florence","non-dropping-particle":"","parse-names":false,"suffix":""},{"dropping-particle":"","family":"Perichon","given":"Bruno","non-dropping-particle":"","parse-names":false,"suffix":""},{"dropping-particle":"","family":"Courvalin","given":"Patrice","non-dropping-particle":"","parse-names":false,"suffix":""}],"container-title":"Journal of clinical microbiology","id":"ITEM-1","issue":"12","issued":{"date-parts":[["2004","12"]]},"page":"5857-60","title":"Detection of the van alphabet and identification of enterococci and staphylococci at the species level by multiplex PCR.","type":"article-journal","volume":"42"},"uris":["http://www.mendeley.com/documents/?uuid=fa5d346b-1f5a-448a-b7b4-b39f28e2a029"]}],"mendeley":{"formattedCitation":"&lt;sup&gt;19&lt;/sup&gt;","plainTextFormattedCitation":"19","previouslyFormattedCitation":"&lt;sup&gt;19&lt;/sup&gt;"},"properties":{"noteIndex":0},"schema":"https://github.com/citation-style-language/schema/raw/master/csl-citation.json"}</w:instrText>
      </w:r>
      <w:r w:rsidR="00E76594">
        <w:rPr>
          <w:rFonts w:asciiTheme="majorBidi" w:hAnsiTheme="majorBidi" w:cstheme="majorBidi"/>
          <w:color w:val="333333"/>
          <w:sz w:val="24"/>
          <w:szCs w:val="24"/>
          <w:shd w:val="clear" w:color="auto" w:fill="FFFFFF"/>
        </w:rPr>
        <w:fldChar w:fldCharType="separate"/>
      </w:r>
      <w:r w:rsidR="00C669E4" w:rsidRPr="00C669E4">
        <w:rPr>
          <w:rFonts w:asciiTheme="majorBidi" w:hAnsiTheme="majorBidi" w:cstheme="majorBidi"/>
          <w:noProof/>
          <w:color w:val="333333"/>
          <w:sz w:val="24"/>
          <w:szCs w:val="24"/>
          <w:shd w:val="clear" w:color="auto" w:fill="FFFFFF"/>
          <w:vertAlign w:val="superscript"/>
        </w:rPr>
        <w:t>19</w:t>
      </w:r>
      <w:r w:rsidR="00E76594">
        <w:rPr>
          <w:rFonts w:asciiTheme="majorBidi" w:hAnsiTheme="majorBidi" w:cstheme="majorBidi"/>
          <w:color w:val="333333"/>
          <w:sz w:val="24"/>
          <w:szCs w:val="24"/>
          <w:shd w:val="clear" w:color="auto" w:fill="FFFFFF"/>
        </w:rPr>
        <w:fldChar w:fldCharType="end"/>
      </w:r>
      <w:r>
        <w:rPr>
          <w:rFonts w:asciiTheme="majorBidi" w:hAnsiTheme="majorBidi" w:cstheme="majorBidi"/>
          <w:color w:val="333333"/>
          <w:sz w:val="24"/>
          <w:szCs w:val="24"/>
          <w:shd w:val="clear" w:color="auto" w:fill="FFFFFF"/>
        </w:rPr>
        <w:t xml:space="preserve"> </w:t>
      </w:r>
      <w:r w:rsidR="00384627" w:rsidRPr="00AE5E66">
        <w:rPr>
          <w:rFonts w:asciiTheme="majorBidi" w:hAnsiTheme="majorBidi" w:cstheme="majorBidi"/>
          <w:color w:val="333333"/>
          <w:sz w:val="24"/>
          <w:szCs w:val="24"/>
          <w:shd w:val="clear" w:color="auto" w:fill="FFFFFF"/>
        </w:rPr>
        <w:t xml:space="preserve">A multiplex PCR reaction was used to detect both </w:t>
      </w:r>
      <w:r w:rsidR="00384627" w:rsidRPr="00AE5E66">
        <w:rPr>
          <w:rFonts w:asciiTheme="majorBidi" w:hAnsiTheme="majorBidi" w:cstheme="majorBidi"/>
          <w:i/>
          <w:iCs/>
          <w:color w:val="333333"/>
          <w:sz w:val="24"/>
          <w:szCs w:val="24"/>
          <w:shd w:val="clear" w:color="auto" w:fill="FFFFFF"/>
        </w:rPr>
        <w:t>van</w:t>
      </w:r>
      <w:r w:rsidR="00384627" w:rsidRPr="00AE5E66">
        <w:rPr>
          <w:rFonts w:asciiTheme="majorBidi" w:hAnsiTheme="majorBidi" w:cstheme="majorBidi"/>
          <w:color w:val="333333"/>
          <w:sz w:val="24"/>
          <w:szCs w:val="24"/>
          <w:shd w:val="clear" w:color="auto" w:fill="FFFFFF"/>
        </w:rPr>
        <w:t xml:space="preserve">A and </w:t>
      </w:r>
      <w:r w:rsidR="00384627" w:rsidRPr="00AE5E66">
        <w:rPr>
          <w:rFonts w:asciiTheme="majorBidi" w:hAnsiTheme="majorBidi" w:cstheme="majorBidi"/>
          <w:i/>
          <w:iCs/>
          <w:color w:val="333333"/>
          <w:sz w:val="24"/>
          <w:szCs w:val="24"/>
          <w:shd w:val="clear" w:color="auto" w:fill="FFFFFF"/>
        </w:rPr>
        <w:t xml:space="preserve">ddl </w:t>
      </w:r>
      <w:r w:rsidR="00384627" w:rsidRPr="00AE5E66">
        <w:rPr>
          <w:rFonts w:asciiTheme="majorBidi" w:hAnsiTheme="majorBidi" w:cstheme="majorBidi"/>
          <w:color w:val="333333"/>
          <w:sz w:val="24"/>
          <w:szCs w:val="24"/>
          <w:shd w:val="clear" w:color="auto" w:fill="FFFFFF"/>
        </w:rPr>
        <w:t xml:space="preserve">target genes. </w:t>
      </w:r>
      <w:r w:rsidR="00384627" w:rsidRPr="00AE5E66">
        <w:rPr>
          <w:rFonts w:asciiTheme="majorBidi" w:hAnsiTheme="majorBidi" w:cstheme="majorBidi"/>
          <w:i/>
          <w:iCs/>
          <w:color w:val="333333"/>
          <w:sz w:val="24"/>
          <w:szCs w:val="24"/>
          <w:shd w:val="clear" w:color="auto" w:fill="FFFFFF"/>
        </w:rPr>
        <w:t xml:space="preserve">ddl </w:t>
      </w:r>
      <w:r w:rsidR="00384627" w:rsidRPr="00AE5E66">
        <w:rPr>
          <w:rFonts w:asciiTheme="majorBidi" w:hAnsiTheme="majorBidi" w:cstheme="majorBidi"/>
          <w:color w:val="333333"/>
          <w:sz w:val="24"/>
          <w:szCs w:val="24"/>
          <w:shd w:val="clear" w:color="auto" w:fill="FFFFFF"/>
        </w:rPr>
        <w:t xml:space="preserve">gene was chosen for the specific detection of </w:t>
      </w:r>
      <w:r w:rsidR="00384627" w:rsidRPr="00AE5E66">
        <w:rPr>
          <w:rFonts w:asciiTheme="majorBidi" w:hAnsiTheme="majorBidi" w:cstheme="majorBidi"/>
          <w:i/>
          <w:iCs/>
          <w:color w:val="333333"/>
          <w:sz w:val="24"/>
          <w:szCs w:val="24"/>
          <w:shd w:val="clear" w:color="auto" w:fill="FFFFFF"/>
        </w:rPr>
        <w:t>E. faecium</w:t>
      </w:r>
      <w:r w:rsidR="00384627" w:rsidRPr="00AE5E66">
        <w:rPr>
          <w:rFonts w:asciiTheme="majorBidi" w:hAnsiTheme="majorBidi" w:cstheme="majorBidi"/>
          <w:color w:val="333333"/>
          <w:sz w:val="24"/>
          <w:szCs w:val="24"/>
          <w:shd w:val="clear" w:color="auto" w:fill="FFFFFF"/>
        </w:rPr>
        <w:t xml:space="preserve"> and </w:t>
      </w:r>
      <w:r w:rsidR="00553000">
        <w:rPr>
          <w:rFonts w:asciiTheme="majorBidi" w:hAnsiTheme="majorBidi" w:cstheme="majorBidi"/>
          <w:i/>
          <w:iCs/>
          <w:color w:val="333333"/>
          <w:sz w:val="24"/>
          <w:szCs w:val="24"/>
          <w:shd w:val="clear" w:color="auto" w:fill="FFFFFF"/>
        </w:rPr>
        <w:t>v</w:t>
      </w:r>
      <w:r w:rsidR="00553000" w:rsidRPr="00AE5E66">
        <w:rPr>
          <w:rFonts w:asciiTheme="majorBidi" w:hAnsiTheme="majorBidi" w:cstheme="majorBidi"/>
          <w:i/>
          <w:iCs/>
          <w:color w:val="333333"/>
          <w:sz w:val="24"/>
          <w:szCs w:val="24"/>
          <w:shd w:val="clear" w:color="auto" w:fill="FFFFFF"/>
        </w:rPr>
        <w:t>an</w:t>
      </w:r>
      <w:r w:rsidR="00553000" w:rsidRPr="00AE5E66">
        <w:rPr>
          <w:rFonts w:asciiTheme="majorBidi" w:hAnsiTheme="majorBidi" w:cstheme="majorBidi"/>
          <w:color w:val="333333"/>
          <w:sz w:val="24"/>
          <w:szCs w:val="24"/>
          <w:shd w:val="clear" w:color="auto" w:fill="FFFFFF"/>
        </w:rPr>
        <w:t xml:space="preserve">A </w:t>
      </w:r>
      <w:r w:rsidR="00384627" w:rsidRPr="00AE5E66">
        <w:rPr>
          <w:rFonts w:asciiTheme="majorBidi" w:hAnsiTheme="majorBidi" w:cstheme="majorBidi"/>
          <w:color w:val="333333"/>
          <w:sz w:val="24"/>
          <w:szCs w:val="24"/>
          <w:shd w:val="clear" w:color="auto" w:fill="FFFFFF"/>
        </w:rPr>
        <w:t xml:space="preserve">gene to confirm the </w:t>
      </w:r>
      <w:r w:rsidR="00553000">
        <w:rPr>
          <w:rFonts w:asciiTheme="majorBidi" w:hAnsiTheme="majorBidi" w:cstheme="majorBidi"/>
          <w:color w:val="333333"/>
          <w:sz w:val="24"/>
          <w:szCs w:val="24"/>
          <w:shd w:val="clear" w:color="auto" w:fill="FFFFFF"/>
        </w:rPr>
        <w:t xml:space="preserve">presence of a resistance gene to </w:t>
      </w:r>
      <w:r w:rsidR="00384627" w:rsidRPr="00AE5E66">
        <w:rPr>
          <w:rFonts w:asciiTheme="majorBidi" w:hAnsiTheme="majorBidi" w:cstheme="majorBidi"/>
          <w:color w:val="333333"/>
          <w:sz w:val="24"/>
          <w:szCs w:val="24"/>
          <w:shd w:val="clear" w:color="auto" w:fill="FFFFFF"/>
        </w:rPr>
        <w:t xml:space="preserve">vancomycin. PCR products were sequenced using a Sanger method (HyLabs, Rehovot, Israel) and analyzed by BLAST. Three well-characterized strains from our collection were used as quality control strains: (1) </w:t>
      </w:r>
      <w:r w:rsidR="00384627" w:rsidRPr="00AE5E66">
        <w:rPr>
          <w:rFonts w:asciiTheme="majorBidi" w:hAnsiTheme="majorBidi" w:cstheme="majorBidi"/>
          <w:i/>
          <w:iCs/>
          <w:color w:val="333333"/>
          <w:sz w:val="24"/>
          <w:szCs w:val="24"/>
          <w:shd w:val="clear" w:color="auto" w:fill="FFFFFF"/>
        </w:rPr>
        <w:t>E. faecium</w:t>
      </w:r>
      <w:r w:rsidR="00384627" w:rsidRPr="00AE5E66">
        <w:rPr>
          <w:rFonts w:asciiTheme="majorBidi" w:hAnsiTheme="majorBidi" w:cstheme="majorBidi"/>
          <w:color w:val="333333"/>
          <w:sz w:val="24"/>
          <w:szCs w:val="24"/>
          <w:shd w:val="clear" w:color="auto" w:fill="FFFFFF"/>
        </w:rPr>
        <w:t>-</w:t>
      </w:r>
      <w:r w:rsidR="00384627" w:rsidRPr="00AE5E66">
        <w:rPr>
          <w:rFonts w:asciiTheme="majorBidi" w:hAnsiTheme="majorBidi" w:cstheme="majorBidi"/>
          <w:i/>
          <w:iCs/>
          <w:color w:val="333333"/>
          <w:sz w:val="24"/>
          <w:szCs w:val="24"/>
          <w:shd w:val="clear" w:color="auto" w:fill="FFFFFF"/>
        </w:rPr>
        <w:t>van</w:t>
      </w:r>
      <w:r w:rsidR="00384627" w:rsidRPr="00AE5E66">
        <w:rPr>
          <w:rFonts w:asciiTheme="majorBidi" w:hAnsiTheme="majorBidi" w:cstheme="majorBidi"/>
          <w:color w:val="333333"/>
          <w:sz w:val="24"/>
          <w:szCs w:val="24"/>
          <w:shd w:val="clear" w:color="auto" w:fill="FFFFFF"/>
        </w:rPr>
        <w:t xml:space="preserve">A positive, (2) </w:t>
      </w:r>
      <w:r w:rsidR="00384627" w:rsidRPr="00AE5E66">
        <w:rPr>
          <w:rFonts w:asciiTheme="majorBidi" w:hAnsiTheme="majorBidi" w:cstheme="majorBidi"/>
          <w:i/>
          <w:iCs/>
          <w:color w:val="333333"/>
          <w:sz w:val="24"/>
          <w:szCs w:val="24"/>
          <w:shd w:val="clear" w:color="auto" w:fill="FFFFFF"/>
        </w:rPr>
        <w:t>E. faecium</w:t>
      </w:r>
      <w:r w:rsidR="00384627" w:rsidRPr="00AE5E66">
        <w:rPr>
          <w:rFonts w:asciiTheme="majorBidi" w:hAnsiTheme="majorBidi" w:cstheme="majorBidi"/>
          <w:color w:val="333333"/>
          <w:sz w:val="24"/>
          <w:szCs w:val="24"/>
          <w:shd w:val="clear" w:color="auto" w:fill="FFFFFF"/>
        </w:rPr>
        <w:t>-</w:t>
      </w:r>
      <w:r w:rsidR="00384627" w:rsidRPr="00AE5E66">
        <w:rPr>
          <w:rFonts w:asciiTheme="majorBidi" w:hAnsiTheme="majorBidi" w:cstheme="majorBidi"/>
          <w:i/>
          <w:iCs/>
          <w:color w:val="333333"/>
          <w:sz w:val="24"/>
          <w:szCs w:val="24"/>
          <w:shd w:val="clear" w:color="auto" w:fill="FFFFFF"/>
        </w:rPr>
        <w:t>van</w:t>
      </w:r>
      <w:r w:rsidR="00384627" w:rsidRPr="00AE5E66">
        <w:rPr>
          <w:rFonts w:asciiTheme="majorBidi" w:hAnsiTheme="majorBidi" w:cstheme="majorBidi"/>
          <w:color w:val="333333"/>
          <w:sz w:val="24"/>
          <w:szCs w:val="24"/>
          <w:shd w:val="clear" w:color="auto" w:fill="FFFFFF"/>
        </w:rPr>
        <w:t xml:space="preserve">A negative and (3) </w:t>
      </w:r>
      <w:r w:rsidR="00384627" w:rsidRPr="00AE5E66">
        <w:rPr>
          <w:rFonts w:asciiTheme="majorBidi" w:hAnsiTheme="majorBidi" w:cstheme="majorBidi"/>
          <w:i/>
          <w:iCs/>
          <w:color w:val="333333"/>
          <w:sz w:val="24"/>
          <w:szCs w:val="24"/>
          <w:shd w:val="clear" w:color="auto" w:fill="FFFFFF"/>
        </w:rPr>
        <w:t>E. faecalis</w:t>
      </w:r>
      <w:r w:rsidR="00384627" w:rsidRPr="00AE5E66">
        <w:rPr>
          <w:rFonts w:asciiTheme="majorBidi" w:hAnsiTheme="majorBidi" w:cstheme="majorBidi"/>
          <w:color w:val="333333"/>
          <w:sz w:val="24"/>
          <w:szCs w:val="24"/>
          <w:shd w:val="clear" w:color="auto" w:fill="FFFFFF"/>
        </w:rPr>
        <w:t>-</w:t>
      </w:r>
      <w:r w:rsidR="00384627" w:rsidRPr="00AE5E66">
        <w:rPr>
          <w:rFonts w:asciiTheme="majorBidi" w:hAnsiTheme="majorBidi" w:cstheme="majorBidi"/>
          <w:i/>
          <w:iCs/>
          <w:color w:val="333333"/>
          <w:sz w:val="24"/>
          <w:szCs w:val="24"/>
          <w:shd w:val="clear" w:color="auto" w:fill="FFFFFF"/>
        </w:rPr>
        <w:t>van</w:t>
      </w:r>
      <w:r w:rsidR="00384627" w:rsidRPr="00AE5E66">
        <w:rPr>
          <w:rFonts w:asciiTheme="majorBidi" w:hAnsiTheme="majorBidi" w:cstheme="majorBidi"/>
          <w:color w:val="333333"/>
          <w:sz w:val="24"/>
          <w:szCs w:val="24"/>
          <w:shd w:val="clear" w:color="auto" w:fill="FFFFFF"/>
        </w:rPr>
        <w:t>B positive.</w:t>
      </w:r>
    </w:p>
    <w:p w14:paraId="0C9A3F2B" w14:textId="77777777" w:rsidR="00384627" w:rsidRPr="00AE5E66" w:rsidRDefault="00307F87" w:rsidP="00384627">
      <w:pPr>
        <w:autoSpaceDE w:val="0"/>
        <w:autoSpaceDN w:val="0"/>
        <w:bidi w:val="0"/>
        <w:adjustRightInd w:val="0"/>
        <w:spacing w:after="0" w:line="480" w:lineRule="auto"/>
        <w:rPr>
          <w:rFonts w:asciiTheme="majorBidi" w:hAnsiTheme="majorBidi" w:cstheme="majorBidi"/>
          <w:i/>
          <w:iCs/>
          <w:color w:val="333333"/>
          <w:sz w:val="24"/>
          <w:szCs w:val="24"/>
          <w:shd w:val="clear" w:color="auto" w:fill="FFFFFF"/>
        </w:rPr>
      </w:pPr>
      <w:r>
        <w:rPr>
          <w:rFonts w:asciiTheme="majorBidi" w:hAnsiTheme="majorBidi" w:cstheme="majorBidi"/>
          <w:i/>
          <w:iCs/>
          <w:color w:val="333333"/>
          <w:sz w:val="24"/>
          <w:szCs w:val="24"/>
          <w:shd w:val="clear" w:color="auto" w:fill="FFFFFF"/>
        </w:rPr>
        <w:t>C</w:t>
      </w:r>
      <w:r w:rsidR="00384627" w:rsidRPr="00AE5E66">
        <w:rPr>
          <w:rFonts w:asciiTheme="majorBidi" w:hAnsiTheme="majorBidi" w:cstheme="majorBidi"/>
          <w:i/>
          <w:iCs/>
          <w:color w:val="333333"/>
          <w:sz w:val="24"/>
          <w:szCs w:val="24"/>
          <w:shd w:val="clear" w:color="auto" w:fill="FFFFFF"/>
        </w:rPr>
        <w:t>ulture</w:t>
      </w:r>
      <w:r>
        <w:rPr>
          <w:rFonts w:asciiTheme="majorBidi" w:hAnsiTheme="majorBidi" w:cstheme="majorBidi"/>
          <w:i/>
          <w:iCs/>
          <w:color w:val="333333"/>
          <w:sz w:val="24"/>
          <w:szCs w:val="24"/>
          <w:shd w:val="clear" w:color="auto" w:fill="FFFFFF"/>
        </w:rPr>
        <w:t xml:space="preserve"> approach</w:t>
      </w:r>
    </w:p>
    <w:p w14:paraId="14760507" w14:textId="67781442" w:rsidR="00384627" w:rsidRPr="00AE5E66" w:rsidRDefault="00384627" w:rsidP="00212AF0">
      <w:pPr>
        <w:autoSpaceDE w:val="0"/>
        <w:autoSpaceDN w:val="0"/>
        <w:bidi w:val="0"/>
        <w:adjustRightInd w:val="0"/>
        <w:spacing w:after="0" w:line="480" w:lineRule="auto"/>
        <w:rPr>
          <w:rFonts w:asciiTheme="majorBidi" w:hAnsiTheme="majorBidi" w:cstheme="majorBidi"/>
          <w:color w:val="333333"/>
          <w:sz w:val="24"/>
          <w:szCs w:val="24"/>
          <w:shd w:val="clear" w:color="auto" w:fill="FFFFFF"/>
        </w:rPr>
      </w:pPr>
      <w:r w:rsidRPr="00AE5E66">
        <w:rPr>
          <w:rFonts w:asciiTheme="majorBidi" w:hAnsiTheme="majorBidi" w:cstheme="majorBidi"/>
          <w:color w:val="333333"/>
          <w:sz w:val="24"/>
          <w:szCs w:val="24"/>
          <w:shd w:val="clear" w:color="auto" w:fill="FFFFFF"/>
        </w:rPr>
        <w:t>Each stool specimen was inoculated in 5mL Brain Heart Infusion (BHI) enrichment broth to increase sensitivity. Samples were incubated aerobically at 35-37°C for 18 hours</w:t>
      </w:r>
      <w:r w:rsidR="00E83500">
        <w:rPr>
          <w:rFonts w:asciiTheme="majorBidi" w:hAnsiTheme="majorBidi" w:cstheme="majorBidi"/>
          <w:color w:val="333333"/>
          <w:sz w:val="24"/>
          <w:szCs w:val="24"/>
          <w:shd w:val="clear" w:color="auto" w:fill="FFFFFF"/>
        </w:rPr>
        <w:t xml:space="preserve"> before </w:t>
      </w:r>
      <w:r w:rsidR="00E83500" w:rsidRPr="00AE5E66">
        <w:rPr>
          <w:rFonts w:asciiTheme="majorBidi" w:hAnsiTheme="majorBidi" w:cstheme="majorBidi"/>
          <w:color w:val="333333"/>
          <w:sz w:val="24"/>
          <w:szCs w:val="24"/>
          <w:shd w:val="clear" w:color="auto" w:fill="FFFFFF"/>
        </w:rPr>
        <w:t>inoculation on CHROMagar VRE™ plate</w:t>
      </w:r>
      <w:r w:rsidRPr="00AE5E66">
        <w:rPr>
          <w:rFonts w:asciiTheme="majorBidi" w:hAnsiTheme="majorBidi" w:cstheme="majorBidi"/>
          <w:color w:val="333333"/>
          <w:sz w:val="24"/>
          <w:szCs w:val="24"/>
          <w:shd w:val="clear" w:color="auto" w:fill="FFFFFF"/>
        </w:rPr>
        <w:t xml:space="preserve">. </w:t>
      </w:r>
      <w:r w:rsidR="00BB2944">
        <w:rPr>
          <w:rFonts w:asciiTheme="majorBidi" w:hAnsiTheme="majorBidi" w:cstheme="majorBidi"/>
          <w:color w:val="333333"/>
          <w:sz w:val="24"/>
          <w:szCs w:val="24"/>
          <w:shd w:val="clear" w:color="auto" w:fill="FFFFFF"/>
        </w:rPr>
        <w:t>A</w:t>
      </w:r>
      <w:r w:rsidRPr="00AE5E66">
        <w:rPr>
          <w:rFonts w:asciiTheme="majorBidi" w:hAnsiTheme="majorBidi" w:cstheme="majorBidi"/>
          <w:color w:val="333333"/>
          <w:sz w:val="24"/>
          <w:szCs w:val="24"/>
          <w:shd w:val="clear" w:color="auto" w:fill="FFFFFF"/>
        </w:rPr>
        <w:t xml:space="preserve">n additional incubation of 18 hours was </w:t>
      </w:r>
      <w:r w:rsidR="00BB2944">
        <w:rPr>
          <w:rFonts w:asciiTheme="majorBidi" w:hAnsiTheme="majorBidi" w:cstheme="majorBidi"/>
          <w:color w:val="333333"/>
          <w:sz w:val="24"/>
          <w:szCs w:val="24"/>
          <w:shd w:val="clear" w:color="auto" w:fill="FFFFFF"/>
        </w:rPr>
        <w:t xml:space="preserve">performed. </w:t>
      </w:r>
      <w:r w:rsidRPr="00AE5E66">
        <w:rPr>
          <w:rFonts w:asciiTheme="majorBidi" w:hAnsiTheme="majorBidi" w:cstheme="majorBidi"/>
          <w:color w:val="333333"/>
          <w:sz w:val="24"/>
          <w:szCs w:val="24"/>
          <w:shd w:val="clear" w:color="auto" w:fill="FFFFFF"/>
        </w:rPr>
        <w:t xml:space="preserve"> </w:t>
      </w:r>
    </w:p>
    <w:p w14:paraId="0EAB9E0F" w14:textId="77777777" w:rsidR="00384627" w:rsidRPr="00AE5E66" w:rsidRDefault="00384627" w:rsidP="00384627">
      <w:pPr>
        <w:autoSpaceDE w:val="0"/>
        <w:autoSpaceDN w:val="0"/>
        <w:bidi w:val="0"/>
        <w:adjustRightInd w:val="0"/>
        <w:spacing w:after="0" w:line="480" w:lineRule="auto"/>
        <w:ind w:firstLine="720"/>
        <w:rPr>
          <w:rFonts w:asciiTheme="majorBidi" w:hAnsiTheme="majorBidi" w:cstheme="majorBidi"/>
          <w:color w:val="333333"/>
          <w:sz w:val="24"/>
          <w:szCs w:val="24"/>
          <w:shd w:val="clear" w:color="auto" w:fill="FFFFFF"/>
        </w:rPr>
      </w:pPr>
      <w:r w:rsidRPr="00AE5E66">
        <w:rPr>
          <w:rFonts w:asciiTheme="majorBidi" w:hAnsiTheme="majorBidi" w:cstheme="majorBidi"/>
          <w:color w:val="333333"/>
          <w:sz w:val="24"/>
          <w:szCs w:val="24"/>
          <w:shd w:val="clear" w:color="auto" w:fill="FFFFFF"/>
        </w:rPr>
        <w:t>Suspected pink colonies were identified using a VITEK</w:t>
      </w:r>
      <w:r w:rsidRPr="00AE5E66">
        <w:rPr>
          <w:rFonts w:asciiTheme="majorBidi" w:hAnsiTheme="majorBidi" w:cstheme="majorBidi"/>
          <w:color w:val="333333"/>
          <w:sz w:val="24"/>
          <w:szCs w:val="24"/>
          <w:shd w:val="clear" w:color="auto" w:fill="FFFFFF"/>
          <w:vertAlign w:val="superscript"/>
        </w:rPr>
        <w:t>®</w:t>
      </w:r>
      <w:r w:rsidRPr="00AE5E66">
        <w:rPr>
          <w:rFonts w:asciiTheme="majorBidi" w:hAnsiTheme="majorBidi" w:cstheme="majorBidi"/>
          <w:color w:val="333333"/>
          <w:sz w:val="24"/>
          <w:szCs w:val="24"/>
          <w:shd w:val="clear" w:color="auto" w:fill="FFFFFF"/>
        </w:rPr>
        <w:t xml:space="preserve"> 2 system (bioMérieux, Marcy l'Etoile, France). Initial susceptibility including vancomycin was obtained by the VITEK</w:t>
      </w:r>
      <w:r w:rsidRPr="00AE5E66">
        <w:rPr>
          <w:rFonts w:asciiTheme="majorBidi" w:hAnsiTheme="majorBidi" w:cstheme="majorBidi"/>
          <w:color w:val="333333"/>
          <w:sz w:val="24"/>
          <w:szCs w:val="24"/>
          <w:shd w:val="clear" w:color="auto" w:fill="FFFFFF"/>
          <w:vertAlign w:val="superscript"/>
        </w:rPr>
        <w:t>®</w:t>
      </w:r>
      <w:r w:rsidRPr="00AE5E66">
        <w:rPr>
          <w:rFonts w:asciiTheme="majorBidi" w:hAnsiTheme="majorBidi" w:cstheme="majorBidi"/>
          <w:color w:val="333333"/>
          <w:sz w:val="24"/>
          <w:szCs w:val="24"/>
          <w:shd w:val="clear" w:color="auto" w:fill="FFFFFF"/>
        </w:rPr>
        <w:t xml:space="preserve"> 2 system. In the case of </w:t>
      </w:r>
      <w:r w:rsidRPr="00AE5E66">
        <w:rPr>
          <w:rFonts w:asciiTheme="majorBidi" w:hAnsiTheme="majorBidi" w:cstheme="majorBidi"/>
          <w:i/>
          <w:iCs/>
          <w:color w:val="333333"/>
          <w:sz w:val="24"/>
          <w:szCs w:val="24"/>
          <w:shd w:val="clear" w:color="auto" w:fill="FFFFFF"/>
        </w:rPr>
        <w:t>E. faecium</w:t>
      </w:r>
      <w:r w:rsidRPr="00AE5E66">
        <w:rPr>
          <w:rFonts w:asciiTheme="majorBidi" w:hAnsiTheme="majorBidi" w:cstheme="majorBidi"/>
          <w:color w:val="333333"/>
          <w:sz w:val="24"/>
          <w:szCs w:val="24"/>
          <w:shd w:val="clear" w:color="auto" w:fill="FFFFFF"/>
        </w:rPr>
        <w:t xml:space="preserve"> identification and MIC VAN &gt;4µg/mL, vancomycin reduced susceptibility or resistance was confirmed by </w:t>
      </w:r>
      <w:r w:rsidRPr="00AE5E66">
        <w:rPr>
          <w:rFonts w:asciiTheme="majorBidi" w:hAnsiTheme="majorBidi" w:cstheme="majorBidi"/>
          <w:color w:val="333333"/>
          <w:sz w:val="24"/>
          <w:szCs w:val="24"/>
          <w:shd w:val="clear" w:color="auto" w:fill="FFFFFF"/>
        </w:rPr>
        <w:lastRenderedPageBreak/>
        <w:t>disk diffusion [CLSI M02QGE]. Susceptibility was interpreted using CLSI guidelines [CLSI M100]. In the case of discrepancy between VITEK</w:t>
      </w:r>
      <w:r w:rsidRPr="00AE5E66">
        <w:rPr>
          <w:rFonts w:asciiTheme="majorBidi" w:hAnsiTheme="majorBidi" w:cstheme="majorBidi"/>
          <w:color w:val="333333"/>
          <w:sz w:val="24"/>
          <w:szCs w:val="24"/>
          <w:shd w:val="clear" w:color="auto" w:fill="FFFFFF"/>
          <w:vertAlign w:val="superscript"/>
        </w:rPr>
        <w:t>®</w:t>
      </w:r>
      <w:r w:rsidRPr="00AE5E66">
        <w:rPr>
          <w:rFonts w:asciiTheme="majorBidi" w:hAnsiTheme="majorBidi" w:cstheme="majorBidi"/>
          <w:color w:val="333333"/>
          <w:sz w:val="24"/>
          <w:szCs w:val="24"/>
          <w:shd w:val="clear" w:color="auto" w:fill="FFFFFF"/>
        </w:rPr>
        <w:t xml:space="preserve"> 2 and disk diffusion results, the susceptibility obtained by the gold standard method (i.e disk diffusion) was reported. </w:t>
      </w:r>
      <w:r w:rsidRPr="00AE5E66">
        <w:rPr>
          <w:rFonts w:asciiTheme="majorBidi" w:hAnsiTheme="majorBidi" w:cstheme="majorBidi"/>
          <w:i/>
          <w:iCs/>
          <w:color w:val="333333"/>
          <w:sz w:val="24"/>
          <w:szCs w:val="24"/>
          <w:shd w:val="clear" w:color="auto" w:fill="FFFFFF"/>
        </w:rPr>
        <w:t>S. aureus</w:t>
      </w:r>
      <w:r w:rsidRPr="00AE5E66">
        <w:rPr>
          <w:rFonts w:asciiTheme="majorBidi" w:hAnsiTheme="majorBidi" w:cstheme="majorBidi"/>
          <w:color w:val="333333"/>
          <w:sz w:val="24"/>
          <w:szCs w:val="24"/>
          <w:shd w:val="clear" w:color="auto" w:fill="FFFFFF"/>
        </w:rPr>
        <w:t xml:space="preserve"> ATCC</w:t>
      </w:r>
      <w:r w:rsidRPr="00AE5E66">
        <w:rPr>
          <w:rFonts w:asciiTheme="majorBidi" w:hAnsiTheme="majorBidi" w:cstheme="majorBidi"/>
          <w:color w:val="333333"/>
          <w:sz w:val="24"/>
          <w:szCs w:val="24"/>
          <w:shd w:val="clear" w:color="auto" w:fill="FFFFFF"/>
          <w:vertAlign w:val="superscript"/>
        </w:rPr>
        <w:t>®</w:t>
      </w:r>
      <w:r w:rsidRPr="00AE5E66">
        <w:rPr>
          <w:rFonts w:asciiTheme="majorBidi" w:hAnsiTheme="majorBidi" w:cstheme="majorBidi"/>
          <w:color w:val="333333"/>
          <w:sz w:val="24"/>
          <w:szCs w:val="24"/>
          <w:shd w:val="clear" w:color="auto" w:fill="FFFFFF"/>
        </w:rPr>
        <w:t xml:space="preserve"> 259923 and </w:t>
      </w:r>
      <w:r w:rsidRPr="00AE5E66">
        <w:rPr>
          <w:rFonts w:asciiTheme="majorBidi" w:hAnsiTheme="majorBidi" w:cstheme="majorBidi"/>
          <w:i/>
          <w:iCs/>
          <w:color w:val="333333"/>
          <w:sz w:val="24"/>
          <w:szCs w:val="24"/>
          <w:shd w:val="clear" w:color="auto" w:fill="FFFFFF"/>
        </w:rPr>
        <w:t xml:space="preserve">E. faecalis </w:t>
      </w:r>
      <w:r w:rsidRPr="00AE5E66">
        <w:rPr>
          <w:rFonts w:asciiTheme="majorBidi" w:hAnsiTheme="majorBidi" w:cstheme="majorBidi"/>
          <w:color w:val="333333"/>
          <w:sz w:val="24"/>
          <w:szCs w:val="24"/>
          <w:shd w:val="clear" w:color="auto" w:fill="FFFFFF"/>
        </w:rPr>
        <w:t>ATCC</w:t>
      </w:r>
      <w:r w:rsidRPr="00AE5E66">
        <w:rPr>
          <w:rFonts w:asciiTheme="majorBidi" w:hAnsiTheme="majorBidi" w:cstheme="majorBidi"/>
          <w:color w:val="333333"/>
          <w:sz w:val="24"/>
          <w:szCs w:val="24"/>
          <w:shd w:val="clear" w:color="auto" w:fill="FFFFFF"/>
          <w:vertAlign w:val="superscript"/>
        </w:rPr>
        <w:t>®</w:t>
      </w:r>
      <w:r w:rsidRPr="00AE5E66">
        <w:rPr>
          <w:rFonts w:asciiTheme="majorBidi" w:hAnsiTheme="majorBidi" w:cstheme="majorBidi"/>
          <w:color w:val="333333"/>
          <w:sz w:val="24"/>
          <w:szCs w:val="24"/>
          <w:shd w:val="clear" w:color="auto" w:fill="FFFFFF"/>
        </w:rPr>
        <w:t xml:space="preserve"> 29212 were used as quality control strains. </w:t>
      </w:r>
    </w:p>
    <w:p w14:paraId="353D6FDA" w14:textId="77777777" w:rsidR="00080E28" w:rsidRDefault="00080E28">
      <w:pPr>
        <w:bidi w:val="0"/>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br w:type="page"/>
      </w:r>
    </w:p>
    <w:p w14:paraId="1C08C24D" w14:textId="4571AE6D" w:rsidR="00080E28" w:rsidRDefault="00080E28" w:rsidP="00080E28">
      <w:pPr>
        <w:bidi w:val="0"/>
        <w:spacing w:line="480" w:lineRule="auto"/>
        <w:rPr>
          <w:rFonts w:asciiTheme="majorBidi" w:hAnsiTheme="majorBidi" w:cstheme="majorBidi"/>
          <w:color w:val="333333"/>
          <w:sz w:val="24"/>
          <w:szCs w:val="24"/>
          <w:shd w:val="clear" w:color="auto" w:fill="FFFFFF"/>
        </w:rPr>
      </w:pPr>
      <w:r>
        <w:rPr>
          <w:rFonts w:asciiTheme="majorBidi" w:hAnsiTheme="majorBidi" w:cstheme="majorBidi"/>
          <w:color w:val="333333"/>
          <w:sz w:val="24"/>
          <w:szCs w:val="24"/>
          <w:shd w:val="clear" w:color="auto" w:fill="FFFFFF"/>
        </w:rPr>
        <w:lastRenderedPageBreak/>
        <w:t>Table S1.</w:t>
      </w:r>
      <w:r w:rsidRPr="00AE5E66">
        <w:rPr>
          <w:rFonts w:asciiTheme="majorBidi" w:hAnsiTheme="majorBidi" w:cstheme="majorBidi"/>
          <w:color w:val="333333"/>
          <w:sz w:val="24"/>
          <w:szCs w:val="24"/>
          <w:shd w:val="clear" w:color="auto" w:fill="FFFFFF"/>
        </w:rPr>
        <w:t xml:space="preserve"> Baseline and hospitalization characteristics of the 49 study patients</w:t>
      </w:r>
      <w:r>
        <w:rPr>
          <w:rFonts w:asciiTheme="majorBidi" w:hAnsiTheme="majorBidi" w:cstheme="majorBidi"/>
          <w:color w:val="333333"/>
          <w:sz w:val="24"/>
          <w:szCs w:val="24"/>
          <w:shd w:val="clear" w:color="auto" w:fill="FFFFFF"/>
        </w:rPr>
        <w:t xml:space="preserve"> </w:t>
      </w:r>
      <w:r>
        <w:rPr>
          <w:rFonts w:asciiTheme="majorBidi" w:hAnsiTheme="majorBidi" w:cstheme="majorBidi"/>
        </w:rPr>
        <w:t>(</w:t>
      </w:r>
      <w:r>
        <w:rPr>
          <w:rFonts w:asciiTheme="majorBidi" w:hAnsiTheme="majorBidi" w:cstheme="majorBidi"/>
          <w:sz w:val="24"/>
          <w:szCs w:val="24"/>
        </w:rPr>
        <w:t>Denominators are listed if data were missing).</w:t>
      </w:r>
    </w:p>
    <w:tbl>
      <w:tblPr>
        <w:tblStyle w:val="PlainTable2"/>
        <w:tblW w:w="0" w:type="auto"/>
        <w:tblLook w:val="0420" w:firstRow="1" w:lastRow="0" w:firstColumn="0" w:lastColumn="0" w:noHBand="0" w:noVBand="1"/>
      </w:tblPr>
      <w:tblGrid>
        <w:gridCol w:w="6096"/>
        <w:gridCol w:w="1984"/>
      </w:tblGrid>
      <w:tr w:rsidR="00080E28" w:rsidRPr="00080E28" w14:paraId="4D60D2F6" w14:textId="77777777" w:rsidTr="00F71919">
        <w:trPr>
          <w:cnfStyle w:val="100000000000" w:firstRow="1" w:lastRow="0" w:firstColumn="0" w:lastColumn="0" w:oddVBand="0" w:evenVBand="0" w:oddHBand="0" w:evenHBand="0" w:firstRowFirstColumn="0" w:firstRowLastColumn="0" w:lastRowFirstColumn="0" w:lastRowLastColumn="0"/>
          <w:trHeight w:val="340"/>
        </w:trPr>
        <w:tc>
          <w:tcPr>
            <w:tcW w:w="6096" w:type="dxa"/>
          </w:tcPr>
          <w:p w14:paraId="6D898440" w14:textId="77777777" w:rsidR="00080E28" w:rsidRPr="00080E28" w:rsidRDefault="00080E28" w:rsidP="00F71919">
            <w:pPr>
              <w:bidi w:val="0"/>
              <w:rPr>
                <w:rFonts w:asciiTheme="majorBidi" w:hAnsiTheme="majorBidi" w:cstheme="majorBidi"/>
                <w:rtl/>
              </w:rPr>
            </w:pPr>
            <w:r w:rsidRPr="00080E28">
              <w:rPr>
                <w:rFonts w:asciiTheme="majorBidi" w:hAnsiTheme="majorBidi" w:cstheme="majorBidi"/>
              </w:rPr>
              <w:t>Baseline characteristics</w:t>
            </w:r>
          </w:p>
        </w:tc>
        <w:tc>
          <w:tcPr>
            <w:tcW w:w="1984" w:type="dxa"/>
          </w:tcPr>
          <w:p w14:paraId="4FA378DF" w14:textId="77777777" w:rsidR="00080E28" w:rsidRPr="00080E28" w:rsidRDefault="00080E28" w:rsidP="00F71919">
            <w:pPr>
              <w:bidi w:val="0"/>
              <w:rPr>
                <w:rFonts w:asciiTheme="majorBidi" w:hAnsiTheme="majorBidi" w:cstheme="majorBidi"/>
                <w:rtl/>
              </w:rPr>
            </w:pPr>
          </w:p>
        </w:tc>
      </w:tr>
      <w:tr w:rsidR="00080E28" w:rsidRPr="00080E28" w14:paraId="11F08119"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1689F9F1"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Female, N (%)</w:t>
            </w:r>
          </w:p>
        </w:tc>
        <w:tc>
          <w:tcPr>
            <w:tcW w:w="1984" w:type="dxa"/>
          </w:tcPr>
          <w:p w14:paraId="46464C78"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27 (55.1%)</w:t>
            </w:r>
          </w:p>
        </w:tc>
      </w:tr>
      <w:tr w:rsidR="00080E28" w:rsidRPr="00080E28" w14:paraId="6C48A525" w14:textId="77777777" w:rsidTr="00F71919">
        <w:trPr>
          <w:trHeight w:val="340"/>
        </w:trPr>
        <w:tc>
          <w:tcPr>
            <w:tcW w:w="6096" w:type="dxa"/>
          </w:tcPr>
          <w:p w14:paraId="529545F7" w14:textId="77777777" w:rsidR="00080E28" w:rsidRPr="00080E28" w:rsidRDefault="00080E28" w:rsidP="00F71919">
            <w:pPr>
              <w:bidi w:val="0"/>
              <w:rPr>
                <w:rFonts w:asciiTheme="majorBidi" w:hAnsiTheme="majorBidi" w:cstheme="majorBidi"/>
                <w:rtl/>
              </w:rPr>
            </w:pPr>
            <w:r w:rsidRPr="00080E28">
              <w:rPr>
                <w:rFonts w:asciiTheme="majorBidi" w:hAnsiTheme="majorBidi" w:cstheme="majorBidi"/>
              </w:rPr>
              <w:t xml:space="preserve">Gestational age, median (IQR) </w:t>
            </w:r>
          </w:p>
        </w:tc>
        <w:tc>
          <w:tcPr>
            <w:tcW w:w="1984" w:type="dxa"/>
          </w:tcPr>
          <w:p w14:paraId="43AA032D" w14:textId="77777777" w:rsidR="00080E28" w:rsidRPr="00080E28" w:rsidRDefault="00080E28" w:rsidP="00F71919">
            <w:pPr>
              <w:bidi w:val="0"/>
              <w:rPr>
                <w:rFonts w:asciiTheme="majorBidi" w:hAnsiTheme="majorBidi" w:cstheme="majorBidi"/>
                <w:rtl/>
              </w:rPr>
            </w:pPr>
            <w:r w:rsidRPr="00080E28">
              <w:rPr>
                <w:rFonts w:asciiTheme="majorBidi" w:hAnsiTheme="majorBidi" w:cstheme="majorBidi"/>
              </w:rPr>
              <w:t>35.4 (31.3, 37.7)</w:t>
            </w:r>
          </w:p>
        </w:tc>
      </w:tr>
      <w:tr w:rsidR="00080E28" w:rsidRPr="00080E28" w14:paraId="27142C5E"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39F46771"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Extremely preterm (&lt;28),  N (%)</w:t>
            </w:r>
          </w:p>
        </w:tc>
        <w:tc>
          <w:tcPr>
            <w:tcW w:w="1984" w:type="dxa"/>
          </w:tcPr>
          <w:p w14:paraId="70311C36"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7 (14.3%)</w:t>
            </w:r>
          </w:p>
        </w:tc>
      </w:tr>
      <w:tr w:rsidR="00080E28" w:rsidRPr="00080E28" w14:paraId="00E36305" w14:textId="77777777" w:rsidTr="00F71919">
        <w:trPr>
          <w:trHeight w:val="340"/>
        </w:trPr>
        <w:tc>
          <w:tcPr>
            <w:tcW w:w="6096" w:type="dxa"/>
          </w:tcPr>
          <w:p w14:paraId="4BF6E997"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Very preterm (28 0/7 – 31 6/7), N (%)</w:t>
            </w:r>
          </w:p>
        </w:tc>
        <w:tc>
          <w:tcPr>
            <w:tcW w:w="1984" w:type="dxa"/>
          </w:tcPr>
          <w:p w14:paraId="5A6C1EB8"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6 (12.2%)</w:t>
            </w:r>
          </w:p>
        </w:tc>
      </w:tr>
      <w:tr w:rsidR="00080E28" w:rsidRPr="00080E28" w14:paraId="1C6FE8BA"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2E5A790E"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Moderate to late preterm (32 0/7 – 36 6/7), N (%)</w:t>
            </w:r>
          </w:p>
        </w:tc>
        <w:tc>
          <w:tcPr>
            <w:tcW w:w="1984" w:type="dxa"/>
          </w:tcPr>
          <w:p w14:paraId="5FE2D771" w14:textId="77777777" w:rsidR="00080E28" w:rsidRPr="00080E28" w:rsidRDefault="00080E28" w:rsidP="00F71919">
            <w:pPr>
              <w:bidi w:val="0"/>
              <w:rPr>
                <w:rFonts w:asciiTheme="majorBidi" w:hAnsiTheme="majorBidi" w:cstheme="majorBidi"/>
                <w:rtl/>
              </w:rPr>
            </w:pPr>
            <w:r w:rsidRPr="00080E28">
              <w:rPr>
                <w:rFonts w:asciiTheme="majorBidi" w:hAnsiTheme="majorBidi" w:cstheme="majorBidi"/>
              </w:rPr>
              <w:t>21 (42.9%)</w:t>
            </w:r>
          </w:p>
        </w:tc>
      </w:tr>
      <w:tr w:rsidR="00080E28" w:rsidRPr="00080E28" w14:paraId="30E9CF30" w14:textId="77777777" w:rsidTr="00F71919">
        <w:trPr>
          <w:trHeight w:val="340"/>
        </w:trPr>
        <w:tc>
          <w:tcPr>
            <w:tcW w:w="6096" w:type="dxa"/>
          </w:tcPr>
          <w:p w14:paraId="0C3FDB20"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Term (≥37), N (%)</w:t>
            </w:r>
          </w:p>
        </w:tc>
        <w:tc>
          <w:tcPr>
            <w:tcW w:w="1984" w:type="dxa"/>
          </w:tcPr>
          <w:p w14:paraId="08C60CE8"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15 (30.6%)</w:t>
            </w:r>
          </w:p>
        </w:tc>
      </w:tr>
      <w:tr w:rsidR="00080E28" w:rsidRPr="00080E28" w14:paraId="4FE4D205"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14BE330A" w14:textId="77777777" w:rsidR="00080E28" w:rsidRPr="00080E28" w:rsidRDefault="00080E28" w:rsidP="00F71919">
            <w:pPr>
              <w:bidi w:val="0"/>
              <w:rPr>
                <w:rFonts w:asciiTheme="majorBidi" w:hAnsiTheme="majorBidi" w:cstheme="majorBidi"/>
                <w:rtl/>
              </w:rPr>
            </w:pPr>
            <w:r w:rsidRPr="00080E28">
              <w:rPr>
                <w:rFonts w:asciiTheme="majorBidi" w:hAnsiTheme="majorBidi" w:cstheme="majorBidi"/>
              </w:rPr>
              <w:t>Birth weight, mean (± SD)</w:t>
            </w:r>
          </w:p>
        </w:tc>
        <w:tc>
          <w:tcPr>
            <w:tcW w:w="1984" w:type="dxa"/>
          </w:tcPr>
          <w:p w14:paraId="5FB8CEDD" w14:textId="77777777" w:rsidR="00080E28" w:rsidRPr="00080E28" w:rsidRDefault="00080E28" w:rsidP="00F71919">
            <w:pPr>
              <w:bidi w:val="0"/>
              <w:rPr>
                <w:rFonts w:asciiTheme="majorBidi" w:hAnsiTheme="majorBidi" w:cstheme="majorBidi"/>
                <w:rtl/>
              </w:rPr>
            </w:pPr>
            <w:r w:rsidRPr="00080E28">
              <w:rPr>
                <w:rFonts w:asciiTheme="majorBidi" w:hAnsiTheme="majorBidi" w:cstheme="majorBidi"/>
              </w:rPr>
              <w:t>2166.4 (±1044.5)</w:t>
            </w:r>
          </w:p>
        </w:tc>
      </w:tr>
      <w:tr w:rsidR="00080E28" w:rsidRPr="00080E28" w14:paraId="368E8CC5" w14:textId="77777777" w:rsidTr="00F71919">
        <w:trPr>
          <w:trHeight w:val="340"/>
        </w:trPr>
        <w:tc>
          <w:tcPr>
            <w:tcW w:w="6096" w:type="dxa"/>
          </w:tcPr>
          <w:p w14:paraId="1859EC93"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&lt;1500g, N (%)</w:t>
            </w:r>
          </w:p>
        </w:tc>
        <w:tc>
          <w:tcPr>
            <w:tcW w:w="1984" w:type="dxa"/>
          </w:tcPr>
          <w:p w14:paraId="4CD58650" w14:textId="77777777" w:rsidR="00080E28" w:rsidRPr="00080E28" w:rsidRDefault="00080E28" w:rsidP="00F71919">
            <w:pPr>
              <w:bidi w:val="0"/>
              <w:rPr>
                <w:rFonts w:asciiTheme="majorBidi" w:hAnsiTheme="majorBidi" w:cstheme="majorBidi"/>
                <w:rtl/>
              </w:rPr>
            </w:pPr>
            <w:r w:rsidRPr="00080E28">
              <w:rPr>
                <w:rFonts w:asciiTheme="majorBidi" w:hAnsiTheme="majorBidi" w:cstheme="majorBidi"/>
              </w:rPr>
              <w:t>14 (28.6%)</w:t>
            </w:r>
          </w:p>
        </w:tc>
      </w:tr>
      <w:tr w:rsidR="00080E28" w:rsidRPr="00080E28" w14:paraId="777C3166"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15BB3603"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 xml:space="preserve"> 1500-2500g, N (%)</w:t>
            </w:r>
          </w:p>
        </w:tc>
        <w:tc>
          <w:tcPr>
            <w:tcW w:w="1984" w:type="dxa"/>
          </w:tcPr>
          <w:p w14:paraId="4A13DFC4" w14:textId="77777777" w:rsidR="00080E28" w:rsidRPr="00080E28" w:rsidRDefault="00080E28" w:rsidP="00F71919">
            <w:pPr>
              <w:bidi w:val="0"/>
              <w:rPr>
                <w:rFonts w:asciiTheme="majorBidi" w:hAnsiTheme="majorBidi" w:cstheme="majorBidi"/>
                <w:rtl/>
              </w:rPr>
            </w:pPr>
            <w:r w:rsidRPr="00080E28">
              <w:rPr>
                <w:rFonts w:asciiTheme="majorBidi" w:hAnsiTheme="majorBidi" w:cstheme="majorBidi"/>
              </w:rPr>
              <w:t>16 (32.7%)</w:t>
            </w:r>
          </w:p>
        </w:tc>
      </w:tr>
      <w:tr w:rsidR="00080E28" w:rsidRPr="00080E28" w14:paraId="673F8318" w14:textId="77777777" w:rsidTr="00F71919">
        <w:trPr>
          <w:trHeight w:val="340"/>
        </w:trPr>
        <w:tc>
          <w:tcPr>
            <w:tcW w:w="6096" w:type="dxa"/>
          </w:tcPr>
          <w:p w14:paraId="72801608"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&gt;2500g, N (%)</w:t>
            </w:r>
          </w:p>
        </w:tc>
        <w:tc>
          <w:tcPr>
            <w:tcW w:w="1984" w:type="dxa"/>
          </w:tcPr>
          <w:p w14:paraId="36DA140A" w14:textId="77777777" w:rsidR="00080E28" w:rsidRPr="00080E28" w:rsidRDefault="00080E28" w:rsidP="00F71919">
            <w:pPr>
              <w:bidi w:val="0"/>
              <w:rPr>
                <w:rFonts w:asciiTheme="majorBidi" w:hAnsiTheme="majorBidi" w:cstheme="majorBidi"/>
                <w:rtl/>
              </w:rPr>
            </w:pPr>
            <w:r w:rsidRPr="00080E28">
              <w:rPr>
                <w:rFonts w:asciiTheme="majorBidi" w:hAnsiTheme="majorBidi" w:cstheme="majorBidi"/>
              </w:rPr>
              <w:t>19 (38.8%)</w:t>
            </w:r>
          </w:p>
        </w:tc>
      </w:tr>
      <w:tr w:rsidR="00080E28" w:rsidRPr="00080E28" w14:paraId="7B3E8F96"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0A952A28"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Delivery by Caesarean</w:t>
            </w:r>
            <w:r w:rsidRPr="00080E28" w:rsidDel="00517D65">
              <w:rPr>
                <w:rFonts w:asciiTheme="majorBidi" w:hAnsiTheme="majorBidi" w:cstheme="majorBidi"/>
              </w:rPr>
              <w:t xml:space="preserve"> </w:t>
            </w:r>
            <w:r w:rsidRPr="00080E28">
              <w:rPr>
                <w:rFonts w:asciiTheme="majorBidi" w:hAnsiTheme="majorBidi" w:cstheme="majorBidi"/>
              </w:rPr>
              <w:t>section, N (%)</w:t>
            </w:r>
          </w:p>
        </w:tc>
        <w:tc>
          <w:tcPr>
            <w:tcW w:w="1984" w:type="dxa"/>
          </w:tcPr>
          <w:p w14:paraId="177EEC5E"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28 (57.1%)</w:t>
            </w:r>
          </w:p>
        </w:tc>
      </w:tr>
      <w:tr w:rsidR="00080E28" w:rsidRPr="00080E28" w14:paraId="70536290" w14:textId="77777777" w:rsidTr="00F71919">
        <w:trPr>
          <w:trHeight w:val="340"/>
        </w:trPr>
        <w:tc>
          <w:tcPr>
            <w:tcW w:w="6096" w:type="dxa"/>
          </w:tcPr>
          <w:p w14:paraId="2A176B99"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Rupture of membranes ≥12 hours, N (%)</w:t>
            </w:r>
          </w:p>
        </w:tc>
        <w:tc>
          <w:tcPr>
            <w:tcW w:w="1984" w:type="dxa"/>
          </w:tcPr>
          <w:p w14:paraId="5F879B08"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8/46 (17.4%)</w:t>
            </w:r>
          </w:p>
        </w:tc>
      </w:tr>
      <w:tr w:rsidR="00080E28" w:rsidRPr="00080E28" w14:paraId="660BA0A7"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49F9144A"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Maternal antibiotic exposure during delivery, N (%)</w:t>
            </w:r>
          </w:p>
        </w:tc>
        <w:tc>
          <w:tcPr>
            <w:tcW w:w="1984" w:type="dxa"/>
          </w:tcPr>
          <w:p w14:paraId="738C3CF6"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38/47 (80.9%)</w:t>
            </w:r>
          </w:p>
        </w:tc>
      </w:tr>
      <w:tr w:rsidR="00080E28" w:rsidRPr="00080E28" w14:paraId="03BE5354" w14:textId="77777777" w:rsidTr="00F71919">
        <w:trPr>
          <w:trHeight w:val="340"/>
        </w:trPr>
        <w:tc>
          <w:tcPr>
            <w:tcW w:w="6096" w:type="dxa"/>
          </w:tcPr>
          <w:p w14:paraId="671F0719" w14:textId="387929B2" w:rsidR="00080E28" w:rsidRPr="00080E28" w:rsidRDefault="00080E28" w:rsidP="00F71919">
            <w:pPr>
              <w:bidi w:val="0"/>
              <w:rPr>
                <w:rFonts w:asciiTheme="majorBidi" w:hAnsiTheme="majorBidi" w:cstheme="majorBidi"/>
              </w:rPr>
            </w:pPr>
            <w:r>
              <w:rPr>
                <w:rFonts w:asciiTheme="majorBidi" w:hAnsiTheme="majorBidi" w:cstheme="majorBidi"/>
              </w:rPr>
              <w:t>Is part of twins, N (%)</w:t>
            </w:r>
          </w:p>
        </w:tc>
        <w:tc>
          <w:tcPr>
            <w:tcW w:w="1984" w:type="dxa"/>
          </w:tcPr>
          <w:p w14:paraId="2C604185"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9/48 (18.8%)</w:t>
            </w:r>
          </w:p>
        </w:tc>
      </w:tr>
      <w:tr w:rsidR="00080E28" w:rsidRPr="00080E28" w14:paraId="56F1E51F"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378F5FFC"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Having siblings, N (%)</w:t>
            </w:r>
          </w:p>
        </w:tc>
        <w:tc>
          <w:tcPr>
            <w:tcW w:w="1984" w:type="dxa"/>
          </w:tcPr>
          <w:p w14:paraId="12620F4E"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2</w:t>
            </w:r>
            <w:r w:rsidRPr="00080E28">
              <w:rPr>
                <w:rFonts w:asciiTheme="majorBidi" w:hAnsiTheme="majorBidi" w:cstheme="majorBidi"/>
                <w:rtl/>
              </w:rPr>
              <w:t>6</w:t>
            </w:r>
            <w:r w:rsidRPr="00080E28">
              <w:rPr>
                <w:rFonts w:asciiTheme="majorBidi" w:hAnsiTheme="majorBidi" w:cstheme="majorBidi"/>
              </w:rPr>
              <w:t>/46 (</w:t>
            </w:r>
            <w:r w:rsidRPr="00080E28">
              <w:rPr>
                <w:rFonts w:asciiTheme="majorBidi" w:hAnsiTheme="majorBidi" w:cstheme="majorBidi"/>
                <w:rtl/>
              </w:rPr>
              <w:t>56</w:t>
            </w:r>
            <w:r w:rsidRPr="00080E28">
              <w:rPr>
                <w:rFonts w:asciiTheme="majorBidi" w:hAnsiTheme="majorBidi" w:cstheme="majorBidi"/>
              </w:rPr>
              <w:t>.5%)</w:t>
            </w:r>
          </w:p>
        </w:tc>
      </w:tr>
      <w:tr w:rsidR="00080E28" w:rsidRPr="00080E28" w14:paraId="3C18C464" w14:textId="77777777" w:rsidTr="00F71919">
        <w:trPr>
          <w:trHeight w:val="340"/>
        </w:trPr>
        <w:tc>
          <w:tcPr>
            <w:tcW w:w="6096" w:type="dxa"/>
          </w:tcPr>
          <w:p w14:paraId="18EFC289" w14:textId="3ADB0C1B" w:rsidR="00080E28" w:rsidRPr="00080E28" w:rsidRDefault="00080E28" w:rsidP="00F71919">
            <w:pPr>
              <w:bidi w:val="0"/>
              <w:rPr>
                <w:rFonts w:asciiTheme="majorBidi" w:hAnsiTheme="majorBidi" w:cstheme="majorBidi"/>
              </w:rPr>
            </w:pPr>
            <w:r>
              <w:rPr>
                <w:rFonts w:asciiTheme="majorBidi" w:hAnsiTheme="majorBidi" w:cstheme="majorBidi"/>
              </w:rPr>
              <w:t xml:space="preserve">Co-morbidities, </w:t>
            </w:r>
            <w:r w:rsidRPr="00080E28">
              <w:rPr>
                <w:rFonts w:asciiTheme="majorBidi" w:hAnsiTheme="majorBidi" w:cstheme="majorBidi"/>
              </w:rPr>
              <w:t>N (%)</w:t>
            </w:r>
          </w:p>
        </w:tc>
        <w:tc>
          <w:tcPr>
            <w:tcW w:w="1984" w:type="dxa"/>
          </w:tcPr>
          <w:p w14:paraId="4106C74E" w14:textId="77777777" w:rsidR="00080E28" w:rsidRPr="00080E28" w:rsidRDefault="00080E28" w:rsidP="00F71919">
            <w:pPr>
              <w:bidi w:val="0"/>
              <w:rPr>
                <w:rFonts w:asciiTheme="majorBidi" w:hAnsiTheme="majorBidi" w:cstheme="majorBidi"/>
                <w:highlight w:val="magenta"/>
              </w:rPr>
            </w:pPr>
          </w:p>
        </w:tc>
      </w:tr>
      <w:tr w:rsidR="00080E28" w:rsidRPr="00080E28" w14:paraId="5685600F"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1D330DFE"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 xml:space="preserve">Respiratory distress syndrome </w:t>
            </w:r>
          </w:p>
        </w:tc>
        <w:tc>
          <w:tcPr>
            <w:tcW w:w="1984" w:type="dxa"/>
          </w:tcPr>
          <w:p w14:paraId="4AAC7EB2"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13/46 (28.3%)</w:t>
            </w:r>
          </w:p>
        </w:tc>
      </w:tr>
      <w:tr w:rsidR="00080E28" w:rsidRPr="00080E28" w14:paraId="21AD470B" w14:textId="77777777" w:rsidTr="00F71919">
        <w:trPr>
          <w:trHeight w:val="340"/>
        </w:trPr>
        <w:tc>
          <w:tcPr>
            <w:tcW w:w="6096" w:type="dxa"/>
          </w:tcPr>
          <w:p w14:paraId="55C300C8"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Broncho-pulmonary dysplasia</w:t>
            </w:r>
          </w:p>
        </w:tc>
        <w:tc>
          <w:tcPr>
            <w:tcW w:w="1984" w:type="dxa"/>
          </w:tcPr>
          <w:p w14:paraId="3501D0A0"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6/47 (12.8%)</w:t>
            </w:r>
          </w:p>
        </w:tc>
      </w:tr>
      <w:tr w:rsidR="00080E28" w:rsidRPr="00080E28" w14:paraId="742D3927"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0F8B3E53"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Intraventricular hemorrhage</w:t>
            </w:r>
          </w:p>
        </w:tc>
        <w:tc>
          <w:tcPr>
            <w:tcW w:w="1984" w:type="dxa"/>
          </w:tcPr>
          <w:p w14:paraId="6BE2BB02"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5/47 (10.6%)</w:t>
            </w:r>
          </w:p>
        </w:tc>
      </w:tr>
      <w:tr w:rsidR="00080E28" w:rsidRPr="00080E28" w14:paraId="61937366" w14:textId="77777777" w:rsidTr="00F71919">
        <w:trPr>
          <w:trHeight w:val="340"/>
        </w:trPr>
        <w:tc>
          <w:tcPr>
            <w:tcW w:w="6096" w:type="dxa"/>
          </w:tcPr>
          <w:p w14:paraId="05F69012"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Cardiovascular disease</w:t>
            </w:r>
          </w:p>
        </w:tc>
        <w:tc>
          <w:tcPr>
            <w:tcW w:w="1984" w:type="dxa"/>
          </w:tcPr>
          <w:p w14:paraId="5F01C29A"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20/49 (40.8%)</w:t>
            </w:r>
          </w:p>
        </w:tc>
      </w:tr>
      <w:tr w:rsidR="00080E28" w:rsidRPr="00080E28" w14:paraId="5D02D9F4"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70BEE7A5"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Retinopathy of prematurity</w:t>
            </w:r>
          </w:p>
        </w:tc>
        <w:tc>
          <w:tcPr>
            <w:tcW w:w="1984" w:type="dxa"/>
          </w:tcPr>
          <w:p w14:paraId="66C98BBE"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4/47 (8.5%)</w:t>
            </w:r>
          </w:p>
        </w:tc>
      </w:tr>
      <w:tr w:rsidR="00080E28" w:rsidRPr="00080E28" w14:paraId="1488D2D1" w14:textId="77777777" w:rsidTr="00F71919">
        <w:trPr>
          <w:trHeight w:val="340"/>
        </w:trPr>
        <w:tc>
          <w:tcPr>
            <w:tcW w:w="6096" w:type="dxa"/>
          </w:tcPr>
          <w:p w14:paraId="51704EFD"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Anemia of prematurity</w:t>
            </w:r>
          </w:p>
        </w:tc>
        <w:tc>
          <w:tcPr>
            <w:tcW w:w="1984" w:type="dxa"/>
          </w:tcPr>
          <w:p w14:paraId="5C932895"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16/48 (33.3%)</w:t>
            </w:r>
          </w:p>
        </w:tc>
      </w:tr>
      <w:tr w:rsidR="00080E28" w:rsidRPr="00080E28" w14:paraId="1C2F2783" w14:textId="77777777" w:rsidTr="00F71919">
        <w:trPr>
          <w:cnfStyle w:val="000000100000" w:firstRow="0" w:lastRow="0" w:firstColumn="0" w:lastColumn="0" w:oddVBand="0" w:evenVBand="0" w:oddHBand="1" w:evenHBand="0" w:firstRowFirstColumn="0" w:firstRowLastColumn="0" w:lastRowFirstColumn="0" w:lastRowLastColumn="0"/>
          <w:trHeight w:val="340"/>
        </w:trPr>
        <w:tc>
          <w:tcPr>
            <w:tcW w:w="6096" w:type="dxa"/>
          </w:tcPr>
          <w:p w14:paraId="600C6AF9"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Jaundice</w:t>
            </w:r>
          </w:p>
        </w:tc>
        <w:tc>
          <w:tcPr>
            <w:tcW w:w="1984" w:type="dxa"/>
          </w:tcPr>
          <w:p w14:paraId="5770C47F" w14:textId="77777777" w:rsidR="00080E28" w:rsidRPr="00080E28" w:rsidRDefault="00080E28" w:rsidP="00F71919">
            <w:pPr>
              <w:bidi w:val="0"/>
              <w:rPr>
                <w:rFonts w:asciiTheme="majorBidi" w:hAnsiTheme="majorBidi" w:cstheme="majorBidi"/>
              </w:rPr>
            </w:pPr>
            <w:r w:rsidRPr="00080E28">
              <w:rPr>
                <w:rFonts w:asciiTheme="majorBidi" w:hAnsiTheme="majorBidi" w:cstheme="majorBidi"/>
              </w:rPr>
              <w:t>16/47 (34.0%)</w:t>
            </w:r>
          </w:p>
        </w:tc>
      </w:tr>
      <w:tr w:rsidR="00080E28" w:rsidRPr="00080E28" w14:paraId="051348EF" w14:textId="77777777" w:rsidTr="00F71919">
        <w:trPr>
          <w:trHeight w:val="340"/>
        </w:trPr>
        <w:tc>
          <w:tcPr>
            <w:tcW w:w="6096" w:type="dxa"/>
          </w:tcPr>
          <w:p w14:paraId="580B8B3B" w14:textId="77777777" w:rsidR="00080E28" w:rsidRPr="00080E28" w:rsidRDefault="00080E28" w:rsidP="00F71919">
            <w:pPr>
              <w:bidi w:val="0"/>
              <w:ind w:left="720"/>
              <w:rPr>
                <w:rFonts w:asciiTheme="majorBidi" w:hAnsiTheme="majorBidi" w:cstheme="majorBidi"/>
              </w:rPr>
            </w:pPr>
            <w:r w:rsidRPr="00080E28">
              <w:rPr>
                <w:rFonts w:asciiTheme="majorBidi" w:hAnsiTheme="majorBidi" w:cstheme="majorBidi"/>
              </w:rPr>
              <w:t>Necrotizing enterocolitis</w:t>
            </w:r>
          </w:p>
        </w:tc>
        <w:tc>
          <w:tcPr>
            <w:tcW w:w="1984" w:type="dxa"/>
          </w:tcPr>
          <w:p w14:paraId="4DE92A94" w14:textId="089D6456" w:rsidR="00080E28" w:rsidRPr="00080E28" w:rsidRDefault="00080E28" w:rsidP="00F71919">
            <w:pPr>
              <w:bidi w:val="0"/>
              <w:rPr>
                <w:rFonts w:asciiTheme="majorBidi" w:hAnsiTheme="majorBidi" w:cstheme="majorBidi"/>
              </w:rPr>
            </w:pPr>
            <w:r w:rsidRPr="00080E28">
              <w:rPr>
                <w:rFonts w:asciiTheme="majorBidi" w:hAnsiTheme="majorBidi" w:cstheme="majorBidi"/>
              </w:rPr>
              <w:t>4/47 (8.5%)</w:t>
            </w:r>
          </w:p>
        </w:tc>
      </w:tr>
      <w:tr w:rsidR="00080E28" w:rsidRPr="00080E28" w14:paraId="5220F1CD" w14:textId="77777777" w:rsidTr="00F7191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6" w:type="dxa"/>
          </w:tcPr>
          <w:p w14:paraId="4FE1B225"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rPr>
              <w:t>Hospitalization characteristics</w:t>
            </w:r>
          </w:p>
        </w:tc>
        <w:tc>
          <w:tcPr>
            <w:tcW w:w="1984" w:type="dxa"/>
          </w:tcPr>
          <w:p w14:paraId="207C0D8F" w14:textId="77777777" w:rsidR="00080E28" w:rsidRPr="00080E28" w:rsidRDefault="00080E28" w:rsidP="00F71919">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080E28" w:rsidRPr="00080E28" w14:paraId="444F66FE" w14:textId="77777777" w:rsidTr="00F71919">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6096" w:type="dxa"/>
          </w:tcPr>
          <w:p w14:paraId="54E930EB"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 xml:space="preserve">Length of stay, days, median (IQR) </w:t>
            </w:r>
          </w:p>
        </w:tc>
        <w:tc>
          <w:tcPr>
            <w:tcW w:w="1984" w:type="dxa"/>
          </w:tcPr>
          <w:p w14:paraId="11069359" w14:textId="77777777" w:rsidR="00080E28" w:rsidRPr="00080E28" w:rsidRDefault="00080E28" w:rsidP="00F71919">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24 (12.0, 45.0)</w:t>
            </w:r>
          </w:p>
        </w:tc>
      </w:tr>
      <w:tr w:rsidR="00080E28" w:rsidRPr="00080E28" w14:paraId="3A6C1D15" w14:textId="77777777" w:rsidTr="00F7191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6" w:type="dxa"/>
          </w:tcPr>
          <w:p w14:paraId="352EF7D0" w14:textId="77777777" w:rsidR="00080E28" w:rsidRPr="00080E28" w:rsidRDefault="00080E28" w:rsidP="00F71919">
            <w:pPr>
              <w:bidi w:val="0"/>
              <w:ind w:left="720"/>
              <w:rPr>
                <w:rFonts w:asciiTheme="majorBidi" w:hAnsiTheme="majorBidi" w:cstheme="majorBidi"/>
                <w:b w:val="0"/>
                <w:bCs w:val="0"/>
              </w:rPr>
            </w:pPr>
            <w:r w:rsidRPr="00080E28">
              <w:rPr>
                <w:rFonts w:asciiTheme="majorBidi" w:hAnsiTheme="majorBidi" w:cstheme="majorBidi"/>
                <w:b w:val="0"/>
                <w:bCs w:val="0"/>
              </w:rPr>
              <w:t>Length of stay ≥30 days, N (%)</w:t>
            </w:r>
          </w:p>
        </w:tc>
        <w:tc>
          <w:tcPr>
            <w:tcW w:w="1984" w:type="dxa"/>
          </w:tcPr>
          <w:p w14:paraId="65E5C2B9" w14:textId="77777777" w:rsidR="00080E28" w:rsidRPr="00080E28" w:rsidRDefault="00080E28" w:rsidP="00F71919">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22 (44.9%)</w:t>
            </w:r>
          </w:p>
        </w:tc>
      </w:tr>
      <w:tr w:rsidR="00080E28" w:rsidRPr="00080E28" w14:paraId="7729E839" w14:textId="77777777" w:rsidTr="00F71919">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6096" w:type="dxa"/>
          </w:tcPr>
          <w:p w14:paraId="60A47B5B"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Mechanical ventilation, N (%)</w:t>
            </w:r>
          </w:p>
        </w:tc>
        <w:tc>
          <w:tcPr>
            <w:tcW w:w="1984" w:type="dxa"/>
          </w:tcPr>
          <w:p w14:paraId="211D2BE6" w14:textId="77777777" w:rsidR="00080E28" w:rsidRPr="00080E28" w:rsidRDefault="00080E28" w:rsidP="00F71919">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13 (26.5%)</w:t>
            </w:r>
          </w:p>
        </w:tc>
      </w:tr>
      <w:tr w:rsidR="00080E28" w:rsidRPr="00080E28" w14:paraId="65918F57" w14:textId="77777777" w:rsidTr="00F7191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6" w:type="dxa"/>
          </w:tcPr>
          <w:p w14:paraId="1DBED276" w14:textId="77777777" w:rsidR="00080E28" w:rsidRPr="00080E28" w:rsidRDefault="00080E28" w:rsidP="00F71919">
            <w:pPr>
              <w:bidi w:val="0"/>
              <w:ind w:left="720"/>
              <w:rPr>
                <w:rFonts w:asciiTheme="majorBidi" w:hAnsiTheme="majorBidi" w:cstheme="majorBidi"/>
                <w:b w:val="0"/>
                <w:bCs w:val="0"/>
              </w:rPr>
            </w:pPr>
            <w:r w:rsidRPr="00080E28">
              <w:rPr>
                <w:rFonts w:asciiTheme="majorBidi" w:hAnsiTheme="majorBidi" w:cstheme="majorBidi"/>
                <w:b w:val="0"/>
                <w:bCs w:val="0"/>
              </w:rPr>
              <w:t>Mechanical ventilation days, mean (± SD)*</w:t>
            </w:r>
          </w:p>
        </w:tc>
        <w:tc>
          <w:tcPr>
            <w:tcW w:w="1984" w:type="dxa"/>
          </w:tcPr>
          <w:p w14:paraId="3C9CC72B" w14:textId="77777777" w:rsidR="00080E28" w:rsidRPr="00080E28" w:rsidRDefault="00080E28" w:rsidP="00F71919">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9.2 (±12.4)</w:t>
            </w:r>
          </w:p>
        </w:tc>
      </w:tr>
      <w:tr w:rsidR="00080E28" w:rsidRPr="00080E28" w14:paraId="618198A4" w14:textId="77777777" w:rsidTr="00F71919">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6096" w:type="dxa"/>
          </w:tcPr>
          <w:p w14:paraId="1C34EAD4"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Presence of CVC, N (%)</w:t>
            </w:r>
          </w:p>
        </w:tc>
        <w:tc>
          <w:tcPr>
            <w:tcW w:w="1984" w:type="dxa"/>
          </w:tcPr>
          <w:p w14:paraId="352181E9" w14:textId="77777777" w:rsidR="00080E28" w:rsidRPr="00080E28" w:rsidRDefault="00080E28" w:rsidP="00F71919">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22 (44.9%)</w:t>
            </w:r>
          </w:p>
        </w:tc>
      </w:tr>
      <w:tr w:rsidR="00080E28" w:rsidRPr="00080E28" w14:paraId="67E54B18" w14:textId="77777777" w:rsidTr="00F7191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6" w:type="dxa"/>
          </w:tcPr>
          <w:p w14:paraId="43C9B2FB" w14:textId="77777777" w:rsidR="00080E28" w:rsidRPr="00080E28" w:rsidRDefault="00080E28" w:rsidP="00F71919">
            <w:pPr>
              <w:bidi w:val="0"/>
              <w:ind w:left="720"/>
              <w:rPr>
                <w:rFonts w:asciiTheme="majorBidi" w:hAnsiTheme="majorBidi" w:cstheme="majorBidi"/>
                <w:b w:val="0"/>
                <w:bCs w:val="0"/>
              </w:rPr>
            </w:pPr>
            <w:r w:rsidRPr="00080E28">
              <w:rPr>
                <w:rFonts w:asciiTheme="majorBidi" w:hAnsiTheme="majorBidi" w:cstheme="majorBidi"/>
                <w:b w:val="0"/>
                <w:bCs w:val="0"/>
              </w:rPr>
              <w:t>Central line days, mean (± SD)*</w:t>
            </w:r>
          </w:p>
        </w:tc>
        <w:tc>
          <w:tcPr>
            <w:tcW w:w="1984" w:type="dxa"/>
          </w:tcPr>
          <w:p w14:paraId="2BE41423" w14:textId="77777777" w:rsidR="00080E28" w:rsidRPr="00080E28" w:rsidRDefault="00080E28" w:rsidP="00F71919">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26 (±17.2)</w:t>
            </w:r>
          </w:p>
        </w:tc>
      </w:tr>
      <w:tr w:rsidR="00080E28" w:rsidRPr="00080E28" w14:paraId="7E8BFB20" w14:textId="77777777" w:rsidTr="00F71919">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6096" w:type="dxa"/>
          </w:tcPr>
          <w:p w14:paraId="627EC364"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NGT ≥10 days, N (%)</w:t>
            </w:r>
          </w:p>
        </w:tc>
        <w:tc>
          <w:tcPr>
            <w:tcW w:w="1984" w:type="dxa"/>
          </w:tcPr>
          <w:p w14:paraId="341AADD8" w14:textId="77777777" w:rsidR="00080E28" w:rsidRPr="00080E28" w:rsidRDefault="00080E28" w:rsidP="00F71919">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22/48 (45.8%)</w:t>
            </w:r>
          </w:p>
        </w:tc>
      </w:tr>
      <w:tr w:rsidR="00080E28" w:rsidRPr="00080E28" w14:paraId="64554DDD" w14:textId="77777777" w:rsidTr="00F7191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6" w:type="dxa"/>
          </w:tcPr>
          <w:p w14:paraId="5B2DFBA6" w14:textId="77777777" w:rsidR="00080E28" w:rsidRPr="00080E28" w:rsidRDefault="00080E28" w:rsidP="00F71919">
            <w:pPr>
              <w:bidi w:val="0"/>
              <w:ind w:left="720"/>
              <w:rPr>
                <w:rFonts w:asciiTheme="majorBidi" w:hAnsiTheme="majorBidi" w:cstheme="majorBidi"/>
                <w:b w:val="0"/>
                <w:bCs w:val="0"/>
              </w:rPr>
            </w:pPr>
            <w:r w:rsidRPr="00080E28">
              <w:rPr>
                <w:rFonts w:asciiTheme="majorBidi" w:hAnsiTheme="majorBidi" w:cstheme="majorBidi"/>
                <w:b w:val="0"/>
                <w:bCs w:val="0"/>
              </w:rPr>
              <w:t>NGT days, mean (± SD)*</w:t>
            </w:r>
          </w:p>
        </w:tc>
        <w:tc>
          <w:tcPr>
            <w:tcW w:w="1984" w:type="dxa"/>
          </w:tcPr>
          <w:p w14:paraId="0E1C076B" w14:textId="77777777" w:rsidR="00080E28" w:rsidRPr="00080E28" w:rsidRDefault="00080E28" w:rsidP="00F71919">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31.3 (±39.2)</w:t>
            </w:r>
          </w:p>
        </w:tc>
      </w:tr>
      <w:tr w:rsidR="00080E28" w:rsidRPr="00080E28" w14:paraId="04DF69FC" w14:textId="77777777" w:rsidTr="00F71919">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6096" w:type="dxa"/>
          </w:tcPr>
          <w:p w14:paraId="379907C1" w14:textId="77777777" w:rsidR="00080E28" w:rsidRPr="00080E28" w:rsidRDefault="00080E28" w:rsidP="00F71919">
            <w:pPr>
              <w:jc w:val="right"/>
              <w:rPr>
                <w:rFonts w:asciiTheme="majorBidi" w:hAnsiTheme="majorBidi" w:cstheme="majorBidi"/>
                <w:b w:val="0"/>
                <w:bCs w:val="0"/>
              </w:rPr>
            </w:pPr>
            <w:r w:rsidRPr="00080E28">
              <w:rPr>
                <w:rFonts w:asciiTheme="majorBidi" w:hAnsiTheme="majorBidi" w:cstheme="majorBidi"/>
                <w:b w:val="0"/>
                <w:bCs w:val="0"/>
              </w:rPr>
              <w:t>TPN, N (%)</w:t>
            </w:r>
          </w:p>
        </w:tc>
        <w:tc>
          <w:tcPr>
            <w:tcW w:w="1984" w:type="dxa"/>
          </w:tcPr>
          <w:p w14:paraId="04CB433F" w14:textId="77777777" w:rsidR="00080E28" w:rsidRPr="00080E28" w:rsidRDefault="00080E28" w:rsidP="00F71919">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rPr>
            </w:pPr>
            <w:r w:rsidRPr="00080E28">
              <w:rPr>
                <w:rFonts w:asciiTheme="majorBidi" w:hAnsiTheme="majorBidi" w:cstheme="majorBidi"/>
              </w:rPr>
              <w:t>21 (42.9%)</w:t>
            </w:r>
          </w:p>
        </w:tc>
      </w:tr>
      <w:tr w:rsidR="00080E28" w:rsidRPr="00080E28" w14:paraId="13699D61" w14:textId="77777777" w:rsidTr="00F7191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6" w:type="dxa"/>
          </w:tcPr>
          <w:p w14:paraId="09F18E77" w14:textId="77777777" w:rsidR="00080E28" w:rsidRPr="00080E28" w:rsidRDefault="00080E28" w:rsidP="00F71919">
            <w:pPr>
              <w:bidi w:val="0"/>
              <w:ind w:left="720"/>
              <w:rPr>
                <w:rFonts w:asciiTheme="majorBidi" w:hAnsiTheme="majorBidi" w:cstheme="majorBidi"/>
                <w:b w:val="0"/>
                <w:bCs w:val="0"/>
              </w:rPr>
            </w:pPr>
            <w:r w:rsidRPr="00080E28">
              <w:rPr>
                <w:rFonts w:asciiTheme="majorBidi" w:hAnsiTheme="majorBidi" w:cstheme="majorBidi"/>
                <w:b w:val="0"/>
                <w:bCs w:val="0"/>
              </w:rPr>
              <w:t>TPN days, mean (± SD) *</w:t>
            </w:r>
          </w:p>
        </w:tc>
        <w:tc>
          <w:tcPr>
            <w:tcW w:w="1984" w:type="dxa"/>
          </w:tcPr>
          <w:p w14:paraId="12F31B43" w14:textId="77777777" w:rsidR="00080E28" w:rsidRPr="00080E28" w:rsidRDefault="00080E28" w:rsidP="00F71919">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21.8 (±16.2)</w:t>
            </w:r>
          </w:p>
        </w:tc>
      </w:tr>
      <w:tr w:rsidR="00080E28" w:rsidRPr="00080E28" w14:paraId="6264807E" w14:textId="77777777" w:rsidTr="00F71919">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6096" w:type="dxa"/>
          </w:tcPr>
          <w:p w14:paraId="55C74304" w14:textId="1C1E2FDE"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lastRenderedPageBreak/>
              <w:t>Breast milk (</w:t>
            </w:r>
            <w:r>
              <w:rPr>
                <w:rFonts w:asciiTheme="majorBidi" w:hAnsiTheme="majorBidi" w:cstheme="majorBidi"/>
                <w:b w:val="0"/>
                <w:bCs w:val="0"/>
              </w:rPr>
              <w:t xml:space="preserve">on </w:t>
            </w:r>
            <w:r w:rsidRPr="00080E28">
              <w:rPr>
                <w:rFonts w:asciiTheme="majorBidi" w:hAnsiTheme="majorBidi" w:cstheme="majorBidi"/>
                <w:b w:val="0"/>
                <w:bCs w:val="0"/>
              </w:rPr>
              <w:t>≥50%</w:t>
            </w:r>
            <w:r>
              <w:rPr>
                <w:rFonts w:asciiTheme="majorBidi" w:hAnsiTheme="majorBidi" w:cstheme="majorBidi"/>
                <w:b w:val="0"/>
                <w:bCs w:val="0"/>
              </w:rPr>
              <w:t xml:space="preserve"> of </w:t>
            </w:r>
            <w:r w:rsidRPr="00080E28">
              <w:rPr>
                <w:rFonts w:asciiTheme="majorBidi" w:hAnsiTheme="majorBidi" w:cstheme="majorBidi"/>
                <w:b w:val="0"/>
                <w:bCs w:val="0"/>
              </w:rPr>
              <w:t xml:space="preserve"> hosp</w:t>
            </w:r>
            <w:r>
              <w:rPr>
                <w:rFonts w:asciiTheme="majorBidi" w:hAnsiTheme="majorBidi" w:cstheme="majorBidi"/>
                <w:b w:val="0"/>
                <w:bCs w:val="0"/>
              </w:rPr>
              <w:t>ital</w:t>
            </w:r>
            <w:r w:rsidRPr="00080E28">
              <w:rPr>
                <w:rFonts w:asciiTheme="majorBidi" w:hAnsiTheme="majorBidi" w:cstheme="majorBidi"/>
                <w:b w:val="0"/>
                <w:bCs w:val="0"/>
              </w:rPr>
              <w:t xml:space="preserve"> days), N (%)</w:t>
            </w:r>
          </w:p>
        </w:tc>
        <w:tc>
          <w:tcPr>
            <w:tcW w:w="1984" w:type="dxa"/>
          </w:tcPr>
          <w:p w14:paraId="5862D3CF" w14:textId="77777777" w:rsidR="00080E28" w:rsidRPr="00080E28" w:rsidRDefault="00080E28" w:rsidP="00F71919">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29/46 (63.0%)</w:t>
            </w:r>
          </w:p>
        </w:tc>
      </w:tr>
      <w:tr w:rsidR="00080E28" w:rsidRPr="00080E28" w14:paraId="490A7ACA" w14:textId="77777777" w:rsidTr="00F7191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6" w:type="dxa"/>
          </w:tcPr>
          <w:p w14:paraId="44A248E0"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Receipt of PPI or H</w:t>
            </w:r>
            <w:r w:rsidRPr="00080E28">
              <w:rPr>
                <w:rFonts w:asciiTheme="majorBidi" w:hAnsiTheme="majorBidi" w:cstheme="majorBidi"/>
                <w:vertAlign w:val="subscript"/>
              </w:rPr>
              <w:t>2</w:t>
            </w:r>
            <w:r w:rsidRPr="00080E28">
              <w:rPr>
                <w:rFonts w:asciiTheme="majorBidi" w:hAnsiTheme="majorBidi" w:cstheme="majorBidi"/>
                <w:b w:val="0"/>
                <w:bCs w:val="0"/>
              </w:rPr>
              <w:t>RA, N (%)</w:t>
            </w:r>
          </w:p>
        </w:tc>
        <w:tc>
          <w:tcPr>
            <w:tcW w:w="1984" w:type="dxa"/>
          </w:tcPr>
          <w:p w14:paraId="20D290D2" w14:textId="77777777" w:rsidR="00080E28" w:rsidRPr="00080E28" w:rsidRDefault="00080E28" w:rsidP="00F71919">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8/47 (17.0%)</w:t>
            </w:r>
          </w:p>
        </w:tc>
      </w:tr>
      <w:tr w:rsidR="00080E28" w:rsidRPr="00080E28" w14:paraId="7BBEB3CA" w14:textId="77777777" w:rsidTr="00F71919">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6096" w:type="dxa"/>
          </w:tcPr>
          <w:p w14:paraId="3215818F"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Erythropoietin therapy, N (%)</w:t>
            </w:r>
          </w:p>
        </w:tc>
        <w:tc>
          <w:tcPr>
            <w:tcW w:w="1984" w:type="dxa"/>
          </w:tcPr>
          <w:p w14:paraId="7E180D2F" w14:textId="77777777" w:rsidR="00080E28" w:rsidRPr="00080E28" w:rsidRDefault="00080E28" w:rsidP="00F71919">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10/48 (20.8%)</w:t>
            </w:r>
          </w:p>
        </w:tc>
      </w:tr>
      <w:tr w:rsidR="00080E28" w:rsidRPr="00080E28" w14:paraId="7D77E623" w14:textId="77777777" w:rsidTr="00F7191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6" w:type="dxa"/>
          </w:tcPr>
          <w:p w14:paraId="5E0445FD"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Oral iron supplement, N (%)</w:t>
            </w:r>
          </w:p>
        </w:tc>
        <w:tc>
          <w:tcPr>
            <w:tcW w:w="1984" w:type="dxa"/>
          </w:tcPr>
          <w:p w14:paraId="64FDF39E" w14:textId="77777777" w:rsidR="00080E28" w:rsidRPr="00080E28" w:rsidRDefault="00080E28" w:rsidP="00F71919">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27/48 (56.2%)</w:t>
            </w:r>
          </w:p>
        </w:tc>
      </w:tr>
      <w:tr w:rsidR="00080E28" w:rsidRPr="00080E28" w14:paraId="5705BB6B" w14:textId="77777777" w:rsidTr="00F71919">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6096" w:type="dxa"/>
          </w:tcPr>
          <w:p w14:paraId="7BC4C293"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 xml:space="preserve">Antibiotic treatment, days, mean (± SD) </w:t>
            </w:r>
          </w:p>
        </w:tc>
        <w:tc>
          <w:tcPr>
            <w:tcW w:w="1984" w:type="dxa"/>
          </w:tcPr>
          <w:p w14:paraId="466976F7" w14:textId="77777777" w:rsidR="00080E28" w:rsidRPr="00080E28" w:rsidRDefault="00080E28" w:rsidP="00F71919">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11.7 (±19.2)</w:t>
            </w:r>
          </w:p>
        </w:tc>
      </w:tr>
      <w:tr w:rsidR="00080E28" w:rsidRPr="00080E28" w14:paraId="6E91550B" w14:textId="77777777" w:rsidTr="00F7191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96" w:type="dxa"/>
          </w:tcPr>
          <w:p w14:paraId="11F3E1F9"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 xml:space="preserve">            First-line antibiotics, N (%)</w:t>
            </w:r>
          </w:p>
        </w:tc>
        <w:tc>
          <w:tcPr>
            <w:tcW w:w="1984" w:type="dxa"/>
          </w:tcPr>
          <w:p w14:paraId="5430C8B9" w14:textId="77777777" w:rsidR="00080E28" w:rsidRPr="00080E28" w:rsidRDefault="00080E28" w:rsidP="00F71919">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36 (73.5%)</w:t>
            </w:r>
          </w:p>
        </w:tc>
      </w:tr>
      <w:tr w:rsidR="00080E28" w:rsidRPr="00080E28" w14:paraId="287C5911" w14:textId="77777777" w:rsidTr="00F71919">
        <w:tblPrEx>
          <w:tblLook w:val="04A0" w:firstRow="1" w:lastRow="0" w:firstColumn="1" w:lastColumn="0" w:noHBand="0" w:noVBand="1"/>
        </w:tblPrEx>
        <w:trPr>
          <w:trHeight w:val="340"/>
        </w:trPr>
        <w:tc>
          <w:tcPr>
            <w:cnfStyle w:val="001000000000" w:firstRow="0" w:lastRow="0" w:firstColumn="1" w:lastColumn="0" w:oddVBand="0" w:evenVBand="0" w:oddHBand="0" w:evenHBand="0" w:firstRowFirstColumn="0" w:firstRowLastColumn="0" w:lastRowFirstColumn="0" w:lastRowLastColumn="0"/>
            <w:tcW w:w="6096" w:type="dxa"/>
          </w:tcPr>
          <w:p w14:paraId="58788027" w14:textId="77777777" w:rsidR="00080E28" w:rsidRPr="00080E28" w:rsidRDefault="00080E28" w:rsidP="00F71919">
            <w:pPr>
              <w:bidi w:val="0"/>
              <w:rPr>
                <w:rFonts w:asciiTheme="majorBidi" w:hAnsiTheme="majorBidi" w:cstheme="majorBidi"/>
                <w:b w:val="0"/>
                <w:bCs w:val="0"/>
              </w:rPr>
            </w:pPr>
            <w:r w:rsidRPr="00080E28">
              <w:rPr>
                <w:rFonts w:asciiTheme="majorBidi" w:hAnsiTheme="majorBidi" w:cstheme="majorBidi"/>
                <w:b w:val="0"/>
                <w:bCs w:val="0"/>
              </w:rPr>
              <w:t xml:space="preserve">            Second-line antibiotics, N (%)</w:t>
            </w:r>
          </w:p>
        </w:tc>
        <w:tc>
          <w:tcPr>
            <w:tcW w:w="1984" w:type="dxa"/>
          </w:tcPr>
          <w:p w14:paraId="21D94D6F" w14:textId="77777777" w:rsidR="00080E28" w:rsidRPr="00080E28" w:rsidRDefault="00080E28" w:rsidP="00F71919">
            <w:pPr>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80E28">
              <w:rPr>
                <w:rFonts w:asciiTheme="majorBidi" w:hAnsiTheme="majorBidi" w:cstheme="majorBidi"/>
              </w:rPr>
              <w:t>16 (32.7%0</w:t>
            </w:r>
          </w:p>
        </w:tc>
      </w:tr>
    </w:tbl>
    <w:p w14:paraId="14536FAB" w14:textId="77777777" w:rsidR="00080E28" w:rsidRDefault="00080E28" w:rsidP="00080E28">
      <w:pPr>
        <w:bidi w:val="0"/>
        <w:spacing w:line="360" w:lineRule="auto"/>
        <w:rPr>
          <w:rFonts w:asciiTheme="majorBidi" w:hAnsiTheme="majorBidi" w:cstheme="majorBidi"/>
          <w:sz w:val="20"/>
          <w:szCs w:val="20"/>
        </w:rPr>
      </w:pPr>
    </w:p>
    <w:p w14:paraId="7D5F42F8" w14:textId="0A81101A" w:rsidR="00080E28" w:rsidRPr="00080E28" w:rsidRDefault="00080E28" w:rsidP="00080E28">
      <w:pPr>
        <w:bidi w:val="0"/>
        <w:spacing w:line="360" w:lineRule="auto"/>
        <w:rPr>
          <w:rFonts w:asciiTheme="majorBidi" w:hAnsiTheme="majorBidi" w:cstheme="majorBidi"/>
          <w:sz w:val="20"/>
          <w:szCs w:val="20"/>
        </w:rPr>
      </w:pPr>
      <w:r w:rsidRPr="00080E28">
        <w:rPr>
          <w:rFonts w:asciiTheme="majorBidi" w:hAnsiTheme="majorBidi" w:cstheme="majorBidi"/>
          <w:sz w:val="20"/>
          <w:szCs w:val="20"/>
        </w:rPr>
        <w:t>Note: CVC, central venous catheter; NGT, naso-gastric tube; TPN, total parenteral nutrition; PPI, proton-pump inhibitor; H</w:t>
      </w:r>
      <w:r w:rsidRPr="00080E28">
        <w:rPr>
          <w:rFonts w:asciiTheme="majorBidi" w:hAnsiTheme="majorBidi" w:cstheme="majorBidi"/>
          <w:sz w:val="20"/>
          <w:szCs w:val="20"/>
          <w:vertAlign w:val="subscript"/>
        </w:rPr>
        <w:t>2</w:t>
      </w:r>
      <w:r w:rsidRPr="00080E28">
        <w:rPr>
          <w:rFonts w:asciiTheme="majorBidi" w:hAnsiTheme="majorBidi" w:cstheme="majorBidi"/>
          <w:sz w:val="20"/>
          <w:szCs w:val="20"/>
        </w:rPr>
        <w:t xml:space="preserve">RA, histamine-2 receptor antagonist; first-line antibiotics are ampicillin and gentamicin, all others are second line. </w:t>
      </w:r>
    </w:p>
    <w:p w14:paraId="4A991F6D" w14:textId="68AB30EE" w:rsidR="00080E28" w:rsidRPr="00080E28" w:rsidRDefault="00080E28" w:rsidP="00080E28">
      <w:pPr>
        <w:autoSpaceDE w:val="0"/>
        <w:autoSpaceDN w:val="0"/>
        <w:bidi w:val="0"/>
        <w:adjustRightInd w:val="0"/>
        <w:spacing w:after="0" w:line="480" w:lineRule="auto"/>
        <w:rPr>
          <w:rFonts w:asciiTheme="majorBidi" w:hAnsiTheme="majorBidi" w:cstheme="majorBidi"/>
          <w:color w:val="333333"/>
          <w:sz w:val="20"/>
          <w:szCs w:val="20"/>
          <w:shd w:val="clear" w:color="auto" w:fill="FFFFFF"/>
        </w:rPr>
      </w:pPr>
      <w:r w:rsidRPr="00080E28">
        <w:rPr>
          <w:rFonts w:asciiTheme="majorBidi" w:hAnsiTheme="majorBidi" w:cstheme="majorBidi"/>
          <w:sz w:val="20"/>
          <w:szCs w:val="20"/>
        </w:rPr>
        <w:t>* Only</w:t>
      </w:r>
      <w:r>
        <w:rPr>
          <w:rFonts w:asciiTheme="majorBidi" w:hAnsiTheme="majorBidi" w:cstheme="majorBidi"/>
          <w:sz w:val="20"/>
          <w:szCs w:val="20"/>
        </w:rPr>
        <w:t xml:space="preserve"> </w:t>
      </w:r>
      <w:r w:rsidRPr="00080E28">
        <w:rPr>
          <w:rFonts w:asciiTheme="majorBidi" w:hAnsiTheme="majorBidi" w:cstheme="majorBidi"/>
          <w:sz w:val="20"/>
          <w:szCs w:val="20"/>
        </w:rPr>
        <w:t>positive</w:t>
      </w:r>
      <w:r>
        <w:rPr>
          <w:rFonts w:asciiTheme="majorBidi" w:hAnsiTheme="majorBidi" w:cstheme="majorBidi"/>
          <w:sz w:val="20"/>
          <w:szCs w:val="20"/>
        </w:rPr>
        <w:t xml:space="preserve"> </w:t>
      </w:r>
      <w:r w:rsidRPr="00080E28">
        <w:rPr>
          <w:rFonts w:asciiTheme="majorBidi" w:hAnsiTheme="majorBidi" w:cstheme="majorBidi"/>
          <w:sz w:val="20"/>
          <w:szCs w:val="20"/>
        </w:rPr>
        <w:t>cases</w:t>
      </w:r>
      <w:r>
        <w:rPr>
          <w:rFonts w:asciiTheme="majorBidi" w:hAnsiTheme="majorBidi" w:cstheme="majorBidi"/>
          <w:sz w:val="20"/>
          <w:szCs w:val="20"/>
        </w:rPr>
        <w:t xml:space="preserve"> </w:t>
      </w:r>
      <w:r w:rsidRPr="00080E28">
        <w:rPr>
          <w:rFonts w:asciiTheme="majorBidi" w:hAnsiTheme="majorBidi" w:cstheme="majorBidi"/>
          <w:sz w:val="20"/>
          <w:szCs w:val="20"/>
        </w:rPr>
        <w:t>included</w:t>
      </w:r>
    </w:p>
    <w:p w14:paraId="68DB67FC" w14:textId="77777777" w:rsidR="00384627" w:rsidRPr="00AE5E66" w:rsidRDefault="00384627" w:rsidP="00384627">
      <w:pPr>
        <w:bidi w:val="0"/>
        <w:rPr>
          <w:rFonts w:asciiTheme="majorBidi" w:hAnsiTheme="majorBidi" w:cstheme="majorBidi"/>
          <w:color w:val="333333"/>
          <w:sz w:val="24"/>
          <w:szCs w:val="24"/>
          <w:shd w:val="clear" w:color="auto" w:fill="FFFFFF"/>
        </w:rPr>
      </w:pPr>
      <w:r w:rsidRPr="00AE5E66">
        <w:rPr>
          <w:rFonts w:asciiTheme="majorBidi" w:hAnsiTheme="majorBidi" w:cstheme="majorBidi"/>
          <w:color w:val="333333"/>
          <w:sz w:val="24"/>
          <w:szCs w:val="24"/>
          <w:shd w:val="clear" w:color="auto" w:fill="FFFFFF"/>
        </w:rPr>
        <w:br w:type="page"/>
      </w:r>
    </w:p>
    <w:p w14:paraId="461A88C7" w14:textId="65750C7C" w:rsidR="00485F4A" w:rsidRDefault="00167A7D" w:rsidP="00920F98">
      <w:pPr>
        <w:autoSpaceDE w:val="0"/>
        <w:autoSpaceDN w:val="0"/>
        <w:bidi w:val="0"/>
        <w:adjustRightInd w:val="0"/>
        <w:spacing w:after="0" w:line="480" w:lineRule="auto"/>
        <w:rPr>
          <w:rFonts w:asciiTheme="majorBidi" w:hAnsiTheme="majorBidi" w:cstheme="majorBidi"/>
          <w:color w:val="333333"/>
          <w:sz w:val="24"/>
          <w:szCs w:val="24"/>
          <w:shd w:val="clear" w:color="auto" w:fill="FFFFFF"/>
        </w:rPr>
      </w:pPr>
      <w:r w:rsidRPr="00906392">
        <w:rPr>
          <w:rFonts w:asciiTheme="majorBidi" w:hAnsiTheme="majorBidi" w:cstheme="majorBidi"/>
          <w:b/>
          <w:bCs/>
          <w:color w:val="333333"/>
          <w:sz w:val="24"/>
          <w:szCs w:val="24"/>
          <w:shd w:val="clear" w:color="auto" w:fill="FFFFFF"/>
        </w:rPr>
        <w:lastRenderedPageBreak/>
        <w:t>Figure S1.</w:t>
      </w:r>
      <w:r w:rsidR="00485F4A">
        <w:rPr>
          <w:rFonts w:asciiTheme="majorBidi" w:hAnsiTheme="majorBidi" w:cstheme="majorBidi"/>
          <w:color w:val="333333"/>
          <w:sz w:val="24"/>
          <w:szCs w:val="24"/>
          <w:shd w:val="clear" w:color="auto" w:fill="FFFFFF"/>
        </w:rPr>
        <w:t xml:space="preserve"> </w:t>
      </w:r>
      <w:r w:rsidR="00485F4A" w:rsidRPr="00AE5E66">
        <w:rPr>
          <w:rFonts w:asciiTheme="majorBidi" w:hAnsiTheme="majorBidi" w:cstheme="majorBidi"/>
          <w:color w:val="333333"/>
          <w:sz w:val="24"/>
          <w:szCs w:val="24"/>
          <w:shd w:val="clear" w:color="auto" w:fill="FFFFFF"/>
        </w:rPr>
        <w:t>Nonparametric Maximum Likelihood (NPMLE) of Survival for the duration of VRE-fm carriage, based on culture</w:t>
      </w:r>
      <w:r w:rsidR="00485F4A">
        <w:rPr>
          <w:rFonts w:asciiTheme="majorBidi" w:hAnsiTheme="majorBidi" w:cstheme="majorBidi"/>
          <w:color w:val="333333"/>
          <w:sz w:val="24"/>
          <w:szCs w:val="24"/>
          <w:shd w:val="clear" w:color="auto" w:fill="FFFFFF"/>
        </w:rPr>
        <w:t xml:space="preserve"> results</w:t>
      </w:r>
    </w:p>
    <w:p w14:paraId="02FE1A48" w14:textId="10B896D6" w:rsidR="00485F4A" w:rsidRPr="00AE5E66" w:rsidRDefault="00872759" w:rsidP="00872759">
      <w:pPr>
        <w:autoSpaceDE w:val="0"/>
        <w:autoSpaceDN w:val="0"/>
        <w:bidi w:val="0"/>
        <w:adjustRightInd w:val="0"/>
        <w:spacing w:after="0" w:line="480" w:lineRule="auto"/>
        <w:rPr>
          <w:rFonts w:asciiTheme="majorBidi" w:hAnsiTheme="majorBidi" w:cstheme="majorBidi"/>
          <w:color w:val="333333"/>
          <w:sz w:val="24"/>
          <w:szCs w:val="24"/>
          <w:shd w:val="clear" w:color="auto" w:fill="FFFFFF"/>
          <w:rtl/>
        </w:rPr>
      </w:pPr>
      <w:r>
        <w:rPr>
          <w:noProof/>
        </w:rPr>
        <w:drawing>
          <wp:inline distT="0" distB="0" distL="0" distR="0" wp14:anchorId="16F5C60E" wp14:editId="542B52EB">
            <wp:extent cx="5274310" cy="5274310"/>
            <wp:effectExtent l="0" t="0" r="254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sectPr w:rsidR="00485F4A" w:rsidRPr="00AE5E66" w:rsidSect="007C0C67">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529D" w14:textId="77777777" w:rsidR="00262961" w:rsidRDefault="00262961" w:rsidP="007C0C67">
      <w:pPr>
        <w:spacing w:after="0" w:line="240" w:lineRule="auto"/>
      </w:pPr>
      <w:r>
        <w:separator/>
      </w:r>
    </w:p>
  </w:endnote>
  <w:endnote w:type="continuationSeparator" w:id="0">
    <w:p w14:paraId="1505320A" w14:textId="77777777" w:rsidR="00262961" w:rsidRDefault="00262961" w:rsidP="007C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6F070" w14:textId="77777777" w:rsidR="00262961" w:rsidRDefault="00262961" w:rsidP="007C0C67">
      <w:pPr>
        <w:spacing w:after="0" w:line="240" w:lineRule="auto"/>
      </w:pPr>
      <w:r>
        <w:separator/>
      </w:r>
    </w:p>
  </w:footnote>
  <w:footnote w:type="continuationSeparator" w:id="0">
    <w:p w14:paraId="055C93D1" w14:textId="77777777" w:rsidR="00262961" w:rsidRDefault="00262961" w:rsidP="007C0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E2A"/>
    <w:multiLevelType w:val="hybridMultilevel"/>
    <w:tmpl w:val="AE3A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11E3E"/>
    <w:multiLevelType w:val="hybridMultilevel"/>
    <w:tmpl w:val="B4D26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60F53"/>
    <w:multiLevelType w:val="hybridMultilevel"/>
    <w:tmpl w:val="BEB82D9C"/>
    <w:lvl w:ilvl="0" w:tplc="236C6E16">
      <w:numFmt w:val="bullet"/>
      <w:lvlText w:val=""/>
      <w:lvlJc w:val="left"/>
      <w:pPr>
        <w:ind w:left="928" w:hanging="360"/>
      </w:pPr>
      <w:rPr>
        <w:rFonts w:ascii="Symbol" w:eastAsiaTheme="minorHAnsi" w:hAnsi="Symbol" w:cstheme="majorBidi" w:hint="default"/>
        <w:vertAlign w:val="superscrip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25961CA1"/>
    <w:multiLevelType w:val="hybridMultilevel"/>
    <w:tmpl w:val="1EC4CB34"/>
    <w:lvl w:ilvl="0" w:tplc="486EF68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3062D"/>
    <w:multiLevelType w:val="hybridMultilevel"/>
    <w:tmpl w:val="169E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7E"/>
    <w:rsid w:val="00005ECD"/>
    <w:rsid w:val="00015A01"/>
    <w:rsid w:val="0001735A"/>
    <w:rsid w:val="000239E8"/>
    <w:rsid w:val="00025997"/>
    <w:rsid w:val="00026393"/>
    <w:rsid w:val="000337A8"/>
    <w:rsid w:val="00050E39"/>
    <w:rsid w:val="00067026"/>
    <w:rsid w:val="000734F4"/>
    <w:rsid w:val="00073539"/>
    <w:rsid w:val="0007368E"/>
    <w:rsid w:val="00077DD2"/>
    <w:rsid w:val="00080E28"/>
    <w:rsid w:val="00091495"/>
    <w:rsid w:val="000919AD"/>
    <w:rsid w:val="000A0E24"/>
    <w:rsid w:val="000A7DA0"/>
    <w:rsid w:val="000C7254"/>
    <w:rsid w:val="000C774E"/>
    <w:rsid w:val="000D5D90"/>
    <w:rsid w:val="000F1362"/>
    <w:rsid w:val="000F4F86"/>
    <w:rsid w:val="000F6F93"/>
    <w:rsid w:val="00104D8C"/>
    <w:rsid w:val="0010611B"/>
    <w:rsid w:val="001141B6"/>
    <w:rsid w:val="00125B22"/>
    <w:rsid w:val="00136EF7"/>
    <w:rsid w:val="00145063"/>
    <w:rsid w:val="001461F3"/>
    <w:rsid w:val="001468BF"/>
    <w:rsid w:val="00153D83"/>
    <w:rsid w:val="001558A6"/>
    <w:rsid w:val="001560BF"/>
    <w:rsid w:val="0015624F"/>
    <w:rsid w:val="00156F61"/>
    <w:rsid w:val="00167A7D"/>
    <w:rsid w:val="00171368"/>
    <w:rsid w:val="00177BD9"/>
    <w:rsid w:val="00193561"/>
    <w:rsid w:val="0019667A"/>
    <w:rsid w:val="001B4C4A"/>
    <w:rsid w:val="001B72E9"/>
    <w:rsid w:val="001B7ED0"/>
    <w:rsid w:val="001C098C"/>
    <w:rsid w:val="001C1386"/>
    <w:rsid w:val="001C6301"/>
    <w:rsid w:val="001D57DB"/>
    <w:rsid w:val="001D58EB"/>
    <w:rsid w:val="001E6B52"/>
    <w:rsid w:val="001F32A5"/>
    <w:rsid w:val="001F3674"/>
    <w:rsid w:val="00212AF0"/>
    <w:rsid w:val="00216E08"/>
    <w:rsid w:val="0022581B"/>
    <w:rsid w:val="00227D37"/>
    <w:rsid w:val="00244419"/>
    <w:rsid w:val="0025272E"/>
    <w:rsid w:val="00252A02"/>
    <w:rsid w:val="00261144"/>
    <w:rsid w:val="00262961"/>
    <w:rsid w:val="00265443"/>
    <w:rsid w:val="00267ED9"/>
    <w:rsid w:val="002720F0"/>
    <w:rsid w:val="00290D90"/>
    <w:rsid w:val="00290EAE"/>
    <w:rsid w:val="00291607"/>
    <w:rsid w:val="002947B5"/>
    <w:rsid w:val="002A127E"/>
    <w:rsid w:val="002A4D53"/>
    <w:rsid w:val="002B4B4E"/>
    <w:rsid w:val="002C2457"/>
    <w:rsid w:val="002C3D87"/>
    <w:rsid w:val="002C6E80"/>
    <w:rsid w:val="002C6F8B"/>
    <w:rsid w:val="002D0994"/>
    <w:rsid w:val="002D37E2"/>
    <w:rsid w:val="002E1B97"/>
    <w:rsid w:val="002F0FB0"/>
    <w:rsid w:val="002F5B86"/>
    <w:rsid w:val="003007D6"/>
    <w:rsid w:val="00302364"/>
    <w:rsid w:val="00302B1D"/>
    <w:rsid w:val="00304E55"/>
    <w:rsid w:val="00305483"/>
    <w:rsid w:val="00307F87"/>
    <w:rsid w:val="003115EA"/>
    <w:rsid w:val="0031208C"/>
    <w:rsid w:val="00312569"/>
    <w:rsid w:val="00313564"/>
    <w:rsid w:val="00313FA5"/>
    <w:rsid w:val="00324691"/>
    <w:rsid w:val="00325473"/>
    <w:rsid w:val="00326C62"/>
    <w:rsid w:val="00327BA0"/>
    <w:rsid w:val="00333BEE"/>
    <w:rsid w:val="00340210"/>
    <w:rsid w:val="00343446"/>
    <w:rsid w:val="003468CE"/>
    <w:rsid w:val="0035087A"/>
    <w:rsid w:val="003546A0"/>
    <w:rsid w:val="0036427C"/>
    <w:rsid w:val="003645B8"/>
    <w:rsid w:val="00384627"/>
    <w:rsid w:val="003A2ADE"/>
    <w:rsid w:val="003A45B9"/>
    <w:rsid w:val="003A7C1C"/>
    <w:rsid w:val="003B563C"/>
    <w:rsid w:val="003C5DB6"/>
    <w:rsid w:val="003D0CA1"/>
    <w:rsid w:val="003D6577"/>
    <w:rsid w:val="003E1373"/>
    <w:rsid w:val="003E27B8"/>
    <w:rsid w:val="003F5D6D"/>
    <w:rsid w:val="004002F9"/>
    <w:rsid w:val="00402B91"/>
    <w:rsid w:val="00405442"/>
    <w:rsid w:val="00411DD9"/>
    <w:rsid w:val="00412E41"/>
    <w:rsid w:val="004219CD"/>
    <w:rsid w:val="00421FEA"/>
    <w:rsid w:val="0042207F"/>
    <w:rsid w:val="004504F9"/>
    <w:rsid w:val="0045722E"/>
    <w:rsid w:val="0046756A"/>
    <w:rsid w:val="00467A98"/>
    <w:rsid w:val="00474622"/>
    <w:rsid w:val="0048400E"/>
    <w:rsid w:val="00485F4A"/>
    <w:rsid w:val="0048731F"/>
    <w:rsid w:val="004879D3"/>
    <w:rsid w:val="004968E8"/>
    <w:rsid w:val="004A7574"/>
    <w:rsid w:val="004B2758"/>
    <w:rsid w:val="004C3886"/>
    <w:rsid w:val="004D09F4"/>
    <w:rsid w:val="004D0E90"/>
    <w:rsid w:val="004D50D9"/>
    <w:rsid w:val="004D519F"/>
    <w:rsid w:val="004E016A"/>
    <w:rsid w:val="004E10EB"/>
    <w:rsid w:val="004E4793"/>
    <w:rsid w:val="004E71B5"/>
    <w:rsid w:val="004F3114"/>
    <w:rsid w:val="004F6329"/>
    <w:rsid w:val="005145B1"/>
    <w:rsid w:val="00514D5B"/>
    <w:rsid w:val="00516FBD"/>
    <w:rsid w:val="00517D65"/>
    <w:rsid w:val="00523205"/>
    <w:rsid w:val="0053140E"/>
    <w:rsid w:val="00532651"/>
    <w:rsid w:val="005347B4"/>
    <w:rsid w:val="00544305"/>
    <w:rsid w:val="00550C70"/>
    <w:rsid w:val="00551D4E"/>
    <w:rsid w:val="00553000"/>
    <w:rsid w:val="00561382"/>
    <w:rsid w:val="00561C92"/>
    <w:rsid w:val="005650B0"/>
    <w:rsid w:val="00577959"/>
    <w:rsid w:val="005936DD"/>
    <w:rsid w:val="00596EE0"/>
    <w:rsid w:val="005A4CA4"/>
    <w:rsid w:val="005B03D5"/>
    <w:rsid w:val="005B1579"/>
    <w:rsid w:val="005B62F6"/>
    <w:rsid w:val="005C32F2"/>
    <w:rsid w:val="005C3B87"/>
    <w:rsid w:val="005D0863"/>
    <w:rsid w:val="005D1038"/>
    <w:rsid w:val="005D7F8E"/>
    <w:rsid w:val="005E277E"/>
    <w:rsid w:val="005E3FEE"/>
    <w:rsid w:val="005E6E7B"/>
    <w:rsid w:val="005F5F7B"/>
    <w:rsid w:val="00600EB7"/>
    <w:rsid w:val="00605612"/>
    <w:rsid w:val="006076ED"/>
    <w:rsid w:val="00610BE1"/>
    <w:rsid w:val="00616BCA"/>
    <w:rsid w:val="006200BA"/>
    <w:rsid w:val="006229F1"/>
    <w:rsid w:val="00626893"/>
    <w:rsid w:val="0062759C"/>
    <w:rsid w:val="00634341"/>
    <w:rsid w:val="0063681A"/>
    <w:rsid w:val="00660D72"/>
    <w:rsid w:val="00664E1E"/>
    <w:rsid w:val="006808AF"/>
    <w:rsid w:val="00682E0D"/>
    <w:rsid w:val="00684682"/>
    <w:rsid w:val="006B61CC"/>
    <w:rsid w:val="006B7CA1"/>
    <w:rsid w:val="006C6201"/>
    <w:rsid w:val="006D1A63"/>
    <w:rsid w:val="006E6E0D"/>
    <w:rsid w:val="006F3D8F"/>
    <w:rsid w:val="006F4426"/>
    <w:rsid w:val="007006FA"/>
    <w:rsid w:val="00700CCD"/>
    <w:rsid w:val="00702348"/>
    <w:rsid w:val="0070441D"/>
    <w:rsid w:val="0071195A"/>
    <w:rsid w:val="00725642"/>
    <w:rsid w:val="00727AEA"/>
    <w:rsid w:val="00727E17"/>
    <w:rsid w:val="007337FA"/>
    <w:rsid w:val="00734711"/>
    <w:rsid w:val="0074237F"/>
    <w:rsid w:val="007447B7"/>
    <w:rsid w:val="0074527E"/>
    <w:rsid w:val="007575D3"/>
    <w:rsid w:val="00761261"/>
    <w:rsid w:val="00761F32"/>
    <w:rsid w:val="00763D7E"/>
    <w:rsid w:val="00765A99"/>
    <w:rsid w:val="00766DEE"/>
    <w:rsid w:val="00767180"/>
    <w:rsid w:val="00776FDF"/>
    <w:rsid w:val="007A0BCB"/>
    <w:rsid w:val="007A10DB"/>
    <w:rsid w:val="007A2065"/>
    <w:rsid w:val="007A45DC"/>
    <w:rsid w:val="007A638B"/>
    <w:rsid w:val="007B0F21"/>
    <w:rsid w:val="007B7216"/>
    <w:rsid w:val="007C0C67"/>
    <w:rsid w:val="007C386B"/>
    <w:rsid w:val="007E3A61"/>
    <w:rsid w:val="007E3D7E"/>
    <w:rsid w:val="007F1D26"/>
    <w:rsid w:val="007F2C7E"/>
    <w:rsid w:val="00811236"/>
    <w:rsid w:val="00814A4C"/>
    <w:rsid w:val="008150CD"/>
    <w:rsid w:val="00816D85"/>
    <w:rsid w:val="00830FBA"/>
    <w:rsid w:val="00831FD7"/>
    <w:rsid w:val="00845B69"/>
    <w:rsid w:val="008527D5"/>
    <w:rsid w:val="0085449C"/>
    <w:rsid w:val="00872759"/>
    <w:rsid w:val="00882003"/>
    <w:rsid w:val="00887763"/>
    <w:rsid w:val="00897E6D"/>
    <w:rsid w:val="008A26A2"/>
    <w:rsid w:val="008A3340"/>
    <w:rsid w:val="008A3B76"/>
    <w:rsid w:val="008A6085"/>
    <w:rsid w:val="008A6834"/>
    <w:rsid w:val="008B38BA"/>
    <w:rsid w:val="008B5C68"/>
    <w:rsid w:val="008B72D8"/>
    <w:rsid w:val="008C146C"/>
    <w:rsid w:val="008C419B"/>
    <w:rsid w:val="008D2E68"/>
    <w:rsid w:val="008E76BA"/>
    <w:rsid w:val="008F2D7C"/>
    <w:rsid w:val="00901483"/>
    <w:rsid w:val="00905F02"/>
    <w:rsid w:val="00906392"/>
    <w:rsid w:val="00907394"/>
    <w:rsid w:val="0092093C"/>
    <w:rsid w:val="00920F98"/>
    <w:rsid w:val="009300DC"/>
    <w:rsid w:val="00932021"/>
    <w:rsid w:val="0093327C"/>
    <w:rsid w:val="00940E1E"/>
    <w:rsid w:val="00950100"/>
    <w:rsid w:val="00952FB7"/>
    <w:rsid w:val="00956B8D"/>
    <w:rsid w:val="00967D4E"/>
    <w:rsid w:val="00973BEA"/>
    <w:rsid w:val="009742B1"/>
    <w:rsid w:val="0098150E"/>
    <w:rsid w:val="0099559D"/>
    <w:rsid w:val="009A1853"/>
    <w:rsid w:val="009A256F"/>
    <w:rsid w:val="009B01E2"/>
    <w:rsid w:val="009C3201"/>
    <w:rsid w:val="009C6C6C"/>
    <w:rsid w:val="009D1D42"/>
    <w:rsid w:val="009D41EB"/>
    <w:rsid w:val="009F2765"/>
    <w:rsid w:val="009F76FF"/>
    <w:rsid w:val="00A00113"/>
    <w:rsid w:val="00A01EE8"/>
    <w:rsid w:val="00A07B99"/>
    <w:rsid w:val="00A07CA1"/>
    <w:rsid w:val="00A109A7"/>
    <w:rsid w:val="00A11A0A"/>
    <w:rsid w:val="00A11BD3"/>
    <w:rsid w:val="00A12224"/>
    <w:rsid w:val="00A128E7"/>
    <w:rsid w:val="00A12B86"/>
    <w:rsid w:val="00A22F30"/>
    <w:rsid w:val="00A272D5"/>
    <w:rsid w:val="00A40F05"/>
    <w:rsid w:val="00A576CD"/>
    <w:rsid w:val="00A65368"/>
    <w:rsid w:val="00A73109"/>
    <w:rsid w:val="00A81713"/>
    <w:rsid w:val="00A91526"/>
    <w:rsid w:val="00A917CF"/>
    <w:rsid w:val="00A94982"/>
    <w:rsid w:val="00AB1CA1"/>
    <w:rsid w:val="00AB4024"/>
    <w:rsid w:val="00AD68F6"/>
    <w:rsid w:val="00AE0433"/>
    <w:rsid w:val="00AE39FF"/>
    <w:rsid w:val="00AE5E66"/>
    <w:rsid w:val="00AF1E50"/>
    <w:rsid w:val="00AF4192"/>
    <w:rsid w:val="00AF5DAD"/>
    <w:rsid w:val="00B00038"/>
    <w:rsid w:val="00B067EB"/>
    <w:rsid w:val="00B2027C"/>
    <w:rsid w:val="00B21732"/>
    <w:rsid w:val="00B4142B"/>
    <w:rsid w:val="00B4524B"/>
    <w:rsid w:val="00B5154C"/>
    <w:rsid w:val="00B63E14"/>
    <w:rsid w:val="00B67E0A"/>
    <w:rsid w:val="00B77D7F"/>
    <w:rsid w:val="00B81085"/>
    <w:rsid w:val="00B82797"/>
    <w:rsid w:val="00B86BFE"/>
    <w:rsid w:val="00B87798"/>
    <w:rsid w:val="00B90F71"/>
    <w:rsid w:val="00B96840"/>
    <w:rsid w:val="00BA10BB"/>
    <w:rsid w:val="00BA324C"/>
    <w:rsid w:val="00BA4170"/>
    <w:rsid w:val="00BB2944"/>
    <w:rsid w:val="00BB2B4C"/>
    <w:rsid w:val="00BB5459"/>
    <w:rsid w:val="00BB684A"/>
    <w:rsid w:val="00BC0D66"/>
    <w:rsid w:val="00BC318C"/>
    <w:rsid w:val="00BC4E1B"/>
    <w:rsid w:val="00BE2B1C"/>
    <w:rsid w:val="00BE6D3A"/>
    <w:rsid w:val="00BE714D"/>
    <w:rsid w:val="00C0325A"/>
    <w:rsid w:val="00C06AF0"/>
    <w:rsid w:val="00C133A7"/>
    <w:rsid w:val="00C23921"/>
    <w:rsid w:val="00C24395"/>
    <w:rsid w:val="00C27E3D"/>
    <w:rsid w:val="00C46F77"/>
    <w:rsid w:val="00C54C82"/>
    <w:rsid w:val="00C568E2"/>
    <w:rsid w:val="00C66123"/>
    <w:rsid w:val="00C669E4"/>
    <w:rsid w:val="00C8285E"/>
    <w:rsid w:val="00C92892"/>
    <w:rsid w:val="00C930F5"/>
    <w:rsid w:val="00C93B3C"/>
    <w:rsid w:val="00CA60AA"/>
    <w:rsid w:val="00CB68DC"/>
    <w:rsid w:val="00CB6B8F"/>
    <w:rsid w:val="00CB6CE1"/>
    <w:rsid w:val="00CC0700"/>
    <w:rsid w:val="00CC49F1"/>
    <w:rsid w:val="00CD17D9"/>
    <w:rsid w:val="00CD39CF"/>
    <w:rsid w:val="00CD44DA"/>
    <w:rsid w:val="00CD5322"/>
    <w:rsid w:val="00CD58D2"/>
    <w:rsid w:val="00CE1185"/>
    <w:rsid w:val="00CE5CEF"/>
    <w:rsid w:val="00CE739D"/>
    <w:rsid w:val="00CE7452"/>
    <w:rsid w:val="00CF1278"/>
    <w:rsid w:val="00CF7077"/>
    <w:rsid w:val="00D15047"/>
    <w:rsid w:val="00D260A7"/>
    <w:rsid w:val="00D26ADB"/>
    <w:rsid w:val="00D32900"/>
    <w:rsid w:val="00D33868"/>
    <w:rsid w:val="00D36F18"/>
    <w:rsid w:val="00D42549"/>
    <w:rsid w:val="00D517EB"/>
    <w:rsid w:val="00D54BC4"/>
    <w:rsid w:val="00D633AE"/>
    <w:rsid w:val="00D63B88"/>
    <w:rsid w:val="00D74050"/>
    <w:rsid w:val="00D74729"/>
    <w:rsid w:val="00D81EE8"/>
    <w:rsid w:val="00D82703"/>
    <w:rsid w:val="00D83005"/>
    <w:rsid w:val="00D86332"/>
    <w:rsid w:val="00D87215"/>
    <w:rsid w:val="00D912FD"/>
    <w:rsid w:val="00D93CF3"/>
    <w:rsid w:val="00DA54E2"/>
    <w:rsid w:val="00DB5756"/>
    <w:rsid w:val="00DC4821"/>
    <w:rsid w:val="00DD46D4"/>
    <w:rsid w:val="00DF02F1"/>
    <w:rsid w:val="00DF0F4E"/>
    <w:rsid w:val="00DF56F5"/>
    <w:rsid w:val="00DF65A4"/>
    <w:rsid w:val="00E00172"/>
    <w:rsid w:val="00E02F29"/>
    <w:rsid w:val="00E04118"/>
    <w:rsid w:val="00E04BD1"/>
    <w:rsid w:val="00E11C84"/>
    <w:rsid w:val="00E13ADA"/>
    <w:rsid w:val="00E23CE2"/>
    <w:rsid w:val="00E32319"/>
    <w:rsid w:val="00E40188"/>
    <w:rsid w:val="00E56ADC"/>
    <w:rsid w:val="00E60C60"/>
    <w:rsid w:val="00E76594"/>
    <w:rsid w:val="00E81663"/>
    <w:rsid w:val="00E8336E"/>
    <w:rsid w:val="00E83500"/>
    <w:rsid w:val="00E83645"/>
    <w:rsid w:val="00E83C8D"/>
    <w:rsid w:val="00E87CEC"/>
    <w:rsid w:val="00E9401E"/>
    <w:rsid w:val="00E97095"/>
    <w:rsid w:val="00EB4A8E"/>
    <w:rsid w:val="00EC2E16"/>
    <w:rsid w:val="00ED1091"/>
    <w:rsid w:val="00ED2FA2"/>
    <w:rsid w:val="00EE031B"/>
    <w:rsid w:val="00EE3A86"/>
    <w:rsid w:val="00EE51C3"/>
    <w:rsid w:val="00EE7E3A"/>
    <w:rsid w:val="00EF2C3B"/>
    <w:rsid w:val="00EF63AE"/>
    <w:rsid w:val="00EF6851"/>
    <w:rsid w:val="00F00508"/>
    <w:rsid w:val="00F04307"/>
    <w:rsid w:val="00F067D0"/>
    <w:rsid w:val="00F10E5B"/>
    <w:rsid w:val="00F10F67"/>
    <w:rsid w:val="00F1518D"/>
    <w:rsid w:val="00F323FF"/>
    <w:rsid w:val="00F40CBB"/>
    <w:rsid w:val="00F44592"/>
    <w:rsid w:val="00F66772"/>
    <w:rsid w:val="00F87658"/>
    <w:rsid w:val="00F93218"/>
    <w:rsid w:val="00F94315"/>
    <w:rsid w:val="00FB2BB1"/>
    <w:rsid w:val="00FC2235"/>
    <w:rsid w:val="00FD4900"/>
    <w:rsid w:val="00FE0C84"/>
    <w:rsid w:val="00FF5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4E14"/>
  <w15:chartTrackingRefBased/>
  <w15:docId w15:val="{4F980E0C-4BB4-4CC2-B08A-6AACD2A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ED10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F63AE"/>
    <w:pPr>
      <w:ind w:left="720"/>
      <w:contextualSpacing/>
    </w:pPr>
  </w:style>
  <w:style w:type="character" w:styleId="CommentReference">
    <w:name w:val="annotation reference"/>
    <w:basedOn w:val="DefaultParagraphFont"/>
    <w:uiPriority w:val="99"/>
    <w:semiHidden/>
    <w:unhideWhenUsed/>
    <w:rsid w:val="001B72E9"/>
    <w:rPr>
      <w:sz w:val="16"/>
      <w:szCs w:val="16"/>
    </w:rPr>
  </w:style>
  <w:style w:type="paragraph" w:styleId="CommentText">
    <w:name w:val="annotation text"/>
    <w:basedOn w:val="Normal"/>
    <w:link w:val="CommentTextChar"/>
    <w:uiPriority w:val="99"/>
    <w:semiHidden/>
    <w:unhideWhenUsed/>
    <w:rsid w:val="001B72E9"/>
    <w:pPr>
      <w:spacing w:line="240" w:lineRule="auto"/>
    </w:pPr>
    <w:rPr>
      <w:sz w:val="20"/>
      <w:szCs w:val="20"/>
    </w:rPr>
  </w:style>
  <w:style w:type="character" w:customStyle="1" w:styleId="CommentTextChar">
    <w:name w:val="Comment Text Char"/>
    <w:basedOn w:val="DefaultParagraphFont"/>
    <w:link w:val="CommentText"/>
    <w:uiPriority w:val="99"/>
    <w:semiHidden/>
    <w:rsid w:val="001B72E9"/>
    <w:rPr>
      <w:sz w:val="20"/>
      <w:szCs w:val="20"/>
    </w:rPr>
  </w:style>
  <w:style w:type="paragraph" w:styleId="BalloonText">
    <w:name w:val="Balloon Text"/>
    <w:basedOn w:val="Normal"/>
    <w:link w:val="BalloonTextChar"/>
    <w:uiPriority w:val="99"/>
    <w:semiHidden/>
    <w:unhideWhenUsed/>
    <w:rsid w:val="001B7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0433"/>
    <w:rPr>
      <w:b/>
      <w:bCs/>
    </w:rPr>
  </w:style>
  <w:style w:type="character" w:customStyle="1" w:styleId="CommentSubjectChar">
    <w:name w:val="Comment Subject Char"/>
    <w:basedOn w:val="CommentTextChar"/>
    <w:link w:val="CommentSubject"/>
    <w:uiPriority w:val="99"/>
    <w:semiHidden/>
    <w:rsid w:val="00AE0433"/>
    <w:rPr>
      <w:b/>
      <w:bCs/>
      <w:sz w:val="20"/>
      <w:szCs w:val="20"/>
    </w:rPr>
  </w:style>
  <w:style w:type="character" w:styleId="Hyperlink">
    <w:name w:val="Hyperlink"/>
    <w:basedOn w:val="DefaultParagraphFont"/>
    <w:uiPriority w:val="99"/>
    <w:unhideWhenUsed/>
    <w:rsid w:val="00F66772"/>
    <w:rPr>
      <w:color w:val="0563C1" w:themeColor="hyperlink"/>
      <w:u w:val="single"/>
    </w:rPr>
  </w:style>
  <w:style w:type="table" w:styleId="TableGridLight">
    <w:name w:val="Grid Table Light"/>
    <w:basedOn w:val="TableNormal"/>
    <w:uiPriority w:val="40"/>
    <w:rsid w:val="004D51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81663"/>
    <w:pPr>
      <w:spacing w:after="0" w:line="240" w:lineRule="auto"/>
    </w:pPr>
  </w:style>
  <w:style w:type="character" w:styleId="SubtleEmphasis">
    <w:name w:val="Subtle Emphasis"/>
    <w:basedOn w:val="DefaultParagraphFont"/>
    <w:uiPriority w:val="19"/>
    <w:qFormat/>
    <w:rsid w:val="004E016A"/>
    <w:rPr>
      <w:i/>
      <w:iCs/>
      <w:color w:val="404040" w:themeColor="text1" w:themeTint="BF"/>
    </w:rPr>
  </w:style>
  <w:style w:type="paragraph" w:styleId="Header">
    <w:name w:val="header"/>
    <w:basedOn w:val="Normal"/>
    <w:link w:val="HeaderChar"/>
    <w:uiPriority w:val="99"/>
    <w:unhideWhenUsed/>
    <w:rsid w:val="007C0C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0C67"/>
  </w:style>
  <w:style w:type="paragraph" w:styleId="Footer">
    <w:name w:val="footer"/>
    <w:basedOn w:val="Normal"/>
    <w:link w:val="FooterChar"/>
    <w:uiPriority w:val="99"/>
    <w:unhideWhenUsed/>
    <w:rsid w:val="007C0C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31961">
      <w:bodyDiv w:val="1"/>
      <w:marLeft w:val="0"/>
      <w:marRight w:val="0"/>
      <w:marTop w:val="0"/>
      <w:marBottom w:val="0"/>
      <w:divBdr>
        <w:top w:val="none" w:sz="0" w:space="0" w:color="auto"/>
        <w:left w:val="none" w:sz="0" w:space="0" w:color="auto"/>
        <w:bottom w:val="none" w:sz="0" w:space="0" w:color="auto"/>
        <w:right w:val="none" w:sz="0" w:space="0" w:color="auto"/>
      </w:divBdr>
    </w:div>
    <w:div w:id="1180894824">
      <w:bodyDiv w:val="1"/>
      <w:marLeft w:val="0"/>
      <w:marRight w:val="0"/>
      <w:marTop w:val="0"/>
      <w:marBottom w:val="0"/>
      <w:divBdr>
        <w:top w:val="none" w:sz="0" w:space="0" w:color="auto"/>
        <w:left w:val="none" w:sz="0" w:space="0" w:color="auto"/>
        <w:bottom w:val="none" w:sz="0" w:space="0" w:color="auto"/>
        <w:right w:val="none" w:sz="0" w:space="0" w:color="auto"/>
      </w:divBdr>
    </w:div>
    <w:div w:id="15124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5D63-16A9-4A15-A606-38759813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5054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Vered Schechner</dc:creator>
  <cp:keywords/>
  <dc:description/>
  <cp:lastModifiedBy>Vered Schechner</cp:lastModifiedBy>
  <cp:revision>2</cp:revision>
  <cp:lastPrinted>2021-10-13T13:03:00Z</cp:lastPrinted>
  <dcterms:created xsi:type="dcterms:W3CDTF">2021-11-25T13:20:00Z</dcterms:created>
  <dcterms:modified xsi:type="dcterms:W3CDTF">2021-11-25T13:20:00Z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http://www.zotero.org/styles/journal-of-antimicrobial-chemotherapy</vt:lpwstr>
  </property>
  <property fmtid="{D5CDD505-2E9C-101B-9397-08002B2CF9AE}" pid="17" name="Mendeley Recent Style Name 7_1">
    <vt:lpwstr>Journal of Antimicrobial Chemotherapy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http://www.zotero.org/styles/journal-of-antimicrobial-chemotherapy</vt:lpwstr>
  </property>
  <property fmtid="{D5CDD505-2E9C-101B-9397-08002B2CF9AE}" pid="24" name="Mendeley Unique User Id_1">
    <vt:lpwstr>f795b4af-9134-3bfe-8693-fcc6833bc9ca</vt:lpwstr>
  </property>
</Properties>
</file>