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4AA6" w14:textId="37F900FF" w:rsidR="00311F14" w:rsidRDefault="00BE0865" w:rsidP="00BE0865">
      <w:pPr>
        <w:pStyle w:val="NoSpacing"/>
        <w:rPr>
          <w:sz w:val="28"/>
          <w:lang w:val="en-CA"/>
        </w:rPr>
      </w:pPr>
      <w:r>
        <w:rPr>
          <w:b/>
          <w:bCs w:val="0"/>
          <w:sz w:val="28"/>
          <w:lang w:val="en-CA"/>
        </w:rPr>
        <w:t>Supplementary material</w:t>
      </w:r>
    </w:p>
    <w:p w14:paraId="66A80862" w14:textId="575677F5" w:rsidR="00BE0865" w:rsidRDefault="00BE0865" w:rsidP="00BE0865">
      <w:pPr>
        <w:pStyle w:val="NoSpacing"/>
        <w:rPr>
          <w:sz w:val="28"/>
          <w:lang w:val="en-CA"/>
        </w:rPr>
      </w:pPr>
    </w:p>
    <w:p w14:paraId="0D9CCB20" w14:textId="77777777" w:rsidR="00BE0865" w:rsidRDefault="00BE0865" w:rsidP="00BE0865">
      <w:pPr>
        <w:pStyle w:val="NoSpacing"/>
        <w:rPr>
          <w:szCs w:val="24"/>
          <w:lang w:val="en-CA"/>
        </w:rPr>
      </w:pPr>
      <w:r w:rsidRPr="00BE0865">
        <w:rPr>
          <w:szCs w:val="24"/>
          <w:lang w:val="en-CA"/>
        </w:rPr>
        <w:t>Article</w:t>
      </w:r>
      <w:r>
        <w:rPr>
          <w:szCs w:val="24"/>
          <w:lang w:val="en-CA"/>
        </w:rPr>
        <w:t xml:space="preserve"> title</w:t>
      </w:r>
      <w:r w:rsidRPr="00BE0865">
        <w:rPr>
          <w:szCs w:val="24"/>
          <w:lang w:val="en-CA"/>
        </w:rPr>
        <w:t xml:space="preserve">: </w:t>
      </w:r>
    </w:p>
    <w:p w14:paraId="63A4EDE7" w14:textId="77777777" w:rsidR="00072E85" w:rsidRPr="00D75AA5" w:rsidRDefault="00072E85" w:rsidP="00072E85">
      <w:pPr>
        <w:pStyle w:val="NoSpacing"/>
        <w:rPr>
          <w:b/>
          <w:bCs w:val="0"/>
          <w:lang w:val="en-CA"/>
        </w:rPr>
      </w:pPr>
      <w:r w:rsidRPr="00D75AA5">
        <w:rPr>
          <w:b/>
          <w:lang w:val="en-CA"/>
        </w:rPr>
        <w:t xml:space="preserve">Respiratory virus co-infections with SARS-CoV-2 continue to be rare </w:t>
      </w:r>
      <w:r>
        <w:rPr>
          <w:b/>
          <w:lang w:val="en-CA"/>
        </w:rPr>
        <w:t>one year</w:t>
      </w:r>
      <w:r w:rsidRPr="00D75AA5">
        <w:rPr>
          <w:b/>
          <w:lang w:val="en-CA"/>
        </w:rPr>
        <w:t xml:space="preserve"> into the pandemic in Alberta, Canada (June 2020 – May 2021)</w:t>
      </w:r>
    </w:p>
    <w:p w14:paraId="2B44E279" w14:textId="46B8BB4F" w:rsidR="00BE0865" w:rsidRPr="00BE0865" w:rsidRDefault="00BE0865" w:rsidP="00BE0865">
      <w:pPr>
        <w:pStyle w:val="NoSpacing"/>
        <w:rPr>
          <w:szCs w:val="24"/>
          <w:lang w:val="en-CA"/>
        </w:rPr>
      </w:pPr>
    </w:p>
    <w:p w14:paraId="37F6A323" w14:textId="4220AC07" w:rsidR="00BE0865" w:rsidRDefault="00BE0865" w:rsidP="00BE0865">
      <w:pPr>
        <w:pStyle w:val="NoSpacing"/>
        <w:rPr>
          <w:sz w:val="28"/>
          <w:szCs w:val="24"/>
          <w:lang w:val="en-CA"/>
        </w:rPr>
      </w:pPr>
      <w:r>
        <w:rPr>
          <w:i/>
          <w:iCs/>
          <w:sz w:val="28"/>
          <w:szCs w:val="24"/>
          <w:lang w:val="en-CA"/>
        </w:rPr>
        <w:t>Contents</w:t>
      </w:r>
    </w:p>
    <w:p w14:paraId="60371A2A" w14:textId="68DCE1E9" w:rsidR="00BE0865" w:rsidRDefault="00BE0865" w:rsidP="00BE0865">
      <w:pPr>
        <w:pStyle w:val="NoSpacing"/>
        <w:rPr>
          <w:szCs w:val="24"/>
          <w:lang w:val="en-CA"/>
        </w:rPr>
      </w:pPr>
    </w:p>
    <w:p w14:paraId="7CD3A5AC" w14:textId="53F8E094" w:rsidR="00BE0865" w:rsidRDefault="00681C9C" w:rsidP="000618CA">
      <w:pPr>
        <w:pStyle w:val="NoSpacing"/>
        <w:numPr>
          <w:ilvl w:val="0"/>
          <w:numId w:val="1"/>
        </w:numPr>
        <w:rPr>
          <w:szCs w:val="24"/>
          <w:lang w:val="en-CA"/>
        </w:rPr>
      </w:pPr>
      <w:r>
        <w:rPr>
          <w:b/>
          <w:bCs w:val="0"/>
          <w:szCs w:val="24"/>
          <w:lang w:val="en-CA"/>
        </w:rPr>
        <w:t>Supplementary Methods</w:t>
      </w:r>
      <w:r w:rsidR="00BE0865">
        <w:rPr>
          <w:b/>
          <w:bCs w:val="0"/>
          <w:szCs w:val="24"/>
          <w:lang w:val="en-CA"/>
        </w:rPr>
        <w:t>.</w:t>
      </w:r>
      <w:r w:rsidR="00BE0865">
        <w:rPr>
          <w:szCs w:val="24"/>
          <w:lang w:val="en-CA"/>
        </w:rPr>
        <w:t xml:space="preserve">  Data analysis.</w:t>
      </w:r>
    </w:p>
    <w:p w14:paraId="0DCC6C67" w14:textId="76676EB3" w:rsidR="00681C9C" w:rsidRDefault="00681C9C" w:rsidP="00681C9C">
      <w:pPr>
        <w:pStyle w:val="NoSpacing"/>
        <w:rPr>
          <w:szCs w:val="24"/>
          <w:lang w:val="en-CA"/>
        </w:rPr>
      </w:pPr>
    </w:p>
    <w:p w14:paraId="790ECD93" w14:textId="46EF1540" w:rsidR="00681C9C" w:rsidRPr="0098223C" w:rsidRDefault="00681C9C" w:rsidP="00681C9C">
      <w:pPr>
        <w:pStyle w:val="NoSpacing"/>
        <w:numPr>
          <w:ilvl w:val="0"/>
          <w:numId w:val="1"/>
        </w:numPr>
        <w:rPr>
          <w:szCs w:val="24"/>
          <w:lang w:val="en-CA"/>
        </w:rPr>
      </w:pPr>
      <w:r>
        <w:rPr>
          <w:b/>
          <w:bCs w:val="0"/>
          <w:szCs w:val="24"/>
          <w:lang w:val="en-CA"/>
        </w:rPr>
        <w:t>Supplementary Results.</w:t>
      </w:r>
    </w:p>
    <w:p w14:paraId="29076492" w14:textId="77777777" w:rsidR="0098223C" w:rsidRDefault="0098223C" w:rsidP="0098223C">
      <w:pPr>
        <w:pStyle w:val="ListParagraph"/>
        <w:rPr>
          <w:szCs w:val="24"/>
          <w:lang w:val="en-CA"/>
        </w:rPr>
      </w:pPr>
    </w:p>
    <w:p w14:paraId="5D0F24E6" w14:textId="022B91ED" w:rsidR="0098223C" w:rsidRPr="0098223C" w:rsidRDefault="0098223C" w:rsidP="0098223C">
      <w:pPr>
        <w:pStyle w:val="NoSpacing"/>
        <w:numPr>
          <w:ilvl w:val="0"/>
          <w:numId w:val="1"/>
        </w:numPr>
      </w:pPr>
      <w:r>
        <w:rPr>
          <w:b/>
          <w:bCs w:val="0"/>
        </w:rPr>
        <w:t xml:space="preserve">Table S1.  </w:t>
      </w:r>
      <w:r>
        <w:t xml:space="preserve">Proportion of co-infections based on patient </w:t>
      </w:r>
      <w:r w:rsidR="007D6704">
        <w:t>setting</w:t>
      </w:r>
      <w:r>
        <w:t>.</w:t>
      </w:r>
    </w:p>
    <w:p w14:paraId="60655060" w14:textId="29C949F1" w:rsidR="00A732D8" w:rsidRDefault="00A732D8" w:rsidP="00BE0865">
      <w:pPr>
        <w:pStyle w:val="NoSpacing"/>
        <w:rPr>
          <w:szCs w:val="24"/>
          <w:lang w:val="en-CA"/>
        </w:rPr>
      </w:pPr>
    </w:p>
    <w:p w14:paraId="5F662631" w14:textId="6DADED31" w:rsidR="000618CA" w:rsidRDefault="00A732D8" w:rsidP="000618CA">
      <w:pPr>
        <w:pStyle w:val="NoSpacing"/>
        <w:numPr>
          <w:ilvl w:val="0"/>
          <w:numId w:val="1"/>
        </w:numPr>
        <w:rPr>
          <w:lang w:val="en-CA"/>
        </w:rPr>
      </w:pPr>
      <w:r>
        <w:rPr>
          <w:b/>
          <w:lang w:val="en-CA"/>
        </w:rPr>
        <w:t>Table S</w:t>
      </w:r>
      <w:r w:rsidR="0098223C">
        <w:rPr>
          <w:b/>
          <w:lang w:val="en-CA"/>
        </w:rPr>
        <w:t>2</w:t>
      </w:r>
      <w:r>
        <w:rPr>
          <w:b/>
          <w:lang w:val="en-CA"/>
        </w:rPr>
        <w:t xml:space="preserve">.  </w:t>
      </w:r>
      <w:r w:rsidRPr="00D75AA5">
        <w:rPr>
          <w:lang w:val="en-CA"/>
        </w:rPr>
        <w:t>Historical proportion of respiratory viral panel testing results (2016-2019) in the entire province of Alberta with enterovirus/rhinovirus co-infection</w:t>
      </w:r>
      <w:r w:rsidR="000618CA">
        <w:rPr>
          <w:lang w:val="en-CA"/>
        </w:rPr>
        <w:t>.</w:t>
      </w:r>
    </w:p>
    <w:p w14:paraId="5C991F3B" w14:textId="794FFBC3" w:rsidR="000618CA" w:rsidRDefault="000618CA" w:rsidP="00A732D8">
      <w:pPr>
        <w:pStyle w:val="NoSpacing"/>
        <w:rPr>
          <w:lang w:val="en-CA"/>
        </w:rPr>
      </w:pPr>
    </w:p>
    <w:p w14:paraId="0C7A662C" w14:textId="0E9934AE" w:rsidR="000618CA" w:rsidRPr="000618CA" w:rsidRDefault="000618CA" w:rsidP="000618CA">
      <w:pPr>
        <w:pStyle w:val="NoSpacing"/>
        <w:numPr>
          <w:ilvl w:val="0"/>
          <w:numId w:val="1"/>
        </w:numPr>
        <w:rPr>
          <w:b/>
          <w:bCs w:val="0"/>
          <w:vertAlign w:val="superscript"/>
          <w:lang w:val="en-CA"/>
        </w:rPr>
      </w:pPr>
      <w:r>
        <w:rPr>
          <w:b/>
          <w:bCs w:val="0"/>
          <w:lang w:val="en-CA"/>
        </w:rPr>
        <w:t>Supplementary Material References.</w:t>
      </w:r>
    </w:p>
    <w:p w14:paraId="2A267EF0" w14:textId="77777777" w:rsidR="00A732D8" w:rsidRDefault="00A732D8" w:rsidP="00BE0865">
      <w:pPr>
        <w:pStyle w:val="NoSpacing"/>
        <w:rPr>
          <w:szCs w:val="24"/>
          <w:lang w:val="en-CA"/>
        </w:rPr>
      </w:pPr>
    </w:p>
    <w:p w14:paraId="24C50DA1" w14:textId="77777777" w:rsidR="00BE0865" w:rsidRDefault="00BE0865">
      <w:pPr>
        <w:rPr>
          <w:szCs w:val="24"/>
          <w:lang w:val="en-CA"/>
        </w:rPr>
      </w:pPr>
      <w:r>
        <w:rPr>
          <w:szCs w:val="24"/>
          <w:lang w:val="en-CA"/>
        </w:rPr>
        <w:br w:type="page"/>
      </w:r>
    </w:p>
    <w:p w14:paraId="4FBB963B" w14:textId="77777777" w:rsidR="00893C38" w:rsidRDefault="00681C9C" w:rsidP="00BE0865">
      <w:pPr>
        <w:pStyle w:val="NoSpacing"/>
        <w:rPr>
          <w:b/>
          <w:bCs w:val="0"/>
          <w:szCs w:val="24"/>
          <w:lang w:val="en-CA"/>
        </w:rPr>
      </w:pPr>
      <w:r>
        <w:rPr>
          <w:b/>
          <w:bCs w:val="0"/>
          <w:szCs w:val="24"/>
          <w:lang w:val="en-CA"/>
        </w:rPr>
        <w:lastRenderedPageBreak/>
        <w:t>Supplementary Methods</w:t>
      </w:r>
      <w:r w:rsidR="00BE0865">
        <w:rPr>
          <w:b/>
          <w:bCs w:val="0"/>
          <w:szCs w:val="24"/>
          <w:lang w:val="en-CA"/>
        </w:rPr>
        <w:t xml:space="preserve">.  </w:t>
      </w:r>
    </w:p>
    <w:p w14:paraId="2C763FE8" w14:textId="77777777" w:rsidR="00893C38" w:rsidRDefault="00893C38" w:rsidP="00BE0865">
      <w:pPr>
        <w:pStyle w:val="NoSpacing"/>
        <w:rPr>
          <w:b/>
          <w:bCs w:val="0"/>
          <w:szCs w:val="24"/>
          <w:lang w:val="en-CA"/>
        </w:rPr>
      </w:pPr>
    </w:p>
    <w:p w14:paraId="3E5B2B6A" w14:textId="171675A7" w:rsidR="00893C38" w:rsidRDefault="006975DC" w:rsidP="00BE0865">
      <w:pPr>
        <w:pStyle w:val="NoSpacing"/>
        <w:rPr>
          <w:szCs w:val="24"/>
          <w:lang w:val="en-CA"/>
        </w:rPr>
      </w:pPr>
      <w:r>
        <w:rPr>
          <w:i/>
          <w:iCs/>
          <w:szCs w:val="24"/>
          <w:lang w:val="en-CA"/>
        </w:rPr>
        <w:t>Specimen storage</w:t>
      </w:r>
      <w:r w:rsidR="00E216C2">
        <w:rPr>
          <w:i/>
          <w:iCs/>
          <w:szCs w:val="24"/>
          <w:lang w:val="en-CA"/>
        </w:rPr>
        <w:t xml:space="preserve"> and processing</w:t>
      </w:r>
    </w:p>
    <w:p w14:paraId="773E24C5" w14:textId="26159221" w:rsidR="006975DC" w:rsidRDefault="006975DC" w:rsidP="00BE0865">
      <w:pPr>
        <w:pStyle w:val="NoSpacing"/>
        <w:rPr>
          <w:szCs w:val="24"/>
          <w:lang w:val="en-CA"/>
        </w:rPr>
      </w:pPr>
    </w:p>
    <w:p w14:paraId="2493B982" w14:textId="269CF474" w:rsidR="006975DC" w:rsidRDefault="006975DC" w:rsidP="00E216C2">
      <w:pPr>
        <w:pStyle w:val="NoSpacing"/>
        <w:spacing w:line="480" w:lineRule="auto"/>
        <w:rPr>
          <w:szCs w:val="24"/>
          <w:lang w:val="en-CA"/>
        </w:rPr>
      </w:pPr>
      <w:r>
        <w:rPr>
          <w:szCs w:val="24"/>
          <w:lang w:val="en-CA"/>
        </w:rPr>
        <w:t xml:space="preserve">Once collected, respiratory specimens were transported from collection sites to the </w:t>
      </w:r>
      <w:r w:rsidR="00E216C2">
        <w:rPr>
          <w:szCs w:val="24"/>
          <w:lang w:val="en-CA"/>
        </w:rPr>
        <w:t xml:space="preserve">laboratory at room temperature.  </w:t>
      </w:r>
      <w:r>
        <w:rPr>
          <w:szCs w:val="24"/>
          <w:lang w:val="en-CA"/>
        </w:rPr>
        <w:t>Respiratory specimens were first tested for SARS-CoV-2 with aliquots removed for RPP testing and long-term storage, both stored at -20</w:t>
      </w:r>
      <w:r>
        <w:rPr>
          <w:szCs w:val="24"/>
          <w:vertAlign w:val="superscript"/>
          <w:lang w:val="en-CA"/>
        </w:rPr>
        <w:t>o</w:t>
      </w:r>
      <w:r>
        <w:rPr>
          <w:szCs w:val="24"/>
          <w:lang w:val="en-CA"/>
        </w:rPr>
        <w:t>C.</w:t>
      </w:r>
      <w:r w:rsidR="00E216C2">
        <w:rPr>
          <w:szCs w:val="24"/>
          <w:lang w:val="en-CA"/>
        </w:rPr>
        <w:t xml:space="preserve">  </w:t>
      </w:r>
      <w:r>
        <w:rPr>
          <w:szCs w:val="24"/>
          <w:lang w:val="en-CA"/>
        </w:rPr>
        <w:t xml:space="preserve">Specimens were then tested using the RPP assay the following day after thawing </w:t>
      </w:r>
      <w:r w:rsidR="00E216C2">
        <w:rPr>
          <w:szCs w:val="24"/>
          <w:lang w:val="en-CA"/>
        </w:rPr>
        <w:t xml:space="preserve">to room temperature </w:t>
      </w:r>
      <w:r>
        <w:rPr>
          <w:szCs w:val="24"/>
          <w:lang w:val="en-CA"/>
        </w:rPr>
        <w:t>(undergoing one freeze-thaw cycle)</w:t>
      </w:r>
      <w:r w:rsidR="00E216C2">
        <w:rPr>
          <w:szCs w:val="24"/>
          <w:lang w:val="en-CA"/>
        </w:rPr>
        <w:t>.</w:t>
      </w:r>
    </w:p>
    <w:p w14:paraId="6E5AC3A7" w14:textId="77777777" w:rsidR="00273A75" w:rsidRDefault="00273A75" w:rsidP="00E216C2">
      <w:pPr>
        <w:pStyle w:val="NoSpacing"/>
        <w:spacing w:line="480" w:lineRule="auto"/>
        <w:rPr>
          <w:szCs w:val="24"/>
          <w:lang w:val="en-CA"/>
        </w:rPr>
      </w:pPr>
    </w:p>
    <w:p w14:paraId="1348B664" w14:textId="3FD3C79C" w:rsidR="00E216C2" w:rsidRPr="006975DC" w:rsidRDefault="00E216C2" w:rsidP="00E216C2">
      <w:pPr>
        <w:pStyle w:val="NoSpacing"/>
        <w:spacing w:line="480" w:lineRule="auto"/>
        <w:rPr>
          <w:szCs w:val="24"/>
          <w:lang w:val="en-CA"/>
        </w:rPr>
      </w:pPr>
      <w:r>
        <w:rPr>
          <w:szCs w:val="24"/>
          <w:lang w:val="en-CA"/>
        </w:rPr>
        <w:t>Specimens undergoing RPP testing first underwent an extraction procedure (</w:t>
      </w:r>
      <w:proofErr w:type="spellStart"/>
      <w:r>
        <w:rPr>
          <w:szCs w:val="24"/>
          <w:lang w:val="en-CA"/>
        </w:rPr>
        <w:t>NucliSENS</w:t>
      </w:r>
      <w:proofErr w:type="spellEnd"/>
      <w:r>
        <w:rPr>
          <w:szCs w:val="24"/>
          <w:lang w:val="en-CA"/>
        </w:rPr>
        <w:t xml:space="preserve"> </w:t>
      </w:r>
      <w:proofErr w:type="spellStart"/>
      <w:r>
        <w:rPr>
          <w:szCs w:val="24"/>
          <w:lang w:val="en-CA"/>
        </w:rPr>
        <w:t>easyMag</w:t>
      </w:r>
      <w:proofErr w:type="spellEnd"/>
      <w:r>
        <w:rPr>
          <w:szCs w:val="24"/>
          <w:lang w:val="en-CA"/>
        </w:rPr>
        <w:t xml:space="preserve">, </w:t>
      </w:r>
      <w:proofErr w:type="spellStart"/>
      <w:r>
        <w:rPr>
          <w:szCs w:val="24"/>
          <w:lang w:val="en-CA"/>
        </w:rPr>
        <w:t>bioMerieux</w:t>
      </w:r>
      <w:proofErr w:type="spellEnd"/>
      <w:r>
        <w:rPr>
          <w:szCs w:val="24"/>
          <w:lang w:val="en-CA"/>
        </w:rPr>
        <w:t>, Marcy-</w:t>
      </w:r>
      <w:proofErr w:type="spellStart"/>
      <w:r>
        <w:rPr>
          <w:szCs w:val="24"/>
          <w:lang w:val="en-CA"/>
        </w:rPr>
        <w:t>l’Etoile</w:t>
      </w:r>
      <w:proofErr w:type="spellEnd"/>
      <w:r>
        <w:rPr>
          <w:szCs w:val="24"/>
          <w:lang w:val="en-CA"/>
        </w:rPr>
        <w:t xml:space="preserve">, France).  Any bronchoalveolar lavage or endotracheal aspirate specimens were extracted using the </w:t>
      </w:r>
      <w:proofErr w:type="spellStart"/>
      <w:r>
        <w:rPr>
          <w:szCs w:val="24"/>
          <w:lang w:val="en-CA"/>
        </w:rPr>
        <w:t>MagMAX</w:t>
      </w:r>
      <w:proofErr w:type="spellEnd"/>
      <w:r>
        <w:rPr>
          <w:szCs w:val="24"/>
          <w:lang w:val="en-CA"/>
        </w:rPr>
        <w:t xml:space="preserve"> Total Nucleic Acid Isolation Kit (Thermo Fisher Scientific, Waltham, USA)</w:t>
      </w:r>
      <w:r w:rsidR="00273A75">
        <w:rPr>
          <w:szCs w:val="24"/>
          <w:lang w:val="en-CA"/>
        </w:rPr>
        <w:t xml:space="preserve">.  Extracts were then tested using the RPP assay.  All extraction and testing </w:t>
      </w:r>
      <w:proofErr w:type="gramStart"/>
      <w:r w:rsidR="00273A75">
        <w:rPr>
          <w:szCs w:val="24"/>
          <w:lang w:val="en-CA"/>
        </w:rPr>
        <w:t>was</w:t>
      </w:r>
      <w:proofErr w:type="gramEnd"/>
      <w:r w:rsidR="00273A75">
        <w:rPr>
          <w:szCs w:val="24"/>
          <w:lang w:val="en-CA"/>
        </w:rPr>
        <w:t xml:space="preserve"> conducted as per manufacturer’s instructions.</w:t>
      </w:r>
    </w:p>
    <w:p w14:paraId="12309239" w14:textId="77777777" w:rsidR="00893C38" w:rsidRDefault="00893C38" w:rsidP="00BE0865">
      <w:pPr>
        <w:pStyle w:val="NoSpacing"/>
        <w:rPr>
          <w:b/>
          <w:bCs w:val="0"/>
          <w:szCs w:val="24"/>
          <w:lang w:val="en-CA"/>
        </w:rPr>
      </w:pPr>
    </w:p>
    <w:p w14:paraId="68A3FF50" w14:textId="6C6648B4" w:rsidR="00BE0865" w:rsidRPr="00893C38" w:rsidRDefault="00BE0865" w:rsidP="00BE0865">
      <w:pPr>
        <w:pStyle w:val="NoSpacing"/>
        <w:rPr>
          <w:i/>
          <w:iCs/>
          <w:szCs w:val="24"/>
          <w:lang w:val="en-CA"/>
        </w:rPr>
      </w:pPr>
      <w:r w:rsidRPr="00893C38">
        <w:rPr>
          <w:i/>
          <w:iCs/>
          <w:szCs w:val="24"/>
          <w:lang w:val="en-CA"/>
        </w:rPr>
        <w:t>Data analysis</w:t>
      </w:r>
    </w:p>
    <w:p w14:paraId="638B12F0" w14:textId="69625D59" w:rsidR="00BE0865" w:rsidRDefault="00BE0865" w:rsidP="00BE0865">
      <w:pPr>
        <w:pStyle w:val="NoSpacing"/>
        <w:rPr>
          <w:szCs w:val="24"/>
          <w:lang w:val="en-CA"/>
        </w:rPr>
      </w:pPr>
    </w:p>
    <w:p w14:paraId="18592D14" w14:textId="18505BEB" w:rsidR="00955F9E" w:rsidRDefault="00FE1800" w:rsidP="002C0A9D">
      <w:pPr>
        <w:pStyle w:val="NoSpacing"/>
        <w:spacing w:line="480" w:lineRule="auto"/>
        <w:ind w:firstLine="720"/>
      </w:pPr>
      <w:r>
        <w:rPr>
          <w:lang w:val="en-CA"/>
        </w:rPr>
        <w:t>Duplicate testing (</w:t>
      </w:r>
      <w:proofErr w:type="gramStart"/>
      <w:r>
        <w:rPr>
          <w:lang w:val="en-CA"/>
        </w:rPr>
        <w:t>i.e.</w:t>
      </w:r>
      <w:proofErr w:type="gramEnd"/>
      <w:r>
        <w:rPr>
          <w:lang w:val="en-CA"/>
        </w:rPr>
        <w:t xml:space="preserve"> repeat SARS-CoV-2 and RPP) testing on the same patient conducted within </w:t>
      </w:r>
      <w:r w:rsidR="002C0A9D">
        <w:rPr>
          <w:lang w:val="en-CA"/>
        </w:rPr>
        <w:t>six</w:t>
      </w:r>
      <w:r w:rsidR="007555A8">
        <w:rPr>
          <w:lang w:val="en-CA"/>
        </w:rPr>
        <w:t xml:space="preserve"> days of the first positive SARS-CoV-2 test was reviewed.  Any positive RPP results were considered to be a co-infection if they were found within the incubation period of the specific virus (as outlined by </w:t>
      </w:r>
      <w:r w:rsidR="002C0A9D">
        <w:rPr>
          <w:lang w:val="en-CA"/>
        </w:rPr>
        <w:t xml:space="preserve">Chow </w:t>
      </w:r>
      <w:r w:rsidR="002C0A9D">
        <w:rPr>
          <w:i/>
          <w:iCs/>
          <w:lang w:val="en-CA"/>
        </w:rPr>
        <w:t>et al</w:t>
      </w:r>
      <w:r w:rsidR="002C0A9D">
        <w:rPr>
          <w:lang w:val="en-CA"/>
        </w:rPr>
        <w:t>).</w:t>
      </w:r>
      <w:r w:rsidR="002C0A9D">
        <w:rPr>
          <w:lang w:val="en-CA"/>
        </w:rPr>
        <w:fldChar w:fldCharType="begin"/>
      </w:r>
      <w:r w:rsidR="006975DC">
        <w:rPr>
          <w:lang w:val="en-CA"/>
        </w:rPr>
        <w:instrText xml:space="preserve"> ADDIN EN.CITE &lt;EndNote&gt;&lt;Cite&gt;&lt;Author&gt;Chow&lt;/Author&gt;&lt;Year&gt;2017&lt;/Year&gt;&lt;RecNum&gt;44&lt;/RecNum&gt;&lt;DisplayText&gt;&lt;style face="superscript"&gt;1&lt;/style&gt;&lt;/DisplayText&gt;&lt;record&gt;&lt;rec-number&gt;44&lt;/rec-number&gt;&lt;foreign-keys&gt;&lt;key app="EN" db-id="es5xv2x2fd92ase5pzgpx2pu09p5fvverfwd" timestamp="1636514021"&gt;44&lt;/key&gt;&lt;/foreign-keys&gt;&lt;ref-type name="Journal Article"&gt;17&lt;/ref-type&gt;&lt;contributors&gt;&lt;authors&gt;&lt;author&gt;Chow, Eric J.&lt;/author&gt;&lt;author&gt;Mermel, Leonard A.&lt;/author&gt;&lt;/authors&gt;&lt;/contributors&gt;&lt;titles&gt;&lt;title&gt;Hospital-Acquired Respiratory Viral Infections: Incidence, Morbidity, and Mortality in Pediatric and Adult Patients&lt;/title&gt;&lt;secondary-title&gt;Open forum infectious diseases&lt;/secondary-title&gt;&lt;alt-title&gt;Open Forum Infect Dis&lt;/alt-title&gt;&lt;/titles&gt;&lt;periodical&gt;&lt;full-title&gt;Open Forum Infectious Diseases&lt;/full-title&gt;&lt;/periodical&gt;&lt;pages&gt;ofx006-ofx006&lt;/pages&gt;&lt;volume&gt;4&lt;/volume&gt;&lt;number&gt;1&lt;/number&gt;&lt;keywords&gt;&lt;keyword&gt;hospital-acquired&lt;/keyword&gt;&lt;keyword&gt;nosocomial&lt;/keyword&gt;&lt;keyword&gt;pneumonia&lt;/keyword&gt;&lt;keyword&gt;respiratory tract infection&lt;/keyword&gt;&lt;keyword&gt;viral.&lt;/keyword&gt;&lt;/keywords&gt;&lt;dates&gt;&lt;year&gt;2017&lt;/year&gt;&lt;/dates&gt;&lt;publisher&gt;Oxford University Press&lt;/publisher&gt;&lt;isbn&gt;2328-8957&lt;/isbn&gt;&lt;accession-num&gt;28480279&lt;/accession-num&gt;&lt;urls&gt;&lt;related-urls&gt;&lt;url&gt;https://pubmed.ncbi.nlm.nih.gov/28480279&lt;/url&gt;&lt;url&gt;https://www.ncbi.nlm.nih.gov/pmc/articles/PMC5414085/&lt;/url&gt;&lt;/related-urls&gt;&lt;/urls&gt;&lt;electronic-resource-num&gt;10.1093/ofid/ofx006&lt;/electronic-resource-num&gt;&lt;remote-database-name&gt;PubMed&lt;/remote-database-name&gt;&lt;language&gt;eng&lt;/language&gt;&lt;/record&gt;&lt;/Cite&gt;&lt;/EndNote&gt;</w:instrText>
      </w:r>
      <w:r w:rsidR="002C0A9D">
        <w:rPr>
          <w:lang w:val="en-CA"/>
        </w:rPr>
        <w:fldChar w:fldCharType="separate"/>
      </w:r>
      <w:r w:rsidR="006975DC" w:rsidRPr="006975DC">
        <w:rPr>
          <w:noProof/>
          <w:vertAlign w:val="superscript"/>
          <w:lang w:val="en-CA"/>
        </w:rPr>
        <w:t>1</w:t>
      </w:r>
      <w:r w:rsidR="002C0A9D">
        <w:rPr>
          <w:lang w:val="en-CA"/>
        </w:rPr>
        <w:fldChar w:fldCharType="end"/>
      </w:r>
      <w:r w:rsidR="002C0A9D">
        <w:rPr>
          <w:lang w:val="en-CA"/>
        </w:rPr>
        <w:t xml:space="preserve">  </w:t>
      </w:r>
      <w:r w:rsidR="00153FEE">
        <w:t>If discordant testing results from multiple samples from the same patient were found, all positive RPP targets were included.  Duplicate positive RPP targets were counted only once.</w:t>
      </w:r>
    </w:p>
    <w:p w14:paraId="6A882D0A" w14:textId="0534B626" w:rsidR="00913A25" w:rsidRDefault="00913A25" w:rsidP="0002604E">
      <w:pPr>
        <w:pStyle w:val="NoSpacing"/>
        <w:spacing w:line="480" w:lineRule="auto"/>
        <w:ind w:firstLine="720"/>
      </w:pPr>
    </w:p>
    <w:p w14:paraId="523C774B" w14:textId="4FCDD624" w:rsidR="00913A25" w:rsidRDefault="00DB0A97" w:rsidP="0002604E">
      <w:pPr>
        <w:pStyle w:val="NoSpacing"/>
        <w:spacing w:line="480" w:lineRule="auto"/>
        <w:ind w:firstLine="720"/>
      </w:pPr>
      <w:r>
        <w:t xml:space="preserve">Given rhinovirus has been reported as the most common co-infection with SARS-CoV-2 in the literature thus far, </w:t>
      </w:r>
      <w:r w:rsidR="00C46BAE">
        <w:t xml:space="preserve">we also wanted to evaluate how often rhinovirus is seen as a co-infecting virus with other viruses detected on the RPP.  To do this, we extracted respiratory virus testing data from January 1, 2016 – December 31, 2019 to evaluate the </w:t>
      </w:r>
      <w:r w:rsidR="00C46BAE">
        <w:lastRenderedPageBreak/>
        <w:t>proportion of each RPP target that was found positive along with ERV (as this is how rhinovirus is detected on the RPP assay).  Data was extracted from the same centralized provincial laboratory information system</w:t>
      </w:r>
      <w:r w:rsidR="00273A75">
        <w:t xml:space="preserve"> (Millennium, Cerner, North Kansas City, USA) </w:t>
      </w:r>
      <w:r w:rsidR="00C46BAE">
        <w:t>as the SARS-CoV-2 and RPP data from June 1, 2020 – May 31, 2021.</w:t>
      </w:r>
    </w:p>
    <w:p w14:paraId="02F999E7" w14:textId="77777777" w:rsidR="00913A25" w:rsidRPr="00153FEE" w:rsidRDefault="00913A25" w:rsidP="0002604E">
      <w:pPr>
        <w:pStyle w:val="NoSpacing"/>
        <w:spacing w:line="480" w:lineRule="auto"/>
        <w:ind w:firstLine="720"/>
      </w:pPr>
    </w:p>
    <w:p w14:paraId="1C1A65B7" w14:textId="71BA739C" w:rsidR="00A732D8" w:rsidRDefault="00BE0865" w:rsidP="0002604E">
      <w:pPr>
        <w:pStyle w:val="NoSpacing"/>
        <w:spacing w:line="480" w:lineRule="auto"/>
        <w:ind w:firstLine="720"/>
        <w:rPr>
          <w:lang w:val="en-CA"/>
        </w:rPr>
      </w:pPr>
      <w:r w:rsidRPr="00D75AA5">
        <w:rPr>
          <w:lang w:val="en-CA"/>
        </w:rPr>
        <w:t xml:space="preserve">Data were summarized using basic epidemiologic analyses.  Confidence intervals (CIs; 95%) were expressed using Wilson’s method.  Continuous variables were compared using Mann-Whitney tests while categorical variables were compared using Chi-square or Fisher’s exact tests, as appropriate.  </w:t>
      </w:r>
      <w:r>
        <w:rPr>
          <w:lang w:val="en-CA"/>
        </w:rPr>
        <w:t xml:space="preserve">Analysis was </w:t>
      </w:r>
      <w:r w:rsidRPr="00D75AA5">
        <w:rPr>
          <w:lang w:val="en-CA"/>
        </w:rPr>
        <w:t xml:space="preserve">done using </w:t>
      </w:r>
      <w:r>
        <w:rPr>
          <w:lang w:val="en-CA"/>
        </w:rPr>
        <w:t>GraphPad Prism (Version 9.2.0; GraphPad Software LLC)</w:t>
      </w:r>
      <w:r w:rsidRPr="00D75AA5">
        <w:rPr>
          <w:lang w:val="en-CA"/>
        </w:rPr>
        <w:t>.  A p-value&lt;0.05 was considered significant.  Adult patients were ≥18 years of age at the time of testing</w:t>
      </w:r>
      <w:r w:rsidR="007E4B8C">
        <w:rPr>
          <w:lang w:val="en-CA"/>
        </w:rPr>
        <w:t xml:space="preserve"> while pediatric patients were </w:t>
      </w:r>
      <w:r w:rsidR="007E4B8C">
        <w:rPr>
          <w:rFonts w:cs="Times New Roman"/>
          <w:lang w:val="en-CA"/>
        </w:rPr>
        <w:t>≤</w:t>
      </w:r>
      <w:r w:rsidR="007E4B8C">
        <w:rPr>
          <w:lang w:val="en-CA"/>
        </w:rPr>
        <w:t>17 years of age</w:t>
      </w:r>
      <w:r w:rsidR="007E4B8C" w:rsidRPr="00D75AA5">
        <w:rPr>
          <w:lang w:val="en-CA"/>
        </w:rPr>
        <w:t>.</w:t>
      </w:r>
      <w:r w:rsidR="007E4B8C">
        <w:rPr>
          <w:lang w:val="en-CA"/>
        </w:rPr>
        <w:t xml:space="preserve"> Patient type (community, emergency room, inpatient – non-intensive care unit [ICU], ICU, and nursing home) was recorded at the time of testing.</w:t>
      </w:r>
    </w:p>
    <w:p w14:paraId="46120BC3" w14:textId="77777777" w:rsidR="00A732D8" w:rsidRDefault="00A732D8">
      <w:pPr>
        <w:rPr>
          <w:lang w:val="en-CA"/>
        </w:rPr>
      </w:pPr>
      <w:r>
        <w:rPr>
          <w:lang w:val="en-CA"/>
        </w:rPr>
        <w:br w:type="page"/>
      </w:r>
    </w:p>
    <w:p w14:paraId="250057F6" w14:textId="77777777" w:rsidR="00347410" w:rsidRDefault="00681C9C">
      <w:pPr>
        <w:rPr>
          <w:bCs w:val="0"/>
          <w:lang w:val="en-CA"/>
        </w:rPr>
      </w:pPr>
      <w:r>
        <w:rPr>
          <w:b/>
          <w:lang w:val="en-CA"/>
        </w:rPr>
        <w:lastRenderedPageBreak/>
        <w:t>Supplementary Results</w:t>
      </w:r>
    </w:p>
    <w:p w14:paraId="0888993E" w14:textId="192032ED" w:rsidR="00347410" w:rsidRDefault="00CB1A8F">
      <w:pPr>
        <w:rPr>
          <w:bCs w:val="0"/>
          <w:lang w:val="en-CA"/>
        </w:rPr>
      </w:pPr>
      <w:r>
        <w:rPr>
          <w:bCs w:val="0"/>
          <w:i/>
          <w:iCs/>
          <w:lang w:val="en-CA"/>
        </w:rPr>
        <w:t>Description of duplicate testing</w:t>
      </w:r>
    </w:p>
    <w:p w14:paraId="40F2EC8E" w14:textId="1EA53B5F" w:rsidR="00330C22" w:rsidRDefault="00A50169" w:rsidP="00F4370F">
      <w:pPr>
        <w:spacing w:line="480" w:lineRule="auto"/>
        <w:rPr>
          <w:bCs w:val="0"/>
          <w:lang w:val="en-CA"/>
        </w:rPr>
      </w:pPr>
      <w:r>
        <w:rPr>
          <w:bCs w:val="0"/>
          <w:lang w:val="en-CA"/>
        </w:rPr>
        <w:t>A total of 146 duplicate samples</w:t>
      </w:r>
      <w:r w:rsidR="00F72639">
        <w:rPr>
          <w:bCs w:val="0"/>
          <w:lang w:val="en-CA"/>
        </w:rPr>
        <w:t xml:space="preserve"> (representing 92 patients)</w:t>
      </w:r>
      <w:r>
        <w:rPr>
          <w:bCs w:val="0"/>
          <w:lang w:val="en-CA"/>
        </w:rPr>
        <w:t xml:space="preserve"> were removed</w:t>
      </w:r>
      <w:r w:rsidR="00744EDC">
        <w:rPr>
          <w:bCs w:val="0"/>
          <w:lang w:val="en-CA"/>
        </w:rPr>
        <w:t>.  O</w:t>
      </w:r>
      <w:r w:rsidR="00F4370F">
        <w:rPr>
          <w:bCs w:val="0"/>
          <w:lang w:val="en-CA"/>
        </w:rPr>
        <w:t>f these</w:t>
      </w:r>
      <w:r w:rsidR="007D67E3">
        <w:rPr>
          <w:bCs w:val="0"/>
          <w:lang w:val="en-CA"/>
        </w:rPr>
        <w:t>,</w:t>
      </w:r>
      <w:r w:rsidR="00F4370F">
        <w:rPr>
          <w:bCs w:val="0"/>
          <w:lang w:val="en-CA"/>
        </w:rPr>
        <w:t xml:space="preserve"> 1</w:t>
      </w:r>
      <w:r w:rsidR="00330C22">
        <w:rPr>
          <w:bCs w:val="0"/>
          <w:lang w:val="en-CA"/>
        </w:rPr>
        <w:t>23</w:t>
      </w:r>
      <w:r w:rsidR="00F4370F">
        <w:rPr>
          <w:bCs w:val="0"/>
          <w:lang w:val="en-CA"/>
        </w:rPr>
        <w:t>/146 (8</w:t>
      </w:r>
      <w:r w:rsidR="00330C22">
        <w:rPr>
          <w:bCs w:val="0"/>
          <w:lang w:val="en-CA"/>
        </w:rPr>
        <w:t>4.2</w:t>
      </w:r>
      <w:r w:rsidR="00F4370F">
        <w:rPr>
          <w:bCs w:val="0"/>
          <w:lang w:val="en-CA"/>
        </w:rPr>
        <w:t>%) were negative for any RPP target.  The remainder 2</w:t>
      </w:r>
      <w:r w:rsidR="00330C22">
        <w:rPr>
          <w:bCs w:val="0"/>
          <w:lang w:val="en-CA"/>
        </w:rPr>
        <w:t>3</w:t>
      </w:r>
      <w:r w:rsidR="00F4370F">
        <w:rPr>
          <w:bCs w:val="0"/>
          <w:lang w:val="en-CA"/>
        </w:rPr>
        <w:t xml:space="preserve"> samples were positive for </w:t>
      </w:r>
      <w:r w:rsidR="00330C22">
        <w:rPr>
          <w:bCs w:val="0"/>
          <w:lang w:val="en-CA"/>
        </w:rPr>
        <w:t xml:space="preserve">ERV (n=21), </w:t>
      </w:r>
      <w:r w:rsidR="00181E3E">
        <w:rPr>
          <w:bCs w:val="0"/>
          <w:lang w:val="en-CA"/>
        </w:rPr>
        <w:t xml:space="preserve">HMPV (n=1), </w:t>
      </w:r>
      <w:r w:rsidR="00330C22">
        <w:rPr>
          <w:bCs w:val="0"/>
          <w:lang w:val="en-CA"/>
        </w:rPr>
        <w:t>and PIV-4 (n=1).</w:t>
      </w:r>
      <w:r w:rsidR="00181E3E">
        <w:rPr>
          <w:bCs w:val="0"/>
          <w:lang w:val="en-CA"/>
        </w:rPr>
        <w:t xml:space="preserve">  Discordant testing results among these 23 samples, occurred for HMPV and PIV-4.</w:t>
      </w:r>
    </w:p>
    <w:p w14:paraId="6F4713F6" w14:textId="77777777" w:rsidR="00330C22" w:rsidRDefault="00330C22" w:rsidP="00F4370F">
      <w:pPr>
        <w:spacing w:line="480" w:lineRule="auto"/>
        <w:rPr>
          <w:bCs w:val="0"/>
          <w:lang w:val="en-CA"/>
        </w:rPr>
      </w:pPr>
    </w:p>
    <w:p w14:paraId="6B689FD6" w14:textId="1DF8DCF8" w:rsidR="00CB1A8F" w:rsidRDefault="00CB1A8F" w:rsidP="00F4370F">
      <w:pPr>
        <w:spacing w:line="480" w:lineRule="auto"/>
        <w:rPr>
          <w:bCs w:val="0"/>
          <w:lang w:val="en-CA"/>
        </w:rPr>
      </w:pPr>
      <w:r>
        <w:rPr>
          <w:bCs w:val="0"/>
          <w:lang w:val="en-CA"/>
        </w:rPr>
        <w:br w:type="page"/>
      </w:r>
    </w:p>
    <w:p w14:paraId="3634F163" w14:textId="5DF634F9" w:rsidR="0098223C" w:rsidRDefault="0098223C" w:rsidP="0098223C">
      <w:pPr>
        <w:pStyle w:val="NoSpacing"/>
      </w:pPr>
      <w:r>
        <w:rPr>
          <w:b/>
          <w:bCs w:val="0"/>
        </w:rPr>
        <w:lastRenderedPageBreak/>
        <w:t xml:space="preserve">Table S1.  </w:t>
      </w:r>
      <w:r>
        <w:t xml:space="preserve">Proportion of co-infections based on patient </w:t>
      </w:r>
      <w:r w:rsidR="007D6704">
        <w:t>setting</w:t>
      </w:r>
      <w:r>
        <w:t>.</w:t>
      </w:r>
    </w:p>
    <w:tbl>
      <w:tblPr>
        <w:tblStyle w:val="TableGrid"/>
        <w:tblW w:w="0" w:type="auto"/>
        <w:tblLook w:val="04A0" w:firstRow="1" w:lastRow="0" w:firstColumn="1" w:lastColumn="0" w:noHBand="0" w:noVBand="1"/>
      </w:tblPr>
      <w:tblGrid>
        <w:gridCol w:w="2254"/>
        <w:gridCol w:w="2254"/>
        <w:gridCol w:w="2254"/>
        <w:gridCol w:w="2254"/>
      </w:tblGrid>
      <w:tr w:rsidR="0098223C" w14:paraId="50C4D0A4" w14:textId="77777777" w:rsidTr="00757B0E">
        <w:tc>
          <w:tcPr>
            <w:tcW w:w="2254" w:type="dxa"/>
          </w:tcPr>
          <w:p w14:paraId="281D3982" w14:textId="2F0DB6C2" w:rsidR="0098223C" w:rsidRDefault="0098223C" w:rsidP="00757B0E">
            <w:pPr>
              <w:pStyle w:val="NoSpacing"/>
              <w:jc w:val="center"/>
            </w:pPr>
            <w:r>
              <w:t>Patient</w:t>
            </w:r>
            <w:r w:rsidR="007D6704">
              <w:t xml:space="preserve"> setting</w:t>
            </w:r>
          </w:p>
        </w:tc>
        <w:tc>
          <w:tcPr>
            <w:tcW w:w="2254" w:type="dxa"/>
          </w:tcPr>
          <w:p w14:paraId="04340234" w14:textId="77777777" w:rsidR="0098223C" w:rsidRDefault="0098223C" w:rsidP="00757B0E">
            <w:pPr>
              <w:pStyle w:val="NoSpacing"/>
              <w:jc w:val="center"/>
            </w:pPr>
            <w:r>
              <w:t>Total samples of this patient type tested for SARS-CoV-2 and RPP</w:t>
            </w:r>
          </w:p>
        </w:tc>
        <w:tc>
          <w:tcPr>
            <w:tcW w:w="2254" w:type="dxa"/>
          </w:tcPr>
          <w:p w14:paraId="5A452D6D" w14:textId="77777777" w:rsidR="0098223C" w:rsidRDefault="0098223C" w:rsidP="00757B0E">
            <w:pPr>
              <w:pStyle w:val="NoSpacing"/>
              <w:jc w:val="center"/>
            </w:pPr>
            <w:r>
              <w:t>Number of specimens found to have a co-infection</w:t>
            </w:r>
          </w:p>
        </w:tc>
        <w:tc>
          <w:tcPr>
            <w:tcW w:w="2254" w:type="dxa"/>
          </w:tcPr>
          <w:p w14:paraId="2AEC92B4" w14:textId="77777777" w:rsidR="0098223C" w:rsidRPr="00155BFA" w:rsidRDefault="0098223C" w:rsidP="00757B0E">
            <w:pPr>
              <w:pStyle w:val="NoSpacing"/>
              <w:jc w:val="center"/>
            </w:pPr>
            <w:r>
              <w:t>Proportion of patients with co-infections (%)</w:t>
            </w:r>
            <w:r>
              <w:rPr>
                <w:vertAlign w:val="superscript"/>
              </w:rPr>
              <w:t>a</w:t>
            </w:r>
          </w:p>
        </w:tc>
      </w:tr>
      <w:tr w:rsidR="0098223C" w14:paraId="0C123059" w14:textId="77777777" w:rsidTr="00757B0E">
        <w:tc>
          <w:tcPr>
            <w:tcW w:w="2254" w:type="dxa"/>
          </w:tcPr>
          <w:p w14:paraId="298507D5" w14:textId="77777777" w:rsidR="0098223C" w:rsidRDefault="0098223C" w:rsidP="00757B0E">
            <w:pPr>
              <w:pStyle w:val="NoSpacing"/>
              <w:jc w:val="center"/>
            </w:pPr>
            <w:r>
              <w:t>Community</w:t>
            </w:r>
          </w:p>
        </w:tc>
        <w:tc>
          <w:tcPr>
            <w:tcW w:w="2254" w:type="dxa"/>
          </w:tcPr>
          <w:p w14:paraId="6F8A5190" w14:textId="77777777" w:rsidR="0098223C" w:rsidRDefault="0098223C" w:rsidP="00757B0E">
            <w:pPr>
              <w:pStyle w:val="NoSpacing"/>
              <w:jc w:val="center"/>
            </w:pPr>
            <w:r>
              <w:t>2431</w:t>
            </w:r>
          </w:p>
        </w:tc>
        <w:tc>
          <w:tcPr>
            <w:tcW w:w="2254" w:type="dxa"/>
          </w:tcPr>
          <w:p w14:paraId="286803B1" w14:textId="77777777" w:rsidR="0098223C" w:rsidRDefault="0098223C" w:rsidP="00757B0E">
            <w:pPr>
              <w:pStyle w:val="NoSpacing"/>
              <w:jc w:val="center"/>
            </w:pPr>
            <w:r>
              <w:t>55</w:t>
            </w:r>
          </w:p>
        </w:tc>
        <w:tc>
          <w:tcPr>
            <w:tcW w:w="2254" w:type="dxa"/>
          </w:tcPr>
          <w:p w14:paraId="396252E0" w14:textId="77777777" w:rsidR="0098223C" w:rsidRDefault="0098223C" w:rsidP="00757B0E">
            <w:pPr>
              <w:pStyle w:val="NoSpacing"/>
              <w:jc w:val="center"/>
            </w:pPr>
            <w:r>
              <w:t>2.3</w:t>
            </w:r>
          </w:p>
        </w:tc>
      </w:tr>
      <w:tr w:rsidR="0098223C" w14:paraId="29B6A001" w14:textId="77777777" w:rsidTr="00757B0E">
        <w:tc>
          <w:tcPr>
            <w:tcW w:w="2254" w:type="dxa"/>
          </w:tcPr>
          <w:p w14:paraId="30D5790F" w14:textId="77777777" w:rsidR="0098223C" w:rsidRDefault="0098223C" w:rsidP="00757B0E">
            <w:pPr>
              <w:pStyle w:val="NoSpacing"/>
              <w:jc w:val="center"/>
            </w:pPr>
            <w:r>
              <w:t>Emergency Room</w:t>
            </w:r>
          </w:p>
        </w:tc>
        <w:tc>
          <w:tcPr>
            <w:tcW w:w="2254" w:type="dxa"/>
          </w:tcPr>
          <w:p w14:paraId="08920D2B" w14:textId="77777777" w:rsidR="0098223C" w:rsidRDefault="0098223C" w:rsidP="00757B0E">
            <w:pPr>
              <w:pStyle w:val="NoSpacing"/>
              <w:jc w:val="center"/>
            </w:pPr>
            <w:r>
              <w:t>1197</w:t>
            </w:r>
          </w:p>
        </w:tc>
        <w:tc>
          <w:tcPr>
            <w:tcW w:w="2254" w:type="dxa"/>
          </w:tcPr>
          <w:p w14:paraId="660FE07E" w14:textId="77777777" w:rsidR="0098223C" w:rsidRDefault="0098223C" w:rsidP="00757B0E">
            <w:pPr>
              <w:pStyle w:val="NoSpacing"/>
              <w:jc w:val="center"/>
            </w:pPr>
            <w:r>
              <w:t>40</w:t>
            </w:r>
          </w:p>
        </w:tc>
        <w:tc>
          <w:tcPr>
            <w:tcW w:w="2254" w:type="dxa"/>
          </w:tcPr>
          <w:p w14:paraId="0A24329E" w14:textId="77777777" w:rsidR="0098223C" w:rsidRDefault="0098223C" w:rsidP="00757B0E">
            <w:pPr>
              <w:pStyle w:val="NoSpacing"/>
              <w:jc w:val="center"/>
            </w:pPr>
            <w:r>
              <w:t>3.3</w:t>
            </w:r>
          </w:p>
        </w:tc>
      </w:tr>
      <w:tr w:rsidR="0098223C" w14:paraId="0E3CBA00" w14:textId="77777777" w:rsidTr="00757B0E">
        <w:tc>
          <w:tcPr>
            <w:tcW w:w="2254" w:type="dxa"/>
          </w:tcPr>
          <w:p w14:paraId="5E252093" w14:textId="77777777" w:rsidR="0098223C" w:rsidRDefault="0098223C" w:rsidP="00757B0E">
            <w:pPr>
              <w:pStyle w:val="NoSpacing"/>
              <w:jc w:val="center"/>
            </w:pPr>
            <w:r>
              <w:t>Inpatient (non-ICU)</w:t>
            </w:r>
          </w:p>
        </w:tc>
        <w:tc>
          <w:tcPr>
            <w:tcW w:w="2254" w:type="dxa"/>
          </w:tcPr>
          <w:p w14:paraId="515F9BEA" w14:textId="77777777" w:rsidR="0098223C" w:rsidRDefault="0098223C" w:rsidP="00757B0E">
            <w:pPr>
              <w:pStyle w:val="NoSpacing"/>
              <w:jc w:val="center"/>
            </w:pPr>
            <w:r>
              <w:t>875</w:t>
            </w:r>
          </w:p>
        </w:tc>
        <w:tc>
          <w:tcPr>
            <w:tcW w:w="2254" w:type="dxa"/>
          </w:tcPr>
          <w:p w14:paraId="5BED4B27" w14:textId="77777777" w:rsidR="0098223C" w:rsidRDefault="0098223C" w:rsidP="00757B0E">
            <w:pPr>
              <w:pStyle w:val="NoSpacing"/>
              <w:jc w:val="center"/>
            </w:pPr>
            <w:r>
              <w:t>30</w:t>
            </w:r>
          </w:p>
        </w:tc>
        <w:tc>
          <w:tcPr>
            <w:tcW w:w="2254" w:type="dxa"/>
          </w:tcPr>
          <w:p w14:paraId="39690DA1" w14:textId="77777777" w:rsidR="0098223C" w:rsidRDefault="0098223C" w:rsidP="00757B0E">
            <w:pPr>
              <w:pStyle w:val="NoSpacing"/>
              <w:jc w:val="center"/>
            </w:pPr>
            <w:r>
              <w:t>3.4</w:t>
            </w:r>
          </w:p>
        </w:tc>
      </w:tr>
      <w:tr w:rsidR="0098223C" w14:paraId="01E4EC73" w14:textId="77777777" w:rsidTr="00757B0E">
        <w:tc>
          <w:tcPr>
            <w:tcW w:w="2254" w:type="dxa"/>
          </w:tcPr>
          <w:p w14:paraId="4AB843AD" w14:textId="77777777" w:rsidR="0098223C" w:rsidRDefault="0098223C" w:rsidP="00757B0E">
            <w:pPr>
              <w:pStyle w:val="NoSpacing"/>
              <w:jc w:val="center"/>
            </w:pPr>
            <w:r>
              <w:t>ICU</w:t>
            </w:r>
          </w:p>
        </w:tc>
        <w:tc>
          <w:tcPr>
            <w:tcW w:w="2254" w:type="dxa"/>
          </w:tcPr>
          <w:p w14:paraId="1A092E19" w14:textId="77777777" w:rsidR="0098223C" w:rsidRDefault="0098223C" w:rsidP="00757B0E">
            <w:pPr>
              <w:pStyle w:val="NoSpacing"/>
              <w:jc w:val="center"/>
            </w:pPr>
            <w:r>
              <w:t>155</w:t>
            </w:r>
          </w:p>
        </w:tc>
        <w:tc>
          <w:tcPr>
            <w:tcW w:w="2254" w:type="dxa"/>
          </w:tcPr>
          <w:p w14:paraId="6D3A3E49" w14:textId="77777777" w:rsidR="0098223C" w:rsidRDefault="0098223C" w:rsidP="00757B0E">
            <w:pPr>
              <w:pStyle w:val="NoSpacing"/>
              <w:jc w:val="center"/>
            </w:pPr>
            <w:r>
              <w:t>7</w:t>
            </w:r>
          </w:p>
        </w:tc>
        <w:tc>
          <w:tcPr>
            <w:tcW w:w="2254" w:type="dxa"/>
          </w:tcPr>
          <w:p w14:paraId="6E74621D" w14:textId="77777777" w:rsidR="0098223C" w:rsidRDefault="0098223C" w:rsidP="00757B0E">
            <w:pPr>
              <w:pStyle w:val="NoSpacing"/>
              <w:jc w:val="center"/>
            </w:pPr>
            <w:r>
              <w:t>4.5</w:t>
            </w:r>
          </w:p>
        </w:tc>
      </w:tr>
      <w:tr w:rsidR="0098223C" w14:paraId="3D8D59A4" w14:textId="77777777" w:rsidTr="00757B0E">
        <w:tc>
          <w:tcPr>
            <w:tcW w:w="2254" w:type="dxa"/>
          </w:tcPr>
          <w:p w14:paraId="464F9945" w14:textId="77777777" w:rsidR="0098223C" w:rsidRDefault="0098223C" w:rsidP="00757B0E">
            <w:pPr>
              <w:pStyle w:val="NoSpacing"/>
              <w:jc w:val="center"/>
            </w:pPr>
            <w:r>
              <w:t>Nursing Home</w:t>
            </w:r>
          </w:p>
        </w:tc>
        <w:tc>
          <w:tcPr>
            <w:tcW w:w="2254" w:type="dxa"/>
          </w:tcPr>
          <w:p w14:paraId="76B7CD53" w14:textId="77777777" w:rsidR="0098223C" w:rsidRDefault="0098223C" w:rsidP="00757B0E">
            <w:pPr>
              <w:pStyle w:val="NoSpacing"/>
              <w:jc w:val="center"/>
            </w:pPr>
            <w:r>
              <w:t>100</w:t>
            </w:r>
          </w:p>
        </w:tc>
        <w:tc>
          <w:tcPr>
            <w:tcW w:w="2254" w:type="dxa"/>
          </w:tcPr>
          <w:p w14:paraId="044CD128" w14:textId="77777777" w:rsidR="0098223C" w:rsidRDefault="0098223C" w:rsidP="00757B0E">
            <w:pPr>
              <w:pStyle w:val="NoSpacing"/>
              <w:jc w:val="center"/>
            </w:pPr>
            <w:r>
              <w:t>2</w:t>
            </w:r>
          </w:p>
        </w:tc>
        <w:tc>
          <w:tcPr>
            <w:tcW w:w="2254" w:type="dxa"/>
          </w:tcPr>
          <w:p w14:paraId="1200A381" w14:textId="77777777" w:rsidR="0098223C" w:rsidRDefault="0098223C" w:rsidP="00757B0E">
            <w:pPr>
              <w:pStyle w:val="NoSpacing"/>
              <w:jc w:val="center"/>
            </w:pPr>
            <w:r>
              <w:t>1.3</w:t>
            </w:r>
          </w:p>
        </w:tc>
      </w:tr>
    </w:tbl>
    <w:p w14:paraId="72B4B0E2" w14:textId="77777777" w:rsidR="0098223C" w:rsidRPr="005D6B98" w:rsidRDefault="0098223C" w:rsidP="0098223C">
      <w:pPr>
        <w:pStyle w:val="NoSpacing"/>
      </w:pPr>
      <w:r>
        <w:t>Abbreviations: ICU – intensive care unit; RPP – respiratory pathogen panel</w:t>
      </w:r>
    </w:p>
    <w:p w14:paraId="18F2B2CF" w14:textId="77777777" w:rsidR="0098223C" w:rsidRPr="00155BFA" w:rsidRDefault="0098223C" w:rsidP="0098223C">
      <w:pPr>
        <w:pStyle w:val="NoSpacing"/>
        <w:spacing w:line="480" w:lineRule="auto"/>
        <w:rPr>
          <w:i/>
          <w:iCs/>
          <w:lang w:val="en-CA"/>
        </w:rPr>
      </w:pPr>
      <w:proofErr w:type="spellStart"/>
      <w:r w:rsidRPr="00155BFA">
        <w:rPr>
          <w:vertAlign w:val="superscript"/>
        </w:rPr>
        <w:t>a</w:t>
      </w:r>
      <w:r>
        <w:t>Comparison</w:t>
      </w:r>
      <w:proofErr w:type="spellEnd"/>
      <w:r>
        <w:t xml:space="preserve"> of all groups (</w:t>
      </w:r>
      <w:r w:rsidRPr="00155BFA">
        <w:t>Pearson’s</w:t>
      </w:r>
      <w:r>
        <w:t xml:space="preserve"> chi-square; p=0.08).</w:t>
      </w:r>
    </w:p>
    <w:p w14:paraId="0E0F7EE4" w14:textId="77777777" w:rsidR="00681C9C" w:rsidRDefault="00681C9C">
      <w:pPr>
        <w:rPr>
          <w:b/>
          <w:lang w:val="en-CA"/>
        </w:rPr>
      </w:pPr>
    </w:p>
    <w:p w14:paraId="5B23F7F1" w14:textId="77777777" w:rsidR="0098223C" w:rsidRDefault="0098223C">
      <w:pPr>
        <w:rPr>
          <w:b/>
          <w:lang w:val="en-CA"/>
        </w:rPr>
      </w:pPr>
      <w:r>
        <w:rPr>
          <w:b/>
          <w:lang w:val="en-CA"/>
        </w:rPr>
        <w:br w:type="page"/>
      </w:r>
    </w:p>
    <w:p w14:paraId="4544DB89" w14:textId="6FBB5DF4" w:rsidR="00A732D8" w:rsidRPr="00D75AA5" w:rsidRDefault="00A732D8" w:rsidP="00A732D8">
      <w:pPr>
        <w:pStyle w:val="NoSpacing"/>
        <w:rPr>
          <w:vertAlign w:val="superscript"/>
          <w:lang w:val="en-CA"/>
        </w:rPr>
      </w:pPr>
      <w:r w:rsidRPr="00D75AA5">
        <w:rPr>
          <w:b/>
          <w:lang w:val="en-CA"/>
        </w:rPr>
        <w:lastRenderedPageBreak/>
        <w:t>Table S</w:t>
      </w:r>
      <w:r w:rsidR="0098223C">
        <w:rPr>
          <w:b/>
          <w:lang w:val="en-CA"/>
        </w:rPr>
        <w:t>2</w:t>
      </w:r>
      <w:r w:rsidRPr="00D75AA5">
        <w:rPr>
          <w:b/>
          <w:lang w:val="en-CA"/>
        </w:rPr>
        <w:t>.</w:t>
      </w:r>
      <w:r w:rsidRPr="00D75AA5">
        <w:rPr>
          <w:lang w:val="en-CA"/>
        </w:rPr>
        <w:t xml:space="preserve">  Historical proportion of respiratory viral panel testing results (2016-2019) in the entire province of Alberta with enterovirus/rhinovirus co-</w:t>
      </w:r>
      <w:proofErr w:type="spellStart"/>
      <w:proofErr w:type="gramStart"/>
      <w:r w:rsidRPr="00D75AA5">
        <w:rPr>
          <w:lang w:val="en-CA"/>
        </w:rPr>
        <w:t>infection.</w:t>
      </w:r>
      <w:r w:rsidRPr="00D75AA5">
        <w:rPr>
          <w:vertAlign w:val="superscript"/>
          <w:lang w:val="en-CA"/>
        </w:rPr>
        <w:t>a</w:t>
      </w:r>
      <w:proofErr w:type="spellEnd"/>
      <w:proofErr w:type="gramEnd"/>
    </w:p>
    <w:p w14:paraId="7DA702BD" w14:textId="77777777" w:rsidR="00A732D8" w:rsidRPr="00D75AA5" w:rsidRDefault="00A732D8" w:rsidP="00A732D8">
      <w:pPr>
        <w:pStyle w:val="NoSpacing"/>
        <w:rPr>
          <w:lang w:val="en-CA"/>
        </w:rPr>
      </w:pP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95"/>
        <w:gridCol w:w="1795"/>
        <w:gridCol w:w="1795"/>
        <w:gridCol w:w="1579"/>
      </w:tblGrid>
      <w:tr w:rsidR="00A732D8" w:rsidRPr="00D75AA5" w14:paraId="59F9EF7C" w14:textId="77777777" w:rsidTr="00A732D8">
        <w:trPr>
          <w:trHeight w:val="312"/>
        </w:trPr>
        <w:tc>
          <w:tcPr>
            <w:tcW w:w="1336" w:type="dxa"/>
            <w:shd w:val="clear" w:color="auto" w:fill="auto"/>
            <w:noWrap/>
            <w:vAlign w:val="bottom"/>
            <w:hideMark/>
          </w:tcPr>
          <w:p w14:paraId="0B21030D" w14:textId="77777777" w:rsidR="00A732D8" w:rsidRPr="00D75AA5" w:rsidRDefault="00A732D8" w:rsidP="00A732D8">
            <w:pPr>
              <w:pStyle w:val="NoSpacing"/>
              <w:jc w:val="center"/>
              <w:rPr>
                <w:bCs w:val="0"/>
                <w:lang w:eastAsia="en-GB"/>
              </w:rPr>
            </w:pPr>
            <w:r w:rsidRPr="00D75AA5">
              <w:rPr>
                <w:lang w:eastAsia="en-GB"/>
              </w:rPr>
              <w:t>Respiratory Viral Target</w:t>
            </w:r>
          </w:p>
        </w:tc>
        <w:tc>
          <w:tcPr>
            <w:tcW w:w="1795" w:type="dxa"/>
            <w:shd w:val="clear" w:color="auto" w:fill="auto"/>
            <w:noWrap/>
            <w:vAlign w:val="bottom"/>
            <w:hideMark/>
          </w:tcPr>
          <w:p w14:paraId="0C7EBCE7" w14:textId="77777777" w:rsidR="00A732D8" w:rsidRPr="00D75AA5" w:rsidRDefault="00A732D8" w:rsidP="00A732D8">
            <w:pPr>
              <w:pStyle w:val="NoSpacing"/>
              <w:jc w:val="center"/>
              <w:rPr>
                <w:bCs w:val="0"/>
                <w:lang w:eastAsia="en-GB"/>
              </w:rPr>
            </w:pPr>
            <w:r w:rsidRPr="00D75AA5">
              <w:rPr>
                <w:lang w:eastAsia="en-GB"/>
              </w:rPr>
              <w:t>2016</w:t>
            </w:r>
          </w:p>
        </w:tc>
        <w:tc>
          <w:tcPr>
            <w:tcW w:w="1795" w:type="dxa"/>
            <w:shd w:val="clear" w:color="auto" w:fill="auto"/>
            <w:noWrap/>
            <w:vAlign w:val="bottom"/>
            <w:hideMark/>
          </w:tcPr>
          <w:p w14:paraId="75219FB7" w14:textId="77777777" w:rsidR="00A732D8" w:rsidRPr="00D75AA5" w:rsidRDefault="00A732D8" w:rsidP="00A732D8">
            <w:pPr>
              <w:pStyle w:val="NoSpacing"/>
              <w:jc w:val="center"/>
              <w:rPr>
                <w:bCs w:val="0"/>
                <w:vertAlign w:val="superscript"/>
                <w:lang w:eastAsia="en-GB"/>
              </w:rPr>
            </w:pPr>
            <w:r w:rsidRPr="00D75AA5">
              <w:rPr>
                <w:lang w:eastAsia="en-GB"/>
              </w:rPr>
              <w:t>2017</w:t>
            </w:r>
            <w:r w:rsidRPr="00D75AA5">
              <w:rPr>
                <w:vertAlign w:val="superscript"/>
                <w:lang w:eastAsia="en-GB"/>
              </w:rPr>
              <w:t>b</w:t>
            </w:r>
          </w:p>
        </w:tc>
        <w:tc>
          <w:tcPr>
            <w:tcW w:w="1795" w:type="dxa"/>
            <w:shd w:val="clear" w:color="auto" w:fill="auto"/>
            <w:noWrap/>
            <w:vAlign w:val="bottom"/>
            <w:hideMark/>
          </w:tcPr>
          <w:p w14:paraId="25F9195B" w14:textId="77777777" w:rsidR="00A732D8" w:rsidRPr="00D75AA5" w:rsidRDefault="00A732D8" w:rsidP="00A732D8">
            <w:pPr>
              <w:pStyle w:val="NoSpacing"/>
              <w:jc w:val="center"/>
              <w:rPr>
                <w:bCs w:val="0"/>
                <w:lang w:eastAsia="en-GB"/>
              </w:rPr>
            </w:pPr>
            <w:r w:rsidRPr="00D75AA5">
              <w:rPr>
                <w:lang w:eastAsia="en-GB"/>
              </w:rPr>
              <w:t>2018</w:t>
            </w:r>
          </w:p>
        </w:tc>
        <w:tc>
          <w:tcPr>
            <w:tcW w:w="1579" w:type="dxa"/>
            <w:shd w:val="clear" w:color="auto" w:fill="auto"/>
            <w:noWrap/>
            <w:vAlign w:val="bottom"/>
            <w:hideMark/>
          </w:tcPr>
          <w:p w14:paraId="604E84DC" w14:textId="77777777" w:rsidR="00A732D8" w:rsidRPr="00D75AA5" w:rsidRDefault="00A732D8" w:rsidP="00A732D8">
            <w:pPr>
              <w:pStyle w:val="NoSpacing"/>
              <w:jc w:val="center"/>
              <w:rPr>
                <w:bCs w:val="0"/>
                <w:lang w:eastAsia="en-GB"/>
              </w:rPr>
            </w:pPr>
            <w:r w:rsidRPr="00D75AA5">
              <w:rPr>
                <w:lang w:eastAsia="en-GB"/>
              </w:rPr>
              <w:t>2019</w:t>
            </w:r>
          </w:p>
        </w:tc>
      </w:tr>
      <w:tr w:rsidR="00A732D8" w:rsidRPr="00D75AA5" w14:paraId="63192742" w14:textId="77777777" w:rsidTr="00A732D8">
        <w:trPr>
          <w:trHeight w:val="312"/>
        </w:trPr>
        <w:tc>
          <w:tcPr>
            <w:tcW w:w="1336" w:type="dxa"/>
            <w:shd w:val="clear" w:color="auto" w:fill="auto"/>
            <w:noWrap/>
            <w:vAlign w:val="bottom"/>
            <w:hideMark/>
          </w:tcPr>
          <w:p w14:paraId="646541CF" w14:textId="77777777" w:rsidR="00A732D8" w:rsidRPr="00D75AA5" w:rsidRDefault="00A732D8" w:rsidP="00A732D8">
            <w:pPr>
              <w:pStyle w:val="NoSpacing"/>
              <w:jc w:val="center"/>
              <w:rPr>
                <w:bCs w:val="0"/>
                <w:lang w:eastAsia="en-GB"/>
              </w:rPr>
            </w:pPr>
          </w:p>
        </w:tc>
        <w:tc>
          <w:tcPr>
            <w:tcW w:w="1795" w:type="dxa"/>
            <w:shd w:val="clear" w:color="auto" w:fill="auto"/>
            <w:noWrap/>
            <w:vAlign w:val="bottom"/>
            <w:hideMark/>
          </w:tcPr>
          <w:p w14:paraId="1B9A9345" w14:textId="77777777" w:rsidR="00A732D8" w:rsidRPr="00D75AA5" w:rsidRDefault="00A732D8" w:rsidP="00A732D8">
            <w:pPr>
              <w:pStyle w:val="NoSpacing"/>
              <w:jc w:val="center"/>
              <w:rPr>
                <w:bCs w:val="0"/>
                <w:lang w:eastAsia="en-GB"/>
              </w:rPr>
            </w:pPr>
            <w:r w:rsidRPr="00D75AA5">
              <w:rPr>
                <w:lang w:eastAsia="en-GB"/>
              </w:rPr>
              <w:t>N (%)</w:t>
            </w:r>
          </w:p>
        </w:tc>
        <w:tc>
          <w:tcPr>
            <w:tcW w:w="1795" w:type="dxa"/>
            <w:shd w:val="clear" w:color="auto" w:fill="auto"/>
            <w:noWrap/>
            <w:vAlign w:val="bottom"/>
            <w:hideMark/>
          </w:tcPr>
          <w:p w14:paraId="14107537" w14:textId="77777777" w:rsidR="00A732D8" w:rsidRPr="00D75AA5" w:rsidRDefault="00A732D8" w:rsidP="00A732D8">
            <w:pPr>
              <w:pStyle w:val="NoSpacing"/>
              <w:jc w:val="center"/>
              <w:rPr>
                <w:bCs w:val="0"/>
                <w:lang w:eastAsia="en-GB"/>
              </w:rPr>
            </w:pPr>
            <w:r w:rsidRPr="00D75AA5">
              <w:rPr>
                <w:lang w:eastAsia="en-GB"/>
              </w:rPr>
              <w:t>N (%)</w:t>
            </w:r>
          </w:p>
        </w:tc>
        <w:tc>
          <w:tcPr>
            <w:tcW w:w="1795" w:type="dxa"/>
            <w:shd w:val="clear" w:color="auto" w:fill="auto"/>
            <w:noWrap/>
            <w:vAlign w:val="bottom"/>
            <w:hideMark/>
          </w:tcPr>
          <w:p w14:paraId="566D8CD4" w14:textId="77777777" w:rsidR="00A732D8" w:rsidRPr="00D75AA5" w:rsidRDefault="00A732D8" w:rsidP="00A732D8">
            <w:pPr>
              <w:pStyle w:val="NoSpacing"/>
              <w:jc w:val="center"/>
              <w:rPr>
                <w:bCs w:val="0"/>
                <w:lang w:eastAsia="en-GB"/>
              </w:rPr>
            </w:pPr>
            <w:r w:rsidRPr="00D75AA5">
              <w:rPr>
                <w:lang w:eastAsia="en-GB"/>
              </w:rPr>
              <w:t>N (%)</w:t>
            </w:r>
          </w:p>
        </w:tc>
        <w:tc>
          <w:tcPr>
            <w:tcW w:w="1579" w:type="dxa"/>
            <w:shd w:val="clear" w:color="auto" w:fill="auto"/>
            <w:noWrap/>
            <w:vAlign w:val="bottom"/>
            <w:hideMark/>
          </w:tcPr>
          <w:p w14:paraId="43C096A7" w14:textId="77777777" w:rsidR="00A732D8" w:rsidRPr="00D75AA5" w:rsidRDefault="00A732D8" w:rsidP="00A732D8">
            <w:pPr>
              <w:pStyle w:val="NoSpacing"/>
              <w:jc w:val="center"/>
              <w:rPr>
                <w:bCs w:val="0"/>
                <w:lang w:eastAsia="en-GB"/>
              </w:rPr>
            </w:pPr>
            <w:r w:rsidRPr="00D75AA5">
              <w:rPr>
                <w:lang w:eastAsia="en-GB"/>
              </w:rPr>
              <w:t>N (%)</w:t>
            </w:r>
          </w:p>
        </w:tc>
      </w:tr>
      <w:tr w:rsidR="00A732D8" w:rsidRPr="00D75AA5" w14:paraId="068580C6" w14:textId="77777777" w:rsidTr="00A732D8">
        <w:trPr>
          <w:trHeight w:val="312"/>
        </w:trPr>
        <w:tc>
          <w:tcPr>
            <w:tcW w:w="1336" w:type="dxa"/>
            <w:shd w:val="clear" w:color="auto" w:fill="auto"/>
            <w:noWrap/>
            <w:vAlign w:val="bottom"/>
            <w:hideMark/>
          </w:tcPr>
          <w:p w14:paraId="5703F51A" w14:textId="77777777" w:rsidR="00A732D8" w:rsidRPr="00D75AA5" w:rsidRDefault="00A732D8" w:rsidP="00A732D8">
            <w:pPr>
              <w:pStyle w:val="NoSpacing"/>
              <w:jc w:val="center"/>
              <w:rPr>
                <w:bCs w:val="0"/>
                <w:lang w:eastAsia="en-GB"/>
              </w:rPr>
            </w:pPr>
            <w:r w:rsidRPr="00D75AA5">
              <w:rPr>
                <w:lang w:eastAsia="en-GB"/>
              </w:rPr>
              <w:t>Influenza A</w:t>
            </w:r>
          </w:p>
        </w:tc>
        <w:tc>
          <w:tcPr>
            <w:tcW w:w="1795" w:type="dxa"/>
            <w:shd w:val="clear" w:color="auto" w:fill="auto"/>
            <w:noWrap/>
            <w:vAlign w:val="bottom"/>
            <w:hideMark/>
          </w:tcPr>
          <w:p w14:paraId="4DDED663" w14:textId="71B51FE7" w:rsidR="00A732D8" w:rsidRPr="00D75AA5" w:rsidRDefault="00A732D8" w:rsidP="00A732D8">
            <w:pPr>
              <w:pStyle w:val="NoSpacing"/>
              <w:jc w:val="center"/>
              <w:rPr>
                <w:bCs w:val="0"/>
                <w:lang w:eastAsia="en-GB"/>
              </w:rPr>
            </w:pPr>
            <w:r w:rsidRPr="00D75AA5">
              <w:rPr>
                <w:lang w:eastAsia="en-GB"/>
              </w:rPr>
              <w:t>6/5771</w:t>
            </w:r>
          </w:p>
          <w:p w14:paraId="78D37C09" w14:textId="77777777" w:rsidR="00A732D8" w:rsidRPr="00D75AA5" w:rsidRDefault="00A732D8" w:rsidP="00A732D8">
            <w:pPr>
              <w:pStyle w:val="NoSpacing"/>
              <w:jc w:val="center"/>
              <w:rPr>
                <w:bCs w:val="0"/>
                <w:lang w:eastAsia="en-GB"/>
              </w:rPr>
            </w:pPr>
            <w:r w:rsidRPr="00D75AA5">
              <w:rPr>
                <w:lang w:eastAsia="en-GB"/>
              </w:rPr>
              <w:t>(0.1)</w:t>
            </w:r>
          </w:p>
        </w:tc>
        <w:tc>
          <w:tcPr>
            <w:tcW w:w="1795" w:type="dxa"/>
            <w:shd w:val="clear" w:color="auto" w:fill="auto"/>
            <w:noWrap/>
            <w:vAlign w:val="bottom"/>
            <w:hideMark/>
          </w:tcPr>
          <w:p w14:paraId="644A70EF" w14:textId="4C95C219" w:rsidR="00A732D8" w:rsidRPr="00D75AA5" w:rsidRDefault="00A732D8" w:rsidP="00A732D8">
            <w:pPr>
              <w:pStyle w:val="NoSpacing"/>
              <w:jc w:val="center"/>
              <w:rPr>
                <w:bCs w:val="0"/>
                <w:lang w:eastAsia="en-GB"/>
              </w:rPr>
            </w:pPr>
            <w:r w:rsidRPr="00D75AA5">
              <w:rPr>
                <w:lang w:eastAsia="en-GB"/>
              </w:rPr>
              <w:t>129/5391</w:t>
            </w:r>
          </w:p>
          <w:p w14:paraId="16DB70D8" w14:textId="77777777" w:rsidR="00A732D8" w:rsidRPr="00D75AA5" w:rsidRDefault="00A732D8" w:rsidP="00A732D8">
            <w:pPr>
              <w:pStyle w:val="NoSpacing"/>
              <w:jc w:val="center"/>
              <w:rPr>
                <w:bCs w:val="0"/>
                <w:lang w:eastAsia="en-GB"/>
              </w:rPr>
            </w:pPr>
            <w:r w:rsidRPr="00D75AA5">
              <w:rPr>
                <w:lang w:eastAsia="en-GB"/>
              </w:rPr>
              <w:t>(2.4)</w:t>
            </w:r>
          </w:p>
        </w:tc>
        <w:tc>
          <w:tcPr>
            <w:tcW w:w="1795" w:type="dxa"/>
            <w:shd w:val="clear" w:color="auto" w:fill="auto"/>
            <w:noWrap/>
            <w:vAlign w:val="bottom"/>
            <w:hideMark/>
          </w:tcPr>
          <w:p w14:paraId="7B84D725" w14:textId="2844298D" w:rsidR="00A732D8" w:rsidRPr="00D75AA5" w:rsidRDefault="00A732D8" w:rsidP="00A732D8">
            <w:pPr>
              <w:pStyle w:val="NoSpacing"/>
              <w:jc w:val="center"/>
              <w:rPr>
                <w:bCs w:val="0"/>
                <w:lang w:eastAsia="en-GB"/>
              </w:rPr>
            </w:pPr>
            <w:r w:rsidRPr="00D75AA5">
              <w:rPr>
                <w:lang w:eastAsia="en-GB"/>
              </w:rPr>
              <w:t>214/4826</w:t>
            </w:r>
          </w:p>
          <w:p w14:paraId="323EADFD" w14:textId="77777777" w:rsidR="00A732D8" w:rsidRPr="00D75AA5" w:rsidRDefault="00A732D8" w:rsidP="00A732D8">
            <w:pPr>
              <w:pStyle w:val="NoSpacing"/>
              <w:jc w:val="center"/>
              <w:rPr>
                <w:bCs w:val="0"/>
                <w:lang w:eastAsia="en-GB"/>
              </w:rPr>
            </w:pPr>
            <w:r w:rsidRPr="00D75AA5">
              <w:rPr>
                <w:lang w:eastAsia="en-GB"/>
              </w:rPr>
              <w:t>(4.4)</w:t>
            </w:r>
          </w:p>
        </w:tc>
        <w:tc>
          <w:tcPr>
            <w:tcW w:w="1579" w:type="dxa"/>
            <w:shd w:val="clear" w:color="auto" w:fill="auto"/>
            <w:noWrap/>
            <w:vAlign w:val="bottom"/>
            <w:hideMark/>
          </w:tcPr>
          <w:p w14:paraId="29A58D04" w14:textId="59FAD259" w:rsidR="00A732D8" w:rsidRPr="00D75AA5" w:rsidRDefault="00A732D8" w:rsidP="00A732D8">
            <w:pPr>
              <w:pStyle w:val="NoSpacing"/>
              <w:jc w:val="center"/>
              <w:rPr>
                <w:bCs w:val="0"/>
                <w:lang w:eastAsia="en-GB"/>
              </w:rPr>
            </w:pPr>
            <w:r w:rsidRPr="00D75AA5">
              <w:rPr>
                <w:lang w:eastAsia="en-GB"/>
              </w:rPr>
              <w:t>107/3084</w:t>
            </w:r>
          </w:p>
          <w:p w14:paraId="4F1F9E94" w14:textId="77777777" w:rsidR="00A732D8" w:rsidRPr="00D75AA5" w:rsidRDefault="00A732D8" w:rsidP="00A732D8">
            <w:pPr>
              <w:pStyle w:val="NoSpacing"/>
              <w:jc w:val="center"/>
              <w:rPr>
                <w:bCs w:val="0"/>
                <w:lang w:eastAsia="en-GB"/>
              </w:rPr>
            </w:pPr>
            <w:r w:rsidRPr="00D75AA5">
              <w:rPr>
                <w:lang w:eastAsia="en-GB"/>
              </w:rPr>
              <w:t>(3.5)</w:t>
            </w:r>
          </w:p>
        </w:tc>
      </w:tr>
      <w:tr w:rsidR="00A732D8" w:rsidRPr="00D75AA5" w14:paraId="09C1D8F3" w14:textId="77777777" w:rsidTr="00A732D8">
        <w:trPr>
          <w:trHeight w:val="312"/>
        </w:trPr>
        <w:tc>
          <w:tcPr>
            <w:tcW w:w="1336" w:type="dxa"/>
            <w:shd w:val="clear" w:color="auto" w:fill="auto"/>
            <w:noWrap/>
            <w:vAlign w:val="bottom"/>
            <w:hideMark/>
          </w:tcPr>
          <w:p w14:paraId="4AA9DBF5" w14:textId="77777777" w:rsidR="00A732D8" w:rsidRPr="00D75AA5" w:rsidRDefault="00A732D8" w:rsidP="00A732D8">
            <w:pPr>
              <w:pStyle w:val="NoSpacing"/>
              <w:jc w:val="center"/>
              <w:rPr>
                <w:bCs w:val="0"/>
                <w:lang w:eastAsia="en-GB"/>
              </w:rPr>
            </w:pPr>
            <w:r w:rsidRPr="00D75AA5">
              <w:rPr>
                <w:lang w:eastAsia="en-GB"/>
              </w:rPr>
              <w:t>Influenza B</w:t>
            </w:r>
          </w:p>
        </w:tc>
        <w:tc>
          <w:tcPr>
            <w:tcW w:w="1795" w:type="dxa"/>
            <w:shd w:val="clear" w:color="auto" w:fill="auto"/>
            <w:noWrap/>
            <w:vAlign w:val="bottom"/>
            <w:hideMark/>
          </w:tcPr>
          <w:p w14:paraId="71683066" w14:textId="06648F28" w:rsidR="00A732D8" w:rsidRPr="00D75AA5" w:rsidRDefault="00A732D8" w:rsidP="00A732D8">
            <w:pPr>
              <w:pStyle w:val="NoSpacing"/>
              <w:jc w:val="center"/>
              <w:rPr>
                <w:bCs w:val="0"/>
                <w:lang w:eastAsia="en-GB"/>
              </w:rPr>
            </w:pPr>
            <w:r w:rsidRPr="00D75AA5">
              <w:rPr>
                <w:lang w:eastAsia="en-GB"/>
              </w:rPr>
              <w:t>2/1717</w:t>
            </w:r>
          </w:p>
          <w:p w14:paraId="4515B68F" w14:textId="77777777" w:rsidR="00A732D8" w:rsidRPr="00D75AA5" w:rsidRDefault="00A732D8" w:rsidP="00A732D8">
            <w:pPr>
              <w:pStyle w:val="NoSpacing"/>
              <w:jc w:val="center"/>
              <w:rPr>
                <w:bCs w:val="0"/>
                <w:lang w:eastAsia="en-GB"/>
              </w:rPr>
            </w:pPr>
            <w:r w:rsidRPr="00D75AA5">
              <w:rPr>
                <w:lang w:eastAsia="en-GB"/>
              </w:rPr>
              <w:t>(0.1)</w:t>
            </w:r>
          </w:p>
        </w:tc>
        <w:tc>
          <w:tcPr>
            <w:tcW w:w="1795" w:type="dxa"/>
            <w:shd w:val="clear" w:color="auto" w:fill="auto"/>
            <w:noWrap/>
            <w:vAlign w:val="bottom"/>
            <w:hideMark/>
          </w:tcPr>
          <w:p w14:paraId="6D096F60" w14:textId="5AD49772" w:rsidR="00A732D8" w:rsidRPr="00D75AA5" w:rsidRDefault="00A732D8" w:rsidP="00A732D8">
            <w:pPr>
              <w:pStyle w:val="NoSpacing"/>
              <w:jc w:val="center"/>
              <w:rPr>
                <w:bCs w:val="0"/>
                <w:lang w:eastAsia="en-GB"/>
              </w:rPr>
            </w:pPr>
            <w:r w:rsidRPr="00D75AA5">
              <w:rPr>
                <w:lang w:eastAsia="en-GB"/>
              </w:rPr>
              <w:t>37/1593</w:t>
            </w:r>
          </w:p>
          <w:p w14:paraId="1E02B781" w14:textId="77777777" w:rsidR="00A732D8" w:rsidRPr="00D75AA5" w:rsidRDefault="00A732D8" w:rsidP="00A732D8">
            <w:pPr>
              <w:pStyle w:val="NoSpacing"/>
              <w:jc w:val="center"/>
              <w:rPr>
                <w:bCs w:val="0"/>
                <w:lang w:eastAsia="en-GB"/>
              </w:rPr>
            </w:pPr>
            <w:r w:rsidRPr="00D75AA5">
              <w:rPr>
                <w:lang w:eastAsia="en-GB"/>
              </w:rPr>
              <w:t>(2.3)</w:t>
            </w:r>
          </w:p>
        </w:tc>
        <w:tc>
          <w:tcPr>
            <w:tcW w:w="1795" w:type="dxa"/>
            <w:shd w:val="clear" w:color="auto" w:fill="auto"/>
            <w:noWrap/>
            <w:vAlign w:val="bottom"/>
            <w:hideMark/>
          </w:tcPr>
          <w:p w14:paraId="69468CA1" w14:textId="28C2C6CF" w:rsidR="00A732D8" w:rsidRPr="00D75AA5" w:rsidRDefault="00A732D8" w:rsidP="00A732D8">
            <w:pPr>
              <w:pStyle w:val="NoSpacing"/>
              <w:jc w:val="center"/>
              <w:rPr>
                <w:bCs w:val="0"/>
                <w:lang w:eastAsia="en-GB"/>
              </w:rPr>
            </w:pPr>
            <w:r w:rsidRPr="00D75AA5">
              <w:rPr>
                <w:lang w:eastAsia="en-GB"/>
              </w:rPr>
              <w:t>43/1589</w:t>
            </w:r>
          </w:p>
          <w:p w14:paraId="528DE23D" w14:textId="77777777" w:rsidR="00A732D8" w:rsidRPr="00D75AA5" w:rsidRDefault="00A732D8" w:rsidP="00A732D8">
            <w:pPr>
              <w:pStyle w:val="NoSpacing"/>
              <w:jc w:val="center"/>
              <w:rPr>
                <w:bCs w:val="0"/>
                <w:lang w:eastAsia="en-GB"/>
              </w:rPr>
            </w:pPr>
            <w:r w:rsidRPr="00D75AA5">
              <w:rPr>
                <w:lang w:eastAsia="en-GB"/>
              </w:rPr>
              <w:t>(2.7)</w:t>
            </w:r>
          </w:p>
        </w:tc>
        <w:tc>
          <w:tcPr>
            <w:tcW w:w="1579" w:type="dxa"/>
            <w:shd w:val="clear" w:color="auto" w:fill="auto"/>
            <w:noWrap/>
            <w:vAlign w:val="bottom"/>
            <w:hideMark/>
          </w:tcPr>
          <w:p w14:paraId="282D31A0" w14:textId="5351B73C" w:rsidR="00A732D8" w:rsidRPr="00D75AA5" w:rsidRDefault="00A732D8" w:rsidP="00A732D8">
            <w:pPr>
              <w:pStyle w:val="NoSpacing"/>
              <w:jc w:val="center"/>
              <w:rPr>
                <w:bCs w:val="0"/>
                <w:lang w:eastAsia="en-GB"/>
              </w:rPr>
            </w:pPr>
            <w:r w:rsidRPr="00D75AA5">
              <w:rPr>
                <w:lang w:eastAsia="en-GB"/>
              </w:rPr>
              <w:t>35/1047</w:t>
            </w:r>
          </w:p>
          <w:p w14:paraId="68D59D71" w14:textId="77777777" w:rsidR="00A732D8" w:rsidRPr="00D75AA5" w:rsidRDefault="00A732D8" w:rsidP="00A732D8">
            <w:pPr>
              <w:pStyle w:val="NoSpacing"/>
              <w:jc w:val="center"/>
              <w:rPr>
                <w:bCs w:val="0"/>
                <w:lang w:eastAsia="en-GB"/>
              </w:rPr>
            </w:pPr>
            <w:r w:rsidRPr="00D75AA5">
              <w:rPr>
                <w:lang w:eastAsia="en-GB"/>
              </w:rPr>
              <w:t>(3.3)</w:t>
            </w:r>
          </w:p>
        </w:tc>
      </w:tr>
      <w:tr w:rsidR="00A732D8" w:rsidRPr="00D75AA5" w14:paraId="10145142" w14:textId="77777777" w:rsidTr="00A732D8">
        <w:trPr>
          <w:trHeight w:val="312"/>
        </w:trPr>
        <w:tc>
          <w:tcPr>
            <w:tcW w:w="1336" w:type="dxa"/>
            <w:shd w:val="clear" w:color="auto" w:fill="auto"/>
            <w:noWrap/>
            <w:vAlign w:val="bottom"/>
            <w:hideMark/>
          </w:tcPr>
          <w:p w14:paraId="6CAC9EE4" w14:textId="77777777" w:rsidR="00A732D8" w:rsidRPr="00D75AA5" w:rsidRDefault="00A732D8" w:rsidP="00A732D8">
            <w:pPr>
              <w:pStyle w:val="NoSpacing"/>
              <w:jc w:val="center"/>
              <w:rPr>
                <w:bCs w:val="0"/>
                <w:lang w:eastAsia="en-GB"/>
              </w:rPr>
            </w:pPr>
            <w:proofErr w:type="spellStart"/>
            <w:r w:rsidRPr="00D75AA5">
              <w:rPr>
                <w:lang w:eastAsia="en-GB"/>
              </w:rPr>
              <w:t>hCoV</w:t>
            </w:r>
            <w:proofErr w:type="spellEnd"/>
            <w:r w:rsidRPr="00D75AA5">
              <w:rPr>
                <w:lang w:eastAsia="en-GB"/>
              </w:rPr>
              <w:t xml:space="preserve"> 229E</w:t>
            </w:r>
          </w:p>
        </w:tc>
        <w:tc>
          <w:tcPr>
            <w:tcW w:w="1795" w:type="dxa"/>
            <w:shd w:val="clear" w:color="auto" w:fill="auto"/>
            <w:noWrap/>
            <w:vAlign w:val="bottom"/>
            <w:hideMark/>
          </w:tcPr>
          <w:p w14:paraId="35588F02" w14:textId="00EF4FF1" w:rsidR="00A732D8" w:rsidRPr="00D75AA5" w:rsidRDefault="00A732D8" w:rsidP="00A732D8">
            <w:pPr>
              <w:pStyle w:val="NoSpacing"/>
              <w:jc w:val="center"/>
              <w:rPr>
                <w:bCs w:val="0"/>
                <w:lang w:eastAsia="en-GB"/>
              </w:rPr>
            </w:pPr>
            <w:r w:rsidRPr="00D75AA5">
              <w:rPr>
                <w:lang w:eastAsia="en-GB"/>
              </w:rPr>
              <w:t>20/147</w:t>
            </w:r>
          </w:p>
          <w:p w14:paraId="21731512" w14:textId="77777777" w:rsidR="00A732D8" w:rsidRPr="00D75AA5" w:rsidRDefault="00A732D8" w:rsidP="00A732D8">
            <w:pPr>
              <w:pStyle w:val="NoSpacing"/>
              <w:jc w:val="center"/>
              <w:rPr>
                <w:bCs w:val="0"/>
                <w:lang w:eastAsia="en-GB"/>
              </w:rPr>
            </w:pPr>
            <w:r w:rsidRPr="00D75AA5">
              <w:rPr>
                <w:lang w:eastAsia="en-GB"/>
              </w:rPr>
              <w:t>(13.6)</w:t>
            </w:r>
          </w:p>
        </w:tc>
        <w:tc>
          <w:tcPr>
            <w:tcW w:w="1795" w:type="dxa"/>
            <w:shd w:val="clear" w:color="auto" w:fill="auto"/>
            <w:noWrap/>
            <w:vAlign w:val="bottom"/>
            <w:hideMark/>
          </w:tcPr>
          <w:p w14:paraId="56FC291B" w14:textId="77777777" w:rsidR="00A732D8" w:rsidRPr="00D75AA5" w:rsidRDefault="00A732D8" w:rsidP="00A732D8">
            <w:pPr>
              <w:pStyle w:val="NoSpacing"/>
              <w:jc w:val="center"/>
              <w:rPr>
                <w:bCs w:val="0"/>
                <w:lang w:eastAsia="en-GB"/>
              </w:rPr>
            </w:pPr>
            <w:r w:rsidRPr="00D75AA5">
              <w:rPr>
                <w:lang w:eastAsia="en-GB"/>
              </w:rPr>
              <w:t>18/257</w:t>
            </w:r>
          </w:p>
          <w:p w14:paraId="22C1DB49" w14:textId="77DA8D8A" w:rsidR="00A732D8" w:rsidRPr="00D75AA5" w:rsidRDefault="00A732D8" w:rsidP="00A732D8">
            <w:pPr>
              <w:pStyle w:val="NoSpacing"/>
              <w:jc w:val="center"/>
              <w:rPr>
                <w:bCs w:val="0"/>
                <w:lang w:eastAsia="en-GB"/>
              </w:rPr>
            </w:pPr>
            <w:r w:rsidRPr="00D75AA5">
              <w:rPr>
                <w:lang w:eastAsia="en-GB"/>
              </w:rPr>
              <w:t>(7.0)</w:t>
            </w:r>
          </w:p>
        </w:tc>
        <w:tc>
          <w:tcPr>
            <w:tcW w:w="1795" w:type="dxa"/>
            <w:shd w:val="clear" w:color="auto" w:fill="auto"/>
            <w:noWrap/>
            <w:vAlign w:val="bottom"/>
            <w:hideMark/>
          </w:tcPr>
          <w:p w14:paraId="02063745" w14:textId="1674E1CB" w:rsidR="00A732D8" w:rsidRPr="00D75AA5" w:rsidRDefault="00A732D8" w:rsidP="00A732D8">
            <w:pPr>
              <w:pStyle w:val="NoSpacing"/>
              <w:jc w:val="center"/>
              <w:rPr>
                <w:bCs w:val="0"/>
                <w:lang w:eastAsia="en-GB"/>
              </w:rPr>
            </w:pPr>
            <w:r w:rsidRPr="00D75AA5">
              <w:rPr>
                <w:lang w:eastAsia="en-GB"/>
              </w:rPr>
              <w:t>4/67</w:t>
            </w:r>
          </w:p>
          <w:p w14:paraId="43830AF0" w14:textId="77777777" w:rsidR="00A732D8" w:rsidRPr="00D75AA5" w:rsidRDefault="00A732D8" w:rsidP="00A732D8">
            <w:pPr>
              <w:pStyle w:val="NoSpacing"/>
              <w:jc w:val="center"/>
              <w:rPr>
                <w:bCs w:val="0"/>
                <w:lang w:eastAsia="en-GB"/>
              </w:rPr>
            </w:pPr>
            <w:r w:rsidRPr="00D75AA5">
              <w:rPr>
                <w:lang w:eastAsia="en-GB"/>
              </w:rPr>
              <w:t>(6.0)</w:t>
            </w:r>
          </w:p>
        </w:tc>
        <w:tc>
          <w:tcPr>
            <w:tcW w:w="1579" w:type="dxa"/>
            <w:shd w:val="clear" w:color="auto" w:fill="auto"/>
            <w:noWrap/>
            <w:vAlign w:val="bottom"/>
            <w:hideMark/>
          </w:tcPr>
          <w:p w14:paraId="15476DDD" w14:textId="1D06F51A" w:rsidR="00A732D8" w:rsidRPr="00D75AA5" w:rsidRDefault="00A732D8" w:rsidP="00A732D8">
            <w:pPr>
              <w:pStyle w:val="NoSpacing"/>
              <w:jc w:val="center"/>
              <w:rPr>
                <w:bCs w:val="0"/>
                <w:lang w:eastAsia="en-GB"/>
              </w:rPr>
            </w:pPr>
            <w:r w:rsidRPr="00D75AA5">
              <w:rPr>
                <w:lang w:eastAsia="en-GB"/>
              </w:rPr>
              <w:t>18/305</w:t>
            </w:r>
          </w:p>
          <w:p w14:paraId="704E6523" w14:textId="77777777" w:rsidR="00A732D8" w:rsidRPr="00D75AA5" w:rsidRDefault="00A732D8" w:rsidP="00A732D8">
            <w:pPr>
              <w:pStyle w:val="NoSpacing"/>
              <w:jc w:val="center"/>
              <w:rPr>
                <w:bCs w:val="0"/>
                <w:lang w:eastAsia="en-GB"/>
              </w:rPr>
            </w:pPr>
            <w:r w:rsidRPr="00D75AA5">
              <w:rPr>
                <w:lang w:eastAsia="en-GB"/>
              </w:rPr>
              <w:t>(5.9)</w:t>
            </w:r>
          </w:p>
        </w:tc>
      </w:tr>
      <w:tr w:rsidR="00A732D8" w:rsidRPr="00D75AA5" w14:paraId="39D533D3" w14:textId="77777777" w:rsidTr="00A732D8">
        <w:trPr>
          <w:trHeight w:val="312"/>
        </w:trPr>
        <w:tc>
          <w:tcPr>
            <w:tcW w:w="1336" w:type="dxa"/>
            <w:shd w:val="clear" w:color="auto" w:fill="auto"/>
            <w:noWrap/>
            <w:vAlign w:val="bottom"/>
            <w:hideMark/>
          </w:tcPr>
          <w:p w14:paraId="767E0A12" w14:textId="77777777" w:rsidR="00A732D8" w:rsidRPr="00D75AA5" w:rsidRDefault="00A732D8" w:rsidP="00A732D8">
            <w:pPr>
              <w:pStyle w:val="NoSpacing"/>
              <w:jc w:val="center"/>
              <w:rPr>
                <w:bCs w:val="0"/>
                <w:lang w:eastAsia="en-GB"/>
              </w:rPr>
            </w:pPr>
            <w:proofErr w:type="spellStart"/>
            <w:r w:rsidRPr="00D75AA5">
              <w:rPr>
                <w:lang w:eastAsia="en-GB"/>
              </w:rPr>
              <w:t>hCoV</w:t>
            </w:r>
            <w:proofErr w:type="spellEnd"/>
            <w:r w:rsidRPr="00D75AA5">
              <w:rPr>
                <w:lang w:eastAsia="en-GB"/>
              </w:rPr>
              <w:t xml:space="preserve"> OC43</w:t>
            </w:r>
          </w:p>
        </w:tc>
        <w:tc>
          <w:tcPr>
            <w:tcW w:w="1795" w:type="dxa"/>
            <w:shd w:val="clear" w:color="auto" w:fill="auto"/>
            <w:noWrap/>
            <w:vAlign w:val="bottom"/>
            <w:hideMark/>
          </w:tcPr>
          <w:p w14:paraId="5C553E1D" w14:textId="2EF59D72" w:rsidR="00A732D8" w:rsidRPr="00D75AA5" w:rsidRDefault="00A732D8" w:rsidP="00A732D8">
            <w:pPr>
              <w:pStyle w:val="NoSpacing"/>
              <w:jc w:val="center"/>
              <w:rPr>
                <w:bCs w:val="0"/>
                <w:lang w:eastAsia="en-GB"/>
              </w:rPr>
            </w:pPr>
            <w:r w:rsidRPr="00D75AA5">
              <w:rPr>
                <w:lang w:eastAsia="en-GB"/>
              </w:rPr>
              <w:t>29/269</w:t>
            </w:r>
          </w:p>
          <w:p w14:paraId="4D3CB5D3" w14:textId="77777777" w:rsidR="00A732D8" w:rsidRPr="00D75AA5" w:rsidRDefault="00A732D8" w:rsidP="00A732D8">
            <w:pPr>
              <w:pStyle w:val="NoSpacing"/>
              <w:jc w:val="center"/>
              <w:rPr>
                <w:bCs w:val="0"/>
                <w:lang w:eastAsia="en-GB"/>
              </w:rPr>
            </w:pPr>
            <w:r w:rsidRPr="00D75AA5">
              <w:rPr>
                <w:lang w:eastAsia="en-GB"/>
              </w:rPr>
              <w:t>(10.8)</w:t>
            </w:r>
          </w:p>
        </w:tc>
        <w:tc>
          <w:tcPr>
            <w:tcW w:w="1795" w:type="dxa"/>
            <w:shd w:val="clear" w:color="auto" w:fill="auto"/>
            <w:noWrap/>
            <w:vAlign w:val="bottom"/>
            <w:hideMark/>
          </w:tcPr>
          <w:p w14:paraId="2D1850F2" w14:textId="1FA5DE55" w:rsidR="00A732D8" w:rsidRPr="00D75AA5" w:rsidRDefault="00A732D8" w:rsidP="00A732D8">
            <w:pPr>
              <w:pStyle w:val="NoSpacing"/>
              <w:jc w:val="center"/>
              <w:rPr>
                <w:bCs w:val="0"/>
                <w:lang w:eastAsia="en-GB"/>
              </w:rPr>
            </w:pPr>
            <w:r w:rsidRPr="00D75AA5">
              <w:rPr>
                <w:lang w:eastAsia="en-GB"/>
              </w:rPr>
              <w:t>14/409</w:t>
            </w:r>
          </w:p>
          <w:p w14:paraId="18E61FF8" w14:textId="77777777" w:rsidR="00A732D8" w:rsidRPr="00D75AA5" w:rsidRDefault="00A732D8" w:rsidP="00A732D8">
            <w:pPr>
              <w:pStyle w:val="NoSpacing"/>
              <w:jc w:val="center"/>
              <w:rPr>
                <w:bCs w:val="0"/>
                <w:lang w:eastAsia="en-GB"/>
              </w:rPr>
            </w:pPr>
            <w:r w:rsidRPr="00D75AA5">
              <w:rPr>
                <w:lang w:eastAsia="en-GB"/>
              </w:rPr>
              <w:t>(3.4)</w:t>
            </w:r>
          </w:p>
        </w:tc>
        <w:tc>
          <w:tcPr>
            <w:tcW w:w="1795" w:type="dxa"/>
            <w:shd w:val="clear" w:color="auto" w:fill="auto"/>
            <w:noWrap/>
            <w:vAlign w:val="bottom"/>
            <w:hideMark/>
          </w:tcPr>
          <w:p w14:paraId="4F652E95" w14:textId="394F1408" w:rsidR="00A732D8" w:rsidRPr="00D75AA5" w:rsidRDefault="00A732D8" w:rsidP="00A732D8">
            <w:pPr>
              <w:pStyle w:val="NoSpacing"/>
              <w:jc w:val="center"/>
              <w:rPr>
                <w:bCs w:val="0"/>
                <w:lang w:eastAsia="en-GB"/>
              </w:rPr>
            </w:pPr>
            <w:r w:rsidRPr="00D75AA5">
              <w:rPr>
                <w:lang w:eastAsia="en-GB"/>
              </w:rPr>
              <w:t>33/593</w:t>
            </w:r>
          </w:p>
          <w:p w14:paraId="77B8DA86" w14:textId="77777777" w:rsidR="00A732D8" w:rsidRPr="00D75AA5" w:rsidRDefault="00A732D8" w:rsidP="00A732D8">
            <w:pPr>
              <w:pStyle w:val="NoSpacing"/>
              <w:jc w:val="center"/>
              <w:rPr>
                <w:bCs w:val="0"/>
                <w:lang w:eastAsia="en-GB"/>
              </w:rPr>
            </w:pPr>
            <w:r w:rsidRPr="00D75AA5">
              <w:rPr>
                <w:lang w:eastAsia="en-GB"/>
              </w:rPr>
              <w:t>(5.6)</w:t>
            </w:r>
          </w:p>
        </w:tc>
        <w:tc>
          <w:tcPr>
            <w:tcW w:w="1579" w:type="dxa"/>
            <w:shd w:val="clear" w:color="auto" w:fill="auto"/>
            <w:noWrap/>
            <w:vAlign w:val="bottom"/>
            <w:hideMark/>
          </w:tcPr>
          <w:p w14:paraId="09A44310" w14:textId="29C056BE" w:rsidR="00A732D8" w:rsidRPr="00D75AA5" w:rsidRDefault="00A732D8" w:rsidP="00A732D8">
            <w:pPr>
              <w:pStyle w:val="NoSpacing"/>
              <w:jc w:val="center"/>
              <w:rPr>
                <w:bCs w:val="0"/>
                <w:lang w:eastAsia="en-GB"/>
              </w:rPr>
            </w:pPr>
            <w:r w:rsidRPr="00D75AA5">
              <w:rPr>
                <w:lang w:eastAsia="en-GB"/>
              </w:rPr>
              <w:t>62/700</w:t>
            </w:r>
          </w:p>
          <w:p w14:paraId="7DAD845E" w14:textId="77777777" w:rsidR="00A732D8" w:rsidRPr="00D75AA5" w:rsidRDefault="00A732D8" w:rsidP="00A732D8">
            <w:pPr>
              <w:pStyle w:val="NoSpacing"/>
              <w:jc w:val="center"/>
              <w:rPr>
                <w:bCs w:val="0"/>
                <w:lang w:eastAsia="en-GB"/>
              </w:rPr>
            </w:pPr>
            <w:r w:rsidRPr="00D75AA5">
              <w:rPr>
                <w:lang w:eastAsia="en-GB"/>
              </w:rPr>
              <w:t>(8.9)</w:t>
            </w:r>
          </w:p>
        </w:tc>
      </w:tr>
      <w:tr w:rsidR="00A732D8" w:rsidRPr="00D75AA5" w14:paraId="62615180" w14:textId="77777777" w:rsidTr="00A732D8">
        <w:trPr>
          <w:trHeight w:val="312"/>
        </w:trPr>
        <w:tc>
          <w:tcPr>
            <w:tcW w:w="1336" w:type="dxa"/>
            <w:shd w:val="clear" w:color="auto" w:fill="auto"/>
            <w:noWrap/>
            <w:vAlign w:val="bottom"/>
            <w:hideMark/>
          </w:tcPr>
          <w:p w14:paraId="4331F321" w14:textId="77777777" w:rsidR="00A732D8" w:rsidRPr="00D75AA5" w:rsidRDefault="00A732D8" w:rsidP="00A732D8">
            <w:pPr>
              <w:pStyle w:val="NoSpacing"/>
              <w:jc w:val="center"/>
              <w:rPr>
                <w:bCs w:val="0"/>
                <w:lang w:eastAsia="en-GB"/>
              </w:rPr>
            </w:pPr>
            <w:proofErr w:type="spellStart"/>
            <w:r w:rsidRPr="00D75AA5">
              <w:rPr>
                <w:lang w:eastAsia="en-GB"/>
              </w:rPr>
              <w:t>hCoV</w:t>
            </w:r>
            <w:proofErr w:type="spellEnd"/>
            <w:r w:rsidRPr="00D75AA5">
              <w:rPr>
                <w:lang w:eastAsia="en-GB"/>
              </w:rPr>
              <w:t xml:space="preserve"> NL63</w:t>
            </w:r>
          </w:p>
        </w:tc>
        <w:tc>
          <w:tcPr>
            <w:tcW w:w="1795" w:type="dxa"/>
            <w:shd w:val="clear" w:color="auto" w:fill="auto"/>
            <w:noWrap/>
            <w:vAlign w:val="bottom"/>
            <w:hideMark/>
          </w:tcPr>
          <w:p w14:paraId="6E490BC8" w14:textId="52CC76B6" w:rsidR="00A732D8" w:rsidRPr="00D75AA5" w:rsidRDefault="00A732D8" w:rsidP="00A732D8">
            <w:pPr>
              <w:pStyle w:val="NoSpacing"/>
              <w:jc w:val="center"/>
              <w:rPr>
                <w:bCs w:val="0"/>
                <w:lang w:eastAsia="en-GB"/>
              </w:rPr>
            </w:pPr>
            <w:r w:rsidRPr="00D75AA5">
              <w:rPr>
                <w:lang w:eastAsia="en-GB"/>
              </w:rPr>
              <w:t>27/205</w:t>
            </w:r>
          </w:p>
          <w:p w14:paraId="0355ECD9" w14:textId="77777777" w:rsidR="00A732D8" w:rsidRPr="00D75AA5" w:rsidRDefault="00A732D8" w:rsidP="00A732D8">
            <w:pPr>
              <w:pStyle w:val="NoSpacing"/>
              <w:jc w:val="center"/>
              <w:rPr>
                <w:bCs w:val="0"/>
                <w:lang w:eastAsia="en-GB"/>
              </w:rPr>
            </w:pPr>
            <w:r w:rsidRPr="00D75AA5">
              <w:rPr>
                <w:lang w:eastAsia="en-GB"/>
              </w:rPr>
              <w:t>(13.2)</w:t>
            </w:r>
          </w:p>
        </w:tc>
        <w:tc>
          <w:tcPr>
            <w:tcW w:w="1795" w:type="dxa"/>
            <w:shd w:val="clear" w:color="auto" w:fill="auto"/>
            <w:noWrap/>
            <w:vAlign w:val="bottom"/>
            <w:hideMark/>
          </w:tcPr>
          <w:p w14:paraId="126BF79C" w14:textId="08F30D18" w:rsidR="00A732D8" w:rsidRPr="00D75AA5" w:rsidRDefault="00A732D8" w:rsidP="00A732D8">
            <w:pPr>
              <w:pStyle w:val="NoSpacing"/>
              <w:jc w:val="center"/>
              <w:rPr>
                <w:bCs w:val="0"/>
                <w:lang w:eastAsia="en-GB"/>
              </w:rPr>
            </w:pPr>
            <w:r w:rsidRPr="00D75AA5">
              <w:rPr>
                <w:lang w:eastAsia="en-GB"/>
              </w:rPr>
              <w:t>23/248</w:t>
            </w:r>
          </w:p>
          <w:p w14:paraId="5306C6AE" w14:textId="77777777" w:rsidR="00A732D8" w:rsidRPr="00D75AA5" w:rsidRDefault="00A732D8" w:rsidP="00A732D8">
            <w:pPr>
              <w:pStyle w:val="NoSpacing"/>
              <w:jc w:val="center"/>
              <w:rPr>
                <w:bCs w:val="0"/>
                <w:lang w:eastAsia="en-GB"/>
              </w:rPr>
            </w:pPr>
            <w:r w:rsidRPr="00D75AA5">
              <w:rPr>
                <w:lang w:eastAsia="en-GB"/>
              </w:rPr>
              <w:t>(9.3)</w:t>
            </w:r>
          </w:p>
        </w:tc>
        <w:tc>
          <w:tcPr>
            <w:tcW w:w="1795" w:type="dxa"/>
            <w:shd w:val="clear" w:color="auto" w:fill="auto"/>
            <w:noWrap/>
            <w:vAlign w:val="bottom"/>
            <w:hideMark/>
          </w:tcPr>
          <w:p w14:paraId="4600E517" w14:textId="6F4A178D" w:rsidR="00A732D8" w:rsidRPr="00D75AA5" w:rsidRDefault="00A732D8" w:rsidP="00A732D8">
            <w:pPr>
              <w:pStyle w:val="NoSpacing"/>
              <w:jc w:val="center"/>
              <w:rPr>
                <w:bCs w:val="0"/>
                <w:lang w:eastAsia="en-GB"/>
              </w:rPr>
            </w:pPr>
            <w:r w:rsidRPr="00D75AA5">
              <w:rPr>
                <w:lang w:eastAsia="en-GB"/>
              </w:rPr>
              <w:t>65/483</w:t>
            </w:r>
          </w:p>
          <w:p w14:paraId="2B618211" w14:textId="77777777" w:rsidR="00A732D8" w:rsidRPr="00D75AA5" w:rsidRDefault="00A732D8" w:rsidP="00A732D8">
            <w:pPr>
              <w:pStyle w:val="NoSpacing"/>
              <w:jc w:val="center"/>
              <w:rPr>
                <w:bCs w:val="0"/>
                <w:lang w:eastAsia="en-GB"/>
              </w:rPr>
            </w:pPr>
            <w:r w:rsidRPr="00D75AA5">
              <w:rPr>
                <w:lang w:eastAsia="en-GB"/>
              </w:rPr>
              <w:t>(13.5)</w:t>
            </w:r>
          </w:p>
        </w:tc>
        <w:tc>
          <w:tcPr>
            <w:tcW w:w="1579" w:type="dxa"/>
            <w:shd w:val="clear" w:color="auto" w:fill="auto"/>
            <w:noWrap/>
            <w:vAlign w:val="bottom"/>
            <w:hideMark/>
          </w:tcPr>
          <w:p w14:paraId="56C7906E" w14:textId="08766128" w:rsidR="00A732D8" w:rsidRPr="00D75AA5" w:rsidRDefault="00A732D8" w:rsidP="00A732D8">
            <w:pPr>
              <w:pStyle w:val="NoSpacing"/>
              <w:jc w:val="center"/>
              <w:rPr>
                <w:bCs w:val="0"/>
                <w:lang w:eastAsia="en-GB"/>
              </w:rPr>
            </w:pPr>
            <w:r w:rsidRPr="00D75AA5">
              <w:rPr>
                <w:lang w:eastAsia="en-GB"/>
              </w:rPr>
              <w:t>23/267</w:t>
            </w:r>
          </w:p>
          <w:p w14:paraId="40FCA606" w14:textId="77777777" w:rsidR="00A732D8" w:rsidRPr="00D75AA5" w:rsidRDefault="00A732D8" w:rsidP="00A732D8">
            <w:pPr>
              <w:pStyle w:val="NoSpacing"/>
              <w:jc w:val="center"/>
              <w:rPr>
                <w:bCs w:val="0"/>
                <w:lang w:eastAsia="en-GB"/>
              </w:rPr>
            </w:pPr>
            <w:r w:rsidRPr="00D75AA5">
              <w:rPr>
                <w:lang w:eastAsia="en-GB"/>
              </w:rPr>
              <w:t>(8.6)</w:t>
            </w:r>
          </w:p>
        </w:tc>
      </w:tr>
      <w:tr w:rsidR="00A732D8" w:rsidRPr="00D75AA5" w14:paraId="2DFA56CE" w14:textId="77777777" w:rsidTr="00A732D8">
        <w:trPr>
          <w:trHeight w:val="312"/>
        </w:trPr>
        <w:tc>
          <w:tcPr>
            <w:tcW w:w="1336" w:type="dxa"/>
            <w:shd w:val="clear" w:color="auto" w:fill="auto"/>
            <w:noWrap/>
            <w:vAlign w:val="bottom"/>
            <w:hideMark/>
          </w:tcPr>
          <w:p w14:paraId="4A809136" w14:textId="77777777" w:rsidR="00A732D8" w:rsidRPr="00D75AA5" w:rsidRDefault="00A732D8" w:rsidP="00A732D8">
            <w:pPr>
              <w:pStyle w:val="NoSpacing"/>
              <w:jc w:val="center"/>
              <w:rPr>
                <w:bCs w:val="0"/>
                <w:lang w:eastAsia="en-GB"/>
              </w:rPr>
            </w:pPr>
            <w:proofErr w:type="spellStart"/>
            <w:r w:rsidRPr="00D75AA5">
              <w:rPr>
                <w:lang w:eastAsia="en-GB"/>
              </w:rPr>
              <w:t>hCoV</w:t>
            </w:r>
            <w:proofErr w:type="spellEnd"/>
            <w:r w:rsidRPr="00D75AA5">
              <w:rPr>
                <w:lang w:eastAsia="en-GB"/>
              </w:rPr>
              <w:t xml:space="preserve"> HKU1</w:t>
            </w:r>
          </w:p>
        </w:tc>
        <w:tc>
          <w:tcPr>
            <w:tcW w:w="1795" w:type="dxa"/>
            <w:shd w:val="clear" w:color="auto" w:fill="auto"/>
            <w:noWrap/>
            <w:vAlign w:val="bottom"/>
            <w:hideMark/>
          </w:tcPr>
          <w:p w14:paraId="414FAC2B" w14:textId="4079E26B" w:rsidR="00A732D8" w:rsidRPr="00D75AA5" w:rsidRDefault="00A732D8" w:rsidP="00A732D8">
            <w:pPr>
              <w:pStyle w:val="NoSpacing"/>
              <w:jc w:val="center"/>
              <w:rPr>
                <w:bCs w:val="0"/>
                <w:lang w:eastAsia="en-GB"/>
              </w:rPr>
            </w:pPr>
            <w:r w:rsidRPr="00D75AA5">
              <w:rPr>
                <w:lang w:eastAsia="en-GB"/>
              </w:rPr>
              <w:t>2/41</w:t>
            </w:r>
          </w:p>
          <w:p w14:paraId="288CC883" w14:textId="77777777" w:rsidR="00A732D8" w:rsidRPr="00D75AA5" w:rsidRDefault="00A732D8" w:rsidP="00A732D8">
            <w:pPr>
              <w:pStyle w:val="NoSpacing"/>
              <w:jc w:val="center"/>
              <w:rPr>
                <w:bCs w:val="0"/>
                <w:lang w:eastAsia="en-GB"/>
              </w:rPr>
            </w:pPr>
            <w:r w:rsidRPr="00D75AA5">
              <w:rPr>
                <w:lang w:eastAsia="en-GB"/>
              </w:rPr>
              <w:t>(4.9)</w:t>
            </w:r>
          </w:p>
        </w:tc>
        <w:tc>
          <w:tcPr>
            <w:tcW w:w="1795" w:type="dxa"/>
            <w:shd w:val="clear" w:color="auto" w:fill="auto"/>
            <w:noWrap/>
            <w:vAlign w:val="bottom"/>
            <w:hideMark/>
          </w:tcPr>
          <w:p w14:paraId="3BF509BB" w14:textId="1EF00721" w:rsidR="00A732D8" w:rsidRPr="00D75AA5" w:rsidRDefault="00A732D8" w:rsidP="00A732D8">
            <w:pPr>
              <w:pStyle w:val="NoSpacing"/>
              <w:jc w:val="center"/>
              <w:rPr>
                <w:bCs w:val="0"/>
                <w:lang w:eastAsia="en-GB"/>
              </w:rPr>
            </w:pPr>
            <w:r w:rsidRPr="00D75AA5">
              <w:rPr>
                <w:lang w:eastAsia="en-GB"/>
              </w:rPr>
              <w:t>15/180</w:t>
            </w:r>
          </w:p>
          <w:p w14:paraId="428310FE" w14:textId="77777777" w:rsidR="00A732D8" w:rsidRPr="00D75AA5" w:rsidRDefault="00A732D8" w:rsidP="00A732D8">
            <w:pPr>
              <w:pStyle w:val="NoSpacing"/>
              <w:jc w:val="center"/>
              <w:rPr>
                <w:bCs w:val="0"/>
                <w:lang w:eastAsia="en-GB"/>
              </w:rPr>
            </w:pPr>
            <w:r w:rsidRPr="00D75AA5">
              <w:rPr>
                <w:lang w:eastAsia="en-GB"/>
              </w:rPr>
              <w:t>(8.3)</w:t>
            </w:r>
          </w:p>
        </w:tc>
        <w:tc>
          <w:tcPr>
            <w:tcW w:w="1795" w:type="dxa"/>
            <w:shd w:val="clear" w:color="auto" w:fill="auto"/>
            <w:noWrap/>
            <w:vAlign w:val="bottom"/>
            <w:hideMark/>
          </w:tcPr>
          <w:p w14:paraId="392FB3BF" w14:textId="794E31CF" w:rsidR="00A732D8" w:rsidRPr="00D75AA5" w:rsidRDefault="00A732D8" w:rsidP="00A732D8">
            <w:pPr>
              <w:pStyle w:val="NoSpacing"/>
              <w:jc w:val="center"/>
              <w:rPr>
                <w:bCs w:val="0"/>
                <w:lang w:eastAsia="en-GB"/>
              </w:rPr>
            </w:pPr>
            <w:r w:rsidRPr="00D75AA5">
              <w:rPr>
                <w:lang w:eastAsia="en-GB"/>
              </w:rPr>
              <w:t>8/240</w:t>
            </w:r>
          </w:p>
          <w:p w14:paraId="760F6732" w14:textId="77777777" w:rsidR="00A732D8" w:rsidRPr="00D75AA5" w:rsidRDefault="00A732D8" w:rsidP="00A732D8">
            <w:pPr>
              <w:pStyle w:val="NoSpacing"/>
              <w:jc w:val="center"/>
              <w:rPr>
                <w:bCs w:val="0"/>
                <w:lang w:eastAsia="en-GB"/>
              </w:rPr>
            </w:pPr>
            <w:r w:rsidRPr="00D75AA5">
              <w:rPr>
                <w:lang w:eastAsia="en-GB"/>
              </w:rPr>
              <w:t>(3.3)</w:t>
            </w:r>
          </w:p>
        </w:tc>
        <w:tc>
          <w:tcPr>
            <w:tcW w:w="1579" w:type="dxa"/>
            <w:shd w:val="clear" w:color="auto" w:fill="auto"/>
            <w:noWrap/>
            <w:vAlign w:val="bottom"/>
            <w:hideMark/>
          </w:tcPr>
          <w:p w14:paraId="47F6EDF0" w14:textId="47D9D493" w:rsidR="00A732D8" w:rsidRPr="00D75AA5" w:rsidRDefault="00A732D8" w:rsidP="00A732D8">
            <w:pPr>
              <w:pStyle w:val="NoSpacing"/>
              <w:jc w:val="center"/>
              <w:rPr>
                <w:bCs w:val="0"/>
                <w:lang w:eastAsia="en-GB"/>
              </w:rPr>
            </w:pPr>
            <w:r w:rsidRPr="00D75AA5">
              <w:rPr>
                <w:lang w:eastAsia="en-GB"/>
              </w:rPr>
              <w:t>11/150</w:t>
            </w:r>
          </w:p>
          <w:p w14:paraId="6712E4EE" w14:textId="77777777" w:rsidR="00A732D8" w:rsidRPr="00D75AA5" w:rsidRDefault="00A732D8" w:rsidP="00A732D8">
            <w:pPr>
              <w:pStyle w:val="NoSpacing"/>
              <w:jc w:val="center"/>
              <w:rPr>
                <w:bCs w:val="0"/>
                <w:lang w:eastAsia="en-GB"/>
              </w:rPr>
            </w:pPr>
            <w:r w:rsidRPr="00D75AA5">
              <w:rPr>
                <w:lang w:eastAsia="en-GB"/>
              </w:rPr>
              <w:t>(7.3)</w:t>
            </w:r>
          </w:p>
        </w:tc>
      </w:tr>
      <w:tr w:rsidR="00A732D8" w:rsidRPr="00D75AA5" w14:paraId="69DE8DB6" w14:textId="77777777" w:rsidTr="00A732D8">
        <w:trPr>
          <w:trHeight w:val="312"/>
        </w:trPr>
        <w:tc>
          <w:tcPr>
            <w:tcW w:w="1336" w:type="dxa"/>
            <w:shd w:val="clear" w:color="auto" w:fill="auto"/>
            <w:noWrap/>
            <w:vAlign w:val="bottom"/>
            <w:hideMark/>
          </w:tcPr>
          <w:p w14:paraId="77E0F7F2" w14:textId="77777777" w:rsidR="00A732D8" w:rsidRPr="00D75AA5" w:rsidRDefault="00A732D8" w:rsidP="00A732D8">
            <w:pPr>
              <w:pStyle w:val="NoSpacing"/>
              <w:jc w:val="center"/>
              <w:rPr>
                <w:bCs w:val="0"/>
                <w:lang w:eastAsia="en-GB"/>
              </w:rPr>
            </w:pPr>
            <w:r w:rsidRPr="00D75AA5">
              <w:rPr>
                <w:lang w:eastAsia="en-GB"/>
              </w:rPr>
              <w:t>PIV 1</w:t>
            </w:r>
          </w:p>
        </w:tc>
        <w:tc>
          <w:tcPr>
            <w:tcW w:w="1795" w:type="dxa"/>
            <w:shd w:val="clear" w:color="auto" w:fill="auto"/>
            <w:noWrap/>
            <w:vAlign w:val="bottom"/>
            <w:hideMark/>
          </w:tcPr>
          <w:p w14:paraId="0C94FA53" w14:textId="77777777" w:rsidR="00A732D8" w:rsidRPr="00D75AA5" w:rsidRDefault="00A732D8" w:rsidP="00A732D8">
            <w:pPr>
              <w:pStyle w:val="NoSpacing"/>
              <w:jc w:val="center"/>
              <w:rPr>
                <w:bCs w:val="0"/>
                <w:lang w:eastAsia="en-GB"/>
              </w:rPr>
            </w:pPr>
            <w:r w:rsidRPr="00D75AA5">
              <w:rPr>
                <w:lang w:eastAsia="en-GB"/>
              </w:rPr>
              <w:t>39/396</w:t>
            </w:r>
          </w:p>
          <w:p w14:paraId="4A53FBEC" w14:textId="0ABCE758" w:rsidR="00A732D8" w:rsidRPr="00D75AA5" w:rsidRDefault="00A732D8" w:rsidP="00A732D8">
            <w:pPr>
              <w:pStyle w:val="NoSpacing"/>
              <w:jc w:val="center"/>
              <w:rPr>
                <w:bCs w:val="0"/>
                <w:lang w:eastAsia="en-GB"/>
              </w:rPr>
            </w:pPr>
            <w:r w:rsidRPr="00D75AA5">
              <w:rPr>
                <w:lang w:eastAsia="en-GB"/>
              </w:rPr>
              <w:t>(9.8)</w:t>
            </w:r>
          </w:p>
        </w:tc>
        <w:tc>
          <w:tcPr>
            <w:tcW w:w="1795" w:type="dxa"/>
            <w:shd w:val="clear" w:color="auto" w:fill="auto"/>
            <w:noWrap/>
            <w:vAlign w:val="bottom"/>
            <w:hideMark/>
          </w:tcPr>
          <w:p w14:paraId="12F4684D" w14:textId="0C03C994" w:rsidR="00A732D8" w:rsidRPr="00D75AA5" w:rsidRDefault="00A732D8" w:rsidP="00A732D8">
            <w:pPr>
              <w:pStyle w:val="NoSpacing"/>
              <w:jc w:val="center"/>
              <w:rPr>
                <w:bCs w:val="0"/>
                <w:lang w:eastAsia="en-GB"/>
              </w:rPr>
            </w:pPr>
            <w:r w:rsidRPr="00D75AA5">
              <w:rPr>
                <w:lang w:eastAsia="en-GB"/>
              </w:rPr>
              <w:t>99/611</w:t>
            </w:r>
          </w:p>
          <w:p w14:paraId="4552041A" w14:textId="77777777" w:rsidR="00A732D8" w:rsidRPr="00D75AA5" w:rsidRDefault="00A732D8" w:rsidP="00A732D8">
            <w:pPr>
              <w:pStyle w:val="NoSpacing"/>
              <w:jc w:val="center"/>
              <w:rPr>
                <w:bCs w:val="0"/>
                <w:lang w:eastAsia="en-GB"/>
              </w:rPr>
            </w:pPr>
            <w:r w:rsidRPr="00D75AA5">
              <w:rPr>
                <w:lang w:eastAsia="en-GB"/>
              </w:rPr>
              <w:t>(16.2)</w:t>
            </w:r>
          </w:p>
        </w:tc>
        <w:tc>
          <w:tcPr>
            <w:tcW w:w="1795" w:type="dxa"/>
            <w:shd w:val="clear" w:color="auto" w:fill="auto"/>
            <w:noWrap/>
            <w:vAlign w:val="bottom"/>
            <w:hideMark/>
          </w:tcPr>
          <w:p w14:paraId="767420C6" w14:textId="0858E57F" w:rsidR="00A732D8" w:rsidRPr="00D75AA5" w:rsidRDefault="00A732D8" w:rsidP="00A732D8">
            <w:pPr>
              <w:pStyle w:val="NoSpacing"/>
              <w:jc w:val="center"/>
              <w:rPr>
                <w:bCs w:val="0"/>
                <w:lang w:eastAsia="en-GB"/>
              </w:rPr>
            </w:pPr>
            <w:r w:rsidRPr="00D75AA5">
              <w:rPr>
                <w:lang w:eastAsia="en-GB"/>
              </w:rPr>
              <w:t>14/178</w:t>
            </w:r>
          </w:p>
          <w:p w14:paraId="601A4922" w14:textId="77777777" w:rsidR="00A732D8" w:rsidRPr="00D75AA5" w:rsidRDefault="00A732D8" w:rsidP="00A732D8">
            <w:pPr>
              <w:pStyle w:val="NoSpacing"/>
              <w:jc w:val="center"/>
              <w:rPr>
                <w:bCs w:val="0"/>
                <w:lang w:eastAsia="en-GB"/>
              </w:rPr>
            </w:pPr>
            <w:r w:rsidRPr="00D75AA5">
              <w:rPr>
                <w:lang w:eastAsia="en-GB"/>
              </w:rPr>
              <w:t>(7.9)</w:t>
            </w:r>
          </w:p>
        </w:tc>
        <w:tc>
          <w:tcPr>
            <w:tcW w:w="1579" w:type="dxa"/>
            <w:shd w:val="clear" w:color="auto" w:fill="auto"/>
            <w:noWrap/>
            <w:vAlign w:val="bottom"/>
            <w:hideMark/>
          </w:tcPr>
          <w:p w14:paraId="6B748B45" w14:textId="5568EB7D" w:rsidR="00A732D8" w:rsidRPr="00D75AA5" w:rsidRDefault="00A732D8" w:rsidP="00A732D8">
            <w:pPr>
              <w:pStyle w:val="NoSpacing"/>
              <w:jc w:val="center"/>
              <w:rPr>
                <w:bCs w:val="0"/>
                <w:lang w:eastAsia="en-GB"/>
              </w:rPr>
            </w:pPr>
            <w:r w:rsidRPr="00D75AA5">
              <w:rPr>
                <w:lang w:eastAsia="en-GB"/>
              </w:rPr>
              <w:t>60/445</w:t>
            </w:r>
          </w:p>
          <w:p w14:paraId="710FC1D0" w14:textId="77777777" w:rsidR="00A732D8" w:rsidRPr="00D75AA5" w:rsidRDefault="00A732D8" w:rsidP="00A732D8">
            <w:pPr>
              <w:pStyle w:val="NoSpacing"/>
              <w:jc w:val="center"/>
              <w:rPr>
                <w:bCs w:val="0"/>
                <w:lang w:eastAsia="en-GB"/>
              </w:rPr>
            </w:pPr>
            <w:r w:rsidRPr="00D75AA5">
              <w:rPr>
                <w:lang w:eastAsia="en-GB"/>
              </w:rPr>
              <w:t>(13.5)</w:t>
            </w:r>
          </w:p>
        </w:tc>
      </w:tr>
      <w:tr w:rsidR="00A732D8" w:rsidRPr="00D75AA5" w14:paraId="65360076" w14:textId="77777777" w:rsidTr="00A732D8">
        <w:trPr>
          <w:trHeight w:val="312"/>
        </w:trPr>
        <w:tc>
          <w:tcPr>
            <w:tcW w:w="1336" w:type="dxa"/>
            <w:shd w:val="clear" w:color="auto" w:fill="auto"/>
            <w:noWrap/>
            <w:vAlign w:val="bottom"/>
            <w:hideMark/>
          </w:tcPr>
          <w:p w14:paraId="19EF7F3F" w14:textId="77777777" w:rsidR="00A732D8" w:rsidRPr="00D75AA5" w:rsidRDefault="00A732D8" w:rsidP="00A732D8">
            <w:pPr>
              <w:pStyle w:val="NoSpacing"/>
              <w:jc w:val="center"/>
              <w:rPr>
                <w:bCs w:val="0"/>
                <w:lang w:eastAsia="en-GB"/>
              </w:rPr>
            </w:pPr>
            <w:r w:rsidRPr="00D75AA5">
              <w:rPr>
                <w:lang w:eastAsia="en-GB"/>
              </w:rPr>
              <w:t>PIV 2</w:t>
            </w:r>
          </w:p>
        </w:tc>
        <w:tc>
          <w:tcPr>
            <w:tcW w:w="1795" w:type="dxa"/>
            <w:shd w:val="clear" w:color="auto" w:fill="auto"/>
            <w:noWrap/>
            <w:vAlign w:val="bottom"/>
            <w:hideMark/>
          </w:tcPr>
          <w:p w14:paraId="13F15E98" w14:textId="351EF6A6" w:rsidR="00A732D8" w:rsidRPr="00D75AA5" w:rsidRDefault="00A732D8" w:rsidP="00A732D8">
            <w:pPr>
              <w:pStyle w:val="NoSpacing"/>
              <w:jc w:val="center"/>
              <w:rPr>
                <w:bCs w:val="0"/>
                <w:lang w:eastAsia="en-GB"/>
              </w:rPr>
            </w:pPr>
            <w:r w:rsidRPr="00D75AA5">
              <w:rPr>
                <w:lang w:eastAsia="en-GB"/>
              </w:rPr>
              <w:t>11/116</w:t>
            </w:r>
          </w:p>
          <w:p w14:paraId="2DC6A45E" w14:textId="77777777" w:rsidR="00A732D8" w:rsidRPr="00D75AA5" w:rsidRDefault="00A732D8" w:rsidP="00A732D8">
            <w:pPr>
              <w:pStyle w:val="NoSpacing"/>
              <w:jc w:val="center"/>
              <w:rPr>
                <w:bCs w:val="0"/>
                <w:lang w:eastAsia="en-GB"/>
              </w:rPr>
            </w:pPr>
            <w:r w:rsidRPr="00D75AA5">
              <w:rPr>
                <w:lang w:eastAsia="en-GB"/>
              </w:rPr>
              <w:t>(9.5)</w:t>
            </w:r>
          </w:p>
        </w:tc>
        <w:tc>
          <w:tcPr>
            <w:tcW w:w="1795" w:type="dxa"/>
            <w:shd w:val="clear" w:color="auto" w:fill="auto"/>
            <w:noWrap/>
            <w:vAlign w:val="bottom"/>
            <w:hideMark/>
          </w:tcPr>
          <w:p w14:paraId="389C7800" w14:textId="7FE908C8" w:rsidR="00A732D8" w:rsidRPr="00D75AA5" w:rsidRDefault="00A732D8" w:rsidP="00A732D8">
            <w:pPr>
              <w:pStyle w:val="NoSpacing"/>
              <w:jc w:val="center"/>
              <w:rPr>
                <w:bCs w:val="0"/>
                <w:lang w:eastAsia="en-GB"/>
              </w:rPr>
            </w:pPr>
            <w:r w:rsidRPr="00D75AA5">
              <w:rPr>
                <w:lang w:eastAsia="en-GB"/>
              </w:rPr>
              <w:t>34/172</w:t>
            </w:r>
          </w:p>
          <w:p w14:paraId="65B46746" w14:textId="77777777" w:rsidR="00A732D8" w:rsidRPr="00D75AA5" w:rsidRDefault="00A732D8" w:rsidP="00A732D8">
            <w:pPr>
              <w:pStyle w:val="NoSpacing"/>
              <w:jc w:val="center"/>
              <w:rPr>
                <w:bCs w:val="0"/>
                <w:lang w:eastAsia="en-GB"/>
              </w:rPr>
            </w:pPr>
            <w:r w:rsidRPr="00D75AA5">
              <w:rPr>
                <w:lang w:eastAsia="en-GB"/>
              </w:rPr>
              <w:t>(19.8)</w:t>
            </w:r>
          </w:p>
        </w:tc>
        <w:tc>
          <w:tcPr>
            <w:tcW w:w="1795" w:type="dxa"/>
            <w:shd w:val="clear" w:color="auto" w:fill="auto"/>
            <w:noWrap/>
            <w:vAlign w:val="bottom"/>
            <w:hideMark/>
          </w:tcPr>
          <w:p w14:paraId="54EAC903" w14:textId="2A02CFA0" w:rsidR="00A732D8" w:rsidRPr="00D75AA5" w:rsidRDefault="00A732D8" w:rsidP="00A732D8">
            <w:pPr>
              <w:pStyle w:val="NoSpacing"/>
              <w:jc w:val="center"/>
              <w:rPr>
                <w:bCs w:val="0"/>
                <w:lang w:eastAsia="en-GB"/>
              </w:rPr>
            </w:pPr>
            <w:r w:rsidRPr="00D75AA5">
              <w:rPr>
                <w:lang w:eastAsia="en-GB"/>
              </w:rPr>
              <w:t>39/267</w:t>
            </w:r>
          </w:p>
          <w:p w14:paraId="4E2E5719" w14:textId="77777777" w:rsidR="00A732D8" w:rsidRPr="00D75AA5" w:rsidRDefault="00A732D8" w:rsidP="00A732D8">
            <w:pPr>
              <w:pStyle w:val="NoSpacing"/>
              <w:jc w:val="center"/>
              <w:rPr>
                <w:bCs w:val="0"/>
                <w:lang w:eastAsia="en-GB"/>
              </w:rPr>
            </w:pPr>
            <w:r w:rsidRPr="00D75AA5">
              <w:rPr>
                <w:lang w:eastAsia="en-GB"/>
              </w:rPr>
              <w:t>(14.6)</w:t>
            </w:r>
          </w:p>
        </w:tc>
        <w:tc>
          <w:tcPr>
            <w:tcW w:w="1579" w:type="dxa"/>
            <w:shd w:val="clear" w:color="auto" w:fill="auto"/>
            <w:noWrap/>
            <w:vAlign w:val="bottom"/>
            <w:hideMark/>
          </w:tcPr>
          <w:p w14:paraId="62D04035" w14:textId="48E4076A" w:rsidR="00A732D8" w:rsidRPr="00D75AA5" w:rsidRDefault="00A732D8" w:rsidP="00A732D8">
            <w:pPr>
              <w:pStyle w:val="NoSpacing"/>
              <w:jc w:val="center"/>
              <w:rPr>
                <w:bCs w:val="0"/>
                <w:lang w:eastAsia="en-GB"/>
              </w:rPr>
            </w:pPr>
            <w:r w:rsidRPr="00D75AA5">
              <w:rPr>
                <w:lang w:eastAsia="en-GB"/>
              </w:rPr>
              <w:t>15/161</w:t>
            </w:r>
          </w:p>
          <w:p w14:paraId="6A3C2132" w14:textId="77777777" w:rsidR="00A732D8" w:rsidRPr="00D75AA5" w:rsidRDefault="00A732D8" w:rsidP="00A732D8">
            <w:pPr>
              <w:pStyle w:val="NoSpacing"/>
              <w:jc w:val="center"/>
              <w:rPr>
                <w:bCs w:val="0"/>
                <w:lang w:eastAsia="en-GB"/>
              </w:rPr>
            </w:pPr>
            <w:r w:rsidRPr="00D75AA5">
              <w:rPr>
                <w:lang w:eastAsia="en-GB"/>
              </w:rPr>
              <w:t>(9.3)</w:t>
            </w:r>
          </w:p>
        </w:tc>
      </w:tr>
      <w:tr w:rsidR="00A732D8" w:rsidRPr="00D75AA5" w14:paraId="29D3C4A2" w14:textId="77777777" w:rsidTr="00A732D8">
        <w:trPr>
          <w:trHeight w:val="312"/>
        </w:trPr>
        <w:tc>
          <w:tcPr>
            <w:tcW w:w="1336" w:type="dxa"/>
            <w:shd w:val="clear" w:color="auto" w:fill="auto"/>
            <w:noWrap/>
            <w:vAlign w:val="bottom"/>
            <w:hideMark/>
          </w:tcPr>
          <w:p w14:paraId="63BC9EE2" w14:textId="77777777" w:rsidR="00A732D8" w:rsidRPr="00D75AA5" w:rsidRDefault="00A732D8" w:rsidP="00A732D8">
            <w:pPr>
              <w:pStyle w:val="NoSpacing"/>
              <w:jc w:val="center"/>
              <w:rPr>
                <w:bCs w:val="0"/>
                <w:lang w:eastAsia="en-GB"/>
              </w:rPr>
            </w:pPr>
            <w:r w:rsidRPr="00D75AA5">
              <w:rPr>
                <w:lang w:eastAsia="en-GB"/>
              </w:rPr>
              <w:t>PIV 3</w:t>
            </w:r>
          </w:p>
        </w:tc>
        <w:tc>
          <w:tcPr>
            <w:tcW w:w="1795" w:type="dxa"/>
            <w:shd w:val="clear" w:color="auto" w:fill="auto"/>
            <w:noWrap/>
            <w:vAlign w:val="bottom"/>
            <w:hideMark/>
          </w:tcPr>
          <w:p w14:paraId="56283325" w14:textId="6EFD42A0" w:rsidR="00A732D8" w:rsidRPr="00D75AA5" w:rsidRDefault="00A732D8" w:rsidP="00A732D8">
            <w:pPr>
              <w:pStyle w:val="NoSpacing"/>
              <w:jc w:val="center"/>
              <w:rPr>
                <w:bCs w:val="0"/>
                <w:lang w:eastAsia="en-GB"/>
              </w:rPr>
            </w:pPr>
            <w:r w:rsidRPr="00D75AA5">
              <w:rPr>
                <w:lang w:eastAsia="en-GB"/>
              </w:rPr>
              <w:t>57/560</w:t>
            </w:r>
          </w:p>
          <w:p w14:paraId="5F3EF39F" w14:textId="77777777" w:rsidR="00A732D8" w:rsidRPr="00D75AA5" w:rsidRDefault="00A732D8" w:rsidP="00A732D8">
            <w:pPr>
              <w:pStyle w:val="NoSpacing"/>
              <w:jc w:val="center"/>
              <w:rPr>
                <w:bCs w:val="0"/>
                <w:lang w:eastAsia="en-GB"/>
              </w:rPr>
            </w:pPr>
            <w:r w:rsidRPr="00D75AA5">
              <w:rPr>
                <w:lang w:eastAsia="en-GB"/>
              </w:rPr>
              <w:t>(10.2)</w:t>
            </w:r>
          </w:p>
        </w:tc>
        <w:tc>
          <w:tcPr>
            <w:tcW w:w="1795" w:type="dxa"/>
            <w:shd w:val="clear" w:color="auto" w:fill="auto"/>
            <w:noWrap/>
            <w:vAlign w:val="bottom"/>
            <w:hideMark/>
          </w:tcPr>
          <w:p w14:paraId="0D150B28" w14:textId="04F1DB28" w:rsidR="00A732D8" w:rsidRPr="00D75AA5" w:rsidRDefault="00A732D8" w:rsidP="00A732D8">
            <w:pPr>
              <w:pStyle w:val="NoSpacing"/>
              <w:jc w:val="center"/>
              <w:rPr>
                <w:bCs w:val="0"/>
                <w:lang w:eastAsia="en-GB"/>
              </w:rPr>
            </w:pPr>
            <w:r w:rsidRPr="00D75AA5">
              <w:rPr>
                <w:lang w:eastAsia="en-GB"/>
              </w:rPr>
              <w:t>83/777</w:t>
            </w:r>
          </w:p>
          <w:p w14:paraId="7B59C2B0" w14:textId="77777777" w:rsidR="00A732D8" w:rsidRPr="00D75AA5" w:rsidRDefault="00A732D8" w:rsidP="00A732D8">
            <w:pPr>
              <w:pStyle w:val="NoSpacing"/>
              <w:jc w:val="center"/>
              <w:rPr>
                <w:bCs w:val="0"/>
                <w:lang w:eastAsia="en-GB"/>
              </w:rPr>
            </w:pPr>
            <w:r w:rsidRPr="00D75AA5">
              <w:rPr>
                <w:lang w:eastAsia="en-GB"/>
              </w:rPr>
              <w:t>(10.7)</w:t>
            </w:r>
          </w:p>
        </w:tc>
        <w:tc>
          <w:tcPr>
            <w:tcW w:w="1795" w:type="dxa"/>
            <w:shd w:val="clear" w:color="auto" w:fill="auto"/>
            <w:noWrap/>
            <w:vAlign w:val="bottom"/>
            <w:hideMark/>
          </w:tcPr>
          <w:p w14:paraId="3D8ECCE1" w14:textId="4D7137B7" w:rsidR="00A732D8" w:rsidRPr="00D75AA5" w:rsidRDefault="00A732D8" w:rsidP="00A732D8">
            <w:pPr>
              <w:pStyle w:val="NoSpacing"/>
              <w:jc w:val="center"/>
              <w:rPr>
                <w:bCs w:val="0"/>
                <w:lang w:eastAsia="en-GB"/>
              </w:rPr>
            </w:pPr>
            <w:r w:rsidRPr="00D75AA5">
              <w:rPr>
                <w:lang w:eastAsia="en-GB"/>
              </w:rPr>
              <w:t>117/680</w:t>
            </w:r>
          </w:p>
          <w:p w14:paraId="2A569FCB" w14:textId="77777777" w:rsidR="00A732D8" w:rsidRPr="00D75AA5" w:rsidRDefault="00A732D8" w:rsidP="00A732D8">
            <w:pPr>
              <w:pStyle w:val="NoSpacing"/>
              <w:jc w:val="center"/>
              <w:rPr>
                <w:bCs w:val="0"/>
                <w:lang w:eastAsia="en-GB"/>
              </w:rPr>
            </w:pPr>
            <w:r w:rsidRPr="00D75AA5">
              <w:rPr>
                <w:lang w:eastAsia="en-GB"/>
              </w:rPr>
              <w:t>(17.2)</w:t>
            </w:r>
          </w:p>
        </w:tc>
        <w:tc>
          <w:tcPr>
            <w:tcW w:w="1579" w:type="dxa"/>
            <w:shd w:val="clear" w:color="auto" w:fill="auto"/>
            <w:noWrap/>
            <w:vAlign w:val="bottom"/>
            <w:hideMark/>
          </w:tcPr>
          <w:p w14:paraId="583CF03B" w14:textId="0B734B70" w:rsidR="00A732D8" w:rsidRPr="00D75AA5" w:rsidRDefault="00A732D8" w:rsidP="00A732D8">
            <w:pPr>
              <w:pStyle w:val="NoSpacing"/>
              <w:jc w:val="center"/>
              <w:rPr>
                <w:bCs w:val="0"/>
                <w:lang w:eastAsia="en-GB"/>
              </w:rPr>
            </w:pPr>
            <w:r w:rsidRPr="00D75AA5">
              <w:rPr>
                <w:lang w:eastAsia="en-GB"/>
              </w:rPr>
              <w:t>98/1028</w:t>
            </w:r>
          </w:p>
          <w:p w14:paraId="34D8FE32" w14:textId="77777777" w:rsidR="00A732D8" w:rsidRPr="00D75AA5" w:rsidRDefault="00A732D8" w:rsidP="00A732D8">
            <w:pPr>
              <w:pStyle w:val="NoSpacing"/>
              <w:jc w:val="center"/>
              <w:rPr>
                <w:bCs w:val="0"/>
                <w:lang w:eastAsia="en-GB"/>
              </w:rPr>
            </w:pPr>
            <w:r w:rsidRPr="00D75AA5">
              <w:rPr>
                <w:lang w:eastAsia="en-GB"/>
              </w:rPr>
              <w:t>(9.5)</w:t>
            </w:r>
          </w:p>
        </w:tc>
      </w:tr>
      <w:tr w:rsidR="00A732D8" w:rsidRPr="00D75AA5" w14:paraId="3EEFA592" w14:textId="77777777" w:rsidTr="00A732D8">
        <w:trPr>
          <w:trHeight w:val="312"/>
        </w:trPr>
        <w:tc>
          <w:tcPr>
            <w:tcW w:w="1336" w:type="dxa"/>
            <w:shd w:val="clear" w:color="auto" w:fill="auto"/>
            <w:noWrap/>
            <w:vAlign w:val="bottom"/>
            <w:hideMark/>
          </w:tcPr>
          <w:p w14:paraId="3C2B403C" w14:textId="77777777" w:rsidR="00A732D8" w:rsidRPr="00D75AA5" w:rsidRDefault="00A732D8" w:rsidP="00A732D8">
            <w:pPr>
              <w:pStyle w:val="NoSpacing"/>
              <w:jc w:val="center"/>
              <w:rPr>
                <w:bCs w:val="0"/>
                <w:lang w:eastAsia="en-GB"/>
              </w:rPr>
            </w:pPr>
            <w:r w:rsidRPr="00D75AA5">
              <w:rPr>
                <w:lang w:eastAsia="en-GB"/>
              </w:rPr>
              <w:t>PIV 4</w:t>
            </w:r>
          </w:p>
        </w:tc>
        <w:tc>
          <w:tcPr>
            <w:tcW w:w="1795" w:type="dxa"/>
            <w:shd w:val="clear" w:color="auto" w:fill="auto"/>
            <w:noWrap/>
            <w:vAlign w:val="bottom"/>
            <w:hideMark/>
          </w:tcPr>
          <w:p w14:paraId="624C1F47" w14:textId="6121C700" w:rsidR="00A732D8" w:rsidRPr="00D75AA5" w:rsidRDefault="00A732D8" w:rsidP="00A732D8">
            <w:pPr>
              <w:pStyle w:val="NoSpacing"/>
              <w:jc w:val="center"/>
              <w:rPr>
                <w:bCs w:val="0"/>
                <w:lang w:eastAsia="en-GB"/>
              </w:rPr>
            </w:pPr>
            <w:r w:rsidRPr="00D75AA5">
              <w:rPr>
                <w:lang w:eastAsia="en-GB"/>
              </w:rPr>
              <w:t>48/303</w:t>
            </w:r>
          </w:p>
          <w:p w14:paraId="1D58CCB3" w14:textId="77777777" w:rsidR="00A732D8" w:rsidRPr="00D75AA5" w:rsidRDefault="00A732D8" w:rsidP="00A732D8">
            <w:pPr>
              <w:pStyle w:val="NoSpacing"/>
              <w:jc w:val="center"/>
              <w:rPr>
                <w:bCs w:val="0"/>
                <w:lang w:eastAsia="en-GB"/>
              </w:rPr>
            </w:pPr>
            <w:r w:rsidRPr="00D75AA5">
              <w:rPr>
                <w:lang w:eastAsia="en-GB"/>
              </w:rPr>
              <w:t>(15.8)</w:t>
            </w:r>
          </w:p>
        </w:tc>
        <w:tc>
          <w:tcPr>
            <w:tcW w:w="1795" w:type="dxa"/>
            <w:shd w:val="clear" w:color="auto" w:fill="auto"/>
            <w:noWrap/>
            <w:vAlign w:val="bottom"/>
            <w:hideMark/>
          </w:tcPr>
          <w:p w14:paraId="72B1A3B3" w14:textId="67DC377E" w:rsidR="00A732D8" w:rsidRPr="00D75AA5" w:rsidRDefault="00A732D8" w:rsidP="00A732D8">
            <w:pPr>
              <w:pStyle w:val="NoSpacing"/>
              <w:jc w:val="center"/>
              <w:rPr>
                <w:bCs w:val="0"/>
                <w:lang w:eastAsia="en-GB"/>
              </w:rPr>
            </w:pPr>
            <w:r w:rsidRPr="00D75AA5">
              <w:rPr>
                <w:lang w:eastAsia="en-GB"/>
              </w:rPr>
              <w:t>52/342</w:t>
            </w:r>
          </w:p>
          <w:p w14:paraId="23E1FE78" w14:textId="77777777" w:rsidR="00A732D8" w:rsidRPr="00D75AA5" w:rsidRDefault="00A732D8" w:rsidP="00A732D8">
            <w:pPr>
              <w:pStyle w:val="NoSpacing"/>
              <w:jc w:val="center"/>
              <w:rPr>
                <w:bCs w:val="0"/>
                <w:lang w:eastAsia="en-GB"/>
              </w:rPr>
            </w:pPr>
            <w:r w:rsidRPr="00D75AA5">
              <w:rPr>
                <w:lang w:eastAsia="en-GB"/>
              </w:rPr>
              <w:t>(15.2)</w:t>
            </w:r>
          </w:p>
        </w:tc>
        <w:tc>
          <w:tcPr>
            <w:tcW w:w="1795" w:type="dxa"/>
            <w:shd w:val="clear" w:color="auto" w:fill="auto"/>
            <w:noWrap/>
            <w:vAlign w:val="bottom"/>
            <w:hideMark/>
          </w:tcPr>
          <w:p w14:paraId="2FEBFF90" w14:textId="0649DD94" w:rsidR="00A732D8" w:rsidRPr="00D75AA5" w:rsidRDefault="00A732D8" w:rsidP="00A732D8">
            <w:pPr>
              <w:pStyle w:val="NoSpacing"/>
              <w:jc w:val="center"/>
              <w:rPr>
                <w:bCs w:val="0"/>
                <w:lang w:eastAsia="en-GB"/>
              </w:rPr>
            </w:pPr>
            <w:r w:rsidRPr="00D75AA5">
              <w:rPr>
                <w:lang w:eastAsia="en-GB"/>
              </w:rPr>
              <w:t>63/347</w:t>
            </w:r>
          </w:p>
          <w:p w14:paraId="0BB7F31C" w14:textId="77777777" w:rsidR="00A732D8" w:rsidRPr="00D75AA5" w:rsidRDefault="00A732D8" w:rsidP="00A732D8">
            <w:pPr>
              <w:pStyle w:val="NoSpacing"/>
              <w:jc w:val="center"/>
              <w:rPr>
                <w:bCs w:val="0"/>
                <w:lang w:eastAsia="en-GB"/>
              </w:rPr>
            </w:pPr>
            <w:r w:rsidRPr="00D75AA5">
              <w:rPr>
                <w:lang w:eastAsia="en-GB"/>
              </w:rPr>
              <w:t>(18.2)</w:t>
            </w:r>
          </w:p>
        </w:tc>
        <w:tc>
          <w:tcPr>
            <w:tcW w:w="1579" w:type="dxa"/>
            <w:shd w:val="clear" w:color="auto" w:fill="auto"/>
            <w:noWrap/>
            <w:vAlign w:val="bottom"/>
            <w:hideMark/>
          </w:tcPr>
          <w:p w14:paraId="2AF62AB3" w14:textId="5AC63375" w:rsidR="00A732D8" w:rsidRPr="00D75AA5" w:rsidRDefault="00A732D8" w:rsidP="00A732D8">
            <w:pPr>
              <w:pStyle w:val="NoSpacing"/>
              <w:jc w:val="center"/>
              <w:rPr>
                <w:bCs w:val="0"/>
                <w:lang w:eastAsia="en-GB"/>
              </w:rPr>
            </w:pPr>
            <w:r w:rsidRPr="00D75AA5">
              <w:rPr>
                <w:lang w:eastAsia="en-GB"/>
              </w:rPr>
              <w:t>29/228</w:t>
            </w:r>
          </w:p>
          <w:p w14:paraId="40D0F157" w14:textId="77777777" w:rsidR="00A732D8" w:rsidRPr="00D75AA5" w:rsidRDefault="00A732D8" w:rsidP="00A732D8">
            <w:pPr>
              <w:pStyle w:val="NoSpacing"/>
              <w:jc w:val="center"/>
              <w:rPr>
                <w:bCs w:val="0"/>
                <w:lang w:eastAsia="en-GB"/>
              </w:rPr>
            </w:pPr>
            <w:r w:rsidRPr="00D75AA5">
              <w:rPr>
                <w:lang w:eastAsia="en-GB"/>
              </w:rPr>
              <w:t>(12.7)</w:t>
            </w:r>
          </w:p>
        </w:tc>
      </w:tr>
      <w:tr w:rsidR="00A732D8" w:rsidRPr="00D75AA5" w14:paraId="7EF3D64A" w14:textId="77777777" w:rsidTr="00A732D8">
        <w:trPr>
          <w:trHeight w:val="312"/>
        </w:trPr>
        <w:tc>
          <w:tcPr>
            <w:tcW w:w="1336" w:type="dxa"/>
            <w:shd w:val="clear" w:color="auto" w:fill="auto"/>
            <w:noWrap/>
            <w:vAlign w:val="bottom"/>
            <w:hideMark/>
          </w:tcPr>
          <w:p w14:paraId="0AAFACA2" w14:textId="77777777" w:rsidR="00A732D8" w:rsidRPr="00D75AA5" w:rsidRDefault="00A732D8" w:rsidP="00A732D8">
            <w:pPr>
              <w:pStyle w:val="NoSpacing"/>
              <w:jc w:val="center"/>
              <w:rPr>
                <w:bCs w:val="0"/>
                <w:lang w:eastAsia="en-GB"/>
              </w:rPr>
            </w:pPr>
            <w:r w:rsidRPr="00D75AA5">
              <w:rPr>
                <w:lang w:eastAsia="en-GB"/>
              </w:rPr>
              <w:t>RSV A</w:t>
            </w:r>
          </w:p>
        </w:tc>
        <w:tc>
          <w:tcPr>
            <w:tcW w:w="1795" w:type="dxa"/>
            <w:shd w:val="clear" w:color="auto" w:fill="auto"/>
            <w:noWrap/>
            <w:vAlign w:val="bottom"/>
            <w:hideMark/>
          </w:tcPr>
          <w:p w14:paraId="107E671F" w14:textId="00B0EE4B" w:rsidR="00A732D8" w:rsidRPr="00D75AA5" w:rsidRDefault="00A732D8" w:rsidP="00A732D8">
            <w:pPr>
              <w:pStyle w:val="NoSpacing"/>
              <w:jc w:val="center"/>
              <w:rPr>
                <w:bCs w:val="0"/>
                <w:lang w:eastAsia="en-GB"/>
              </w:rPr>
            </w:pPr>
            <w:r w:rsidRPr="00D75AA5">
              <w:rPr>
                <w:lang w:eastAsia="en-GB"/>
              </w:rPr>
              <w:t>159/1648</w:t>
            </w:r>
          </w:p>
          <w:p w14:paraId="5C46C070" w14:textId="77777777" w:rsidR="00A732D8" w:rsidRPr="00D75AA5" w:rsidRDefault="00A732D8" w:rsidP="00A732D8">
            <w:pPr>
              <w:pStyle w:val="NoSpacing"/>
              <w:jc w:val="center"/>
              <w:rPr>
                <w:bCs w:val="0"/>
                <w:lang w:eastAsia="en-GB"/>
              </w:rPr>
            </w:pPr>
            <w:r w:rsidRPr="00D75AA5">
              <w:rPr>
                <w:lang w:eastAsia="en-GB"/>
              </w:rPr>
              <w:t>(9.4)</w:t>
            </w:r>
          </w:p>
        </w:tc>
        <w:tc>
          <w:tcPr>
            <w:tcW w:w="1795" w:type="dxa"/>
            <w:shd w:val="clear" w:color="auto" w:fill="auto"/>
            <w:noWrap/>
            <w:vAlign w:val="bottom"/>
            <w:hideMark/>
          </w:tcPr>
          <w:p w14:paraId="21518106" w14:textId="1EB25E1C" w:rsidR="00A732D8" w:rsidRPr="00D75AA5" w:rsidRDefault="00A732D8" w:rsidP="00A732D8">
            <w:pPr>
              <w:pStyle w:val="NoSpacing"/>
              <w:jc w:val="center"/>
              <w:rPr>
                <w:bCs w:val="0"/>
                <w:lang w:eastAsia="en-GB"/>
              </w:rPr>
            </w:pPr>
            <w:r w:rsidRPr="00D75AA5">
              <w:rPr>
                <w:lang w:eastAsia="en-GB"/>
              </w:rPr>
              <w:t>66/981</w:t>
            </w:r>
          </w:p>
          <w:p w14:paraId="4ECF9214" w14:textId="77777777" w:rsidR="00A732D8" w:rsidRPr="00D75AA5" w:rsidRDefault="00A732D8" w:rsidP="00A732D8">
            <w:pPr>
              <w:pStyle w:val="NoSpacing"/>
              <w:jc w:val="center"/>
              <w:rPr>
                <w:bCs w:val="0"/>
                <w:lang w:eastAsia="en-GB"/>
              </w:rPr>
            </w:pPr>
            <w:r w:rsidRPr="00D75AA5">
              <w:rPr>
                <w:lang w:eastAsia="en-GB"/>
              </w:rPr>
              <w:t>(6.7)</w:t>
            </w:r>
          </w:p>
        </w:tc>
        <w:tc>
          <w:tcPr>
            <w:tcW w:w="1795" w:type="dxa"/>
            <w:shd w:val="clear" w:color="auto" w:fill="auto"/>
            <w:noWrap/>
            <w:vAlign w:val="bottom"/>
            <w:hideMark/>
          </w:tcPr>
          <w:p w14:paraId="0C23ED60" w14:textId="3BD107C1" w:rsidR="00A732D8" w:rsidRPr="00D75AA5" w:rsidRDefault="00A732D8" w:rsidP="00A732D8">
            <w:pPr>
              <w:pStyle w:val="NoSpacing"/>
              <w:jc w:val="center"/>
              <w:rPr>
                <w:bCs w:val="0"/>
                <w:lang w:eastAsia="en-GB"/>
              </w:rPr>
            </w:pPr>
            <w:r w:rsidRPr="00D75AA5">
              <w:rPr>
                <w:lang w:eastAsia="en-GB"/>
              </w:rPr>
              <w:t>60/680</w:t>
            </w:r>
          </w:p>
          <w:p w14:paraId="595622C3" w14:textId="77777777" w:rsidR="00A732D8" w:rsidRPr="00D75AA5" w:rsidRDefault="00A732D8" w:rsidP="00A732D8">
            <w:pPr>
              <w:pStyle w:val="NoSpacing"/>
              <w:jc w:val="center"/>
              <w:rPr>
                <w:bCs w:val="0"/>
                <w:lang w:eastAsia="en-GB"/>
              </w:rPr>
            </w:pPr>
            <w:r w:rsidRPr="00D75AA5">
              <w:rPr>
                <w:lang w:eastAsia="en-GB"/>
              </w:rPr>
              <w:t>(8.8)</w:t>
            </w:r>
          </w:p>
        </w:tc>
        <w:tc>
          <w:tcPr>
            <w:tcW w:w="1579" w:type="dxa"/>
            <w:shd w:val="clear" w:color="auto" w:fill="auto"/>
            <w:noWrap/>
            <w:vAlign w:val="bottom"/>
            <w:hideMark/>
          </w:tcPr>
          <w:p w14:paraId="58807718" w14:textId="77777777" w:rsidR="00A732D8" w:rsidRPr="00D75AA5" w:rsidRDefault="00A732D8" w:rsidP="00A732D8">
            <w:pPr>
              <w:pStyle w:val="NoSpacing"/>
              <w:jc w:val="center"/>
              <w:rPr>
                <w:bCs w:val="0"/>
                <w:lang w:eastAsia="en-GB"/>
              </w:rPr>
            </w:pPr>
            <w:r w:rsidRPr="00D75AA5">
              <w:rPr>
                <w:lang w:eastAsia="en-GB"/>
              </w:rPr>
              <w:t>146/1302 (11.2)</w:t>
            </w:r>
          </w:p>
        </w:tc>
      </w:tr>
      <w:tr w:rsidR="00A732D8" w:rsidRPr="00D75AA5" w14:paraId="433E81C4" w14:textId="77777777" w:rsidTr="00A732D8">
        <w:trPr>
          <w:trHeight w:val="312"/>
        </w:trPr>
        <w:tc>
          <w:tcPr>
            <w:tcW w:w="1336" w:type="dxa"/>
            <w:shd w:val="clear" w:color="auto" w:fill="auto"/>
            <w:noWrap/>
            <w:vAlign w:val="bottom"/>
            <w:hideMark/>
          </w:tcPr>
          <w:p w14:paraId="6B70D72E" w14:textId="77777777" w:rsidR="00A732D8" w:rsidRPr="00D75AA5" w:rsidRDefault="00A732D8" w:rsidP="00A732D8">
            <w:pPr>
              <w:pStyle w:val="NoSpacing"/>
              <w:jc w:val="center"/>
              <w:rPr>
                <w:bCs w:val="0"/>
                <w:lang w:eastAsia="en-GB"/>
              </w:rPr>
            </w:pPr>
            <w:r w:rsidRPr="00D75AA5">
              <w:rPr>
                <w:lang w:eastAsia="en-GB"/>
              </w:rPr>
              <w:t>RSV B</w:t>
            </w:r>
          </w:p>
        </w:tc>
        <w:tc>
          <w:tcPr>
            <w:tcW w:w="1795" w:type="dxa"/>
            <w:shd w:val="clear" w:color="auto" w:fill="auto"/>
            <w:noWrap/>
            <w:vAlign w:val="bottom"/>
            <w:hideMark/>
          </w:tcPr>
          <w:p w14:paraId="62FBFB1E" w14:textId="5D234334" w:rsidR="00A732D8" w:rsidRPr="00D75AA5" w:rsidRDefault="00A732D8" w:rsidP="00A732D8">
            <w:pPr>
              <w:pStyle w:val="NoSpacing"/>
              <w:jc w:val="center"/>
              <w:rPr>
                <w:bCs w:val="0"/>
                <w:lang w:eastAsia="en-GB"/>
              </w:rPr>
            </w:pPr>
            <w:r w:rsidRPr="00D75AA5">
              <w:rPr>
                <w:lang w:eastAsia="en-GB"/>
              </w:rPr>
              <w:t>115/1175</w:t>
            </w:r>
          </w:p>
          <w:p w14:paraId="77DD8E07" w14:textId="77777777" w:rsidR="00A732D8" w:rsidRPr="00D75AA5" w:rsidRDefault="00A732D8" w:rsidP="00A732D8">
            <w:pPr>
              <w:pStyle w:val="NoSpacing"/>
              <w:jc w:val="center"/>
              <w:rPr>
                <w:bCs w:val="0"/>
                <w:lang w:eastAsia="en-GB"/>
              </w:rPr>
            </w:pPr>
            <w:r w:rsidRPr="00D75AA5">
              <w:rPr>
                <w:lang w:eastAsia="en-GB"/>
              </w:rPr>
              <w:t>(9.8)</w:t>
            </w:r>
          </w:p>
        </w:tc>
        <w:tc>
          <w:tcPr>
            <w:tcW w:w="1795" w:type="dxa"/>
            <w:shd w:val="clear" w:color="auto" w:fill="auto"/>
            <w:noWrap/>
            <w:vAlign w:val="bottom"/>
            <w:hideMark/>
          </w:tcPr>
          <w:p w14:paraId="099EA479" w14:textId="2CD5FA02" w:rsidR="00A732D8" w:rsidRPr="00D75AA5" w:rsidRDefault="00A732D8" w:rsidP="00A732D8">
            <w:pPr>
              <w:pStyle w:val="NoSpacing"/>
              <w:jc w:val="center"/>
              <w:rPr>
                <w:bCs w:val="0"/>
                <w:lang w:eastAsia="en-GB"/>
              </w:rPr>
            </w:pPr>
            <w:r w:rsidRPr="00D75AA5">
              <w:rPr>
                <w:lang w:eastAsia="en-GB"/>
              </w:rPr>
              <w:t>99/1391</w:t>
            </w:r>
          </w:p>
          <w:p w14:paraId="2618683C" w14:textId="77777777" w:rsidR="00A732D8" w:rsidRPr="00D75AA5" w:rsidRDefault="00A732D8" w:rsidP="00A732D8">
            <w:pPr>
              <w:pStyle w:val="NoSpacing"/>
              <w:jc w:val="center"/>
              <w:rPr>
                <w:bCs w:val="0"/>
                <w:lang w:eastAsia="en-GB"/>
              </w:rPr>
            </w:pPr>
            <w:r w:rsidRPr="00D75AA5">
              <w:rPr>
                <w:lang w:eastAsia="en-GB"/>
              </w:rPr>
              <w:t>(7.1)</w:t>
            </w:r>
          </w:p>
        </w:tc>
        <w:tc>
          <w:tcPr>
            <w:tcW w:w="1795" w:type="dxa"/>
            <w:shd w:val="clear" w:color="auto" w:fill="auto"/>
            <w:noWrap/>
            <w:vAlign w:val="bottom"/>
            <w:hideMark/>
          </w:tcPr>
          <w:p w14:paraId="11639B12" w14:textId="27E4E995" w:rsidR="00A732D8" w:rsidRPr="00D75AA5" w:rsidRDefault="00A732D8" w:rsidP="00A732D8">
            <w:pPr>
              <w:pStyle w:val="NoSpacing"/>
              <w:jc w:val="center"/>
              <w:rPr>
                <w:bCs w:val="0"/>
                <w:lang w:eastAsia="en-GB"/>
              </w:rPr>
            </w:pPr>
            <w:r w:rsidRPr="00D75AA5">
              <w:rPr>
                <w:lang w:eastAsia="en-GB"/>
              </w:rPr>
              <w:t>211/2192</w:t>
            </w:r>
          </w:p>
          <w:p w14:paraId="3540A9C7" w14:textId="77777777" w:rsidR="00A732D8" w:rsidRPr="00D75AA5" w:rsidRDefault="00A732D8" w:rsidP="00A732D8">
            <w:pPr>
              <w:pStyle w:val="NoSpacing"/>
              <w:jc w:val="center"/>
              <w:rPr>
                <w:bCs w:val="0"/>
                <w:lang w:eastAsia="en-GB"/>
              </w:rPr>
            </w:pPr>
            <w:r w:rsidRPr="00D75AA5">
              <w:rPr>
                <w:lang w:eastAsia="en-GB"/>
              </w:rPr>
              <w:t>(9.6)</w:t>
            </w:r>
          </w:p>
        </w:tc>
        <w:tc>
          <w:tcPr>
            <w:tcW w:w="1579" w:type="dxa"/>
            <w:shd w:val="clear" w:color="auto" w:fill="auto"/>
            <w:noWrap/>
            <w:vAlign w:val="bottom"/>
            <w:hideMark/>
          </w:tcPr>
          <w:p w14:paraId="0CBDFF87" w14:textId="13E1BE37" w:rsidR="00A732D8" w:rsidRPr="00D75AA5" w:rsidRDefault="00A732D8" w:rsidP="00A732D8">
            <w:pPr>
              <w:pStyle w:val="NoSpacing"/>
              <w:jc w:val="center"/>
              <w:rPr>
                <w:bCs w:val="0"/>
                <w:lang w:eastAsia="en-GB"/>
              </w:rPr>
            </w:pPr>
            <w:r w:rsidRPr="00D75AA5">
              <w:rPr>
                <w:lang w:eastAsia="en-GB"/>
              </w:rPr>
              <w:t>91/1252</w:t>
            </w:r>
          </w:p>
          <w:p w14:paraId="7000956A" w14:textId="77777777" w:rsidR="00A732D8" w:rsidRPr="00D75AA5" w:rsidRDefault="00A732D8" w:rsidP="00A732D8">
            <w:pPr>
              <w:pStyle w:val="NoSpacing"/>
              <w:jc w:val="center"/>
              <w:rPr>
                <w:bCs w:val="0"/>
                <w:lang w:eastAsia="en-GB"/>
              </w:rPr>
            </w:pPr>
            <w:r w:rsidRPr="00D75AA5">
              <w:rPr>
                <w:lang w:eastAsia="en-GB"/>
              </w:rPr>
              <w:t>(7.3)</w:t>
            </w:r>
          </w:p>
        </w:tc>
      </w:tr>
      <w:tr w:rsidR="00A732D8" w:rsidRPr="00D75AA5" w14:paraId="1EDFAFBD" w14:textId="77777777" w:rsidTr="00A732D8">
        <w:trPr>
          <w:trHeight w:val="312"/>
        </w:trPr>
        <w:tc>
          <w:tcPr>
            <w:tcW w:w="1336" w:type="dxa"/>
            <w:shd w:val="clear" w:color="auto" w:fill="auto"/>
            <w:noWrap/>
            <w:vAlign w:val="bottom"/>
            <w:hideMark/>
          </w:tcPr>
          <w:p w14:paraId="5005057B" w14:textId="77777777" w:rsidR="00A732D8" w:rsidRPr="00D75AA5" w:rsidRDefault="00A732D8" w:rsidP="00A732D8">
            <w:pPr>
              <w:pStyle w:val="NoSpacing"/>
              <w:jc w:val="center"/>
              <w:rPr>
                <w:bCs w:val="0"/>
                <w:lang w:eastAsia="en-GB"/>
              </w:rPr>
            </w:pPr>
            <w:r w:rsidRPr="00D75AA5">
              <w:rPr>
                <w:lang w:eastAsia="en-GB"/>
              </w:rPr>
              <w:t>HMPV</w:t>
            </w:r>
          </w:p>
        </w:tc>
        <w:tc>
          <w:tcPr>
            <w:tcW w:w="1795" w:type="dxa"/>
            <w:shd w:val="clear" w:color="auto" w:fill="auto"/>
            <w:noWrap/>
            <w:vAlign w:val="bottom"/>
            <w:hideMark/>
          </w:tcPr>
          <w:p w14:paraId="6BB0323F" w14:textId="564B0996" w:rsidR="00A732D8" w:rsidRPr="00D75AA5" w:rsidRDefault="00A732D8" w:rsidP="00A732D8">
            <w:pPr>
              <w:pStyle w:val="NoSpacing"/>
              <w:jc w:val="center"/>
              <w:rPr>
                <w:bCs w:val="0"/>
                <w:lang w:eastAsia="en-GB"/>
              </w:rPr>
            </w:pPr>
            <w:r w:rsidRPr="00D75AA5">
              <w:rPr>
                <w:lang w:eastAsia="en-GB"/>
              </w:rPr>
              <w:t>65/1271</w:t>
            </w:r>
          </w:p>
          <w:p w14:paraId="618490AC" w14:textId="77777777" w:rsidR="00A732D8" w:rsidRPr="00D75AA5" w:rsidRDefault="00A732D8" w:rsidP="00A732D8">
            <w:pPr>
              <w:pStyle w:val="NoSpacing"/>
              <w:jc w:val="center"/>
              <w:rPr>
                <w:bCs w:val="0"/>
                <w:lang w:eastAsia="en-GB"/>
              </w:rPr>
            </w:pPr>
            <w:r w:rsidRPr="00D75AA5">
              <w:rPr>
                <w:lang w:eastAsia="en-GB"/>
              </w:rPr>
              <w:t>(5.1)</w:t>
            </w:r>
          </w:p>
        </w:tc>
        <w:tc>
          <w:tcPr>
            <w:tcW w:w="1795" w:type="dxa"/>
            <w:shd w:val="clear" w:color="auto" w:fill="auto"/>
            <w:noWrap/>
            <w:vAlign w:val="bottom"/>
            <w:hideMark/>
          </w:tcPr>
          <w:p w14:paraId="35AF0501" w14:textId="77777777" w:rsidR="00A732D8" w:rsidRPr="00D75AA5" w:rsidRDefault="00A732D8" w:rsidP="00A732D8">
            <w:pPr>
              <w:pStyle w:val="NoSpacing"/>
              <w:jc w:val="center"/>
              <w:rPr>
                <w:bCs w:val="0"/>
                <w:lang w:eastAsia="en-GB"/>
              </w:rPr>
            </w:pPr>
            <w:r w:rsidRPr="00D75AA5">
              <w:rPr>
                <w:lang w:eastAsia="en-GB"/>
              </w:rPr>
              <w:t>183/1281</w:t>
            </w:r>
          </w:p>
          <w:p w14:paraId="165FCE22" w14:textId="17BBB5E2" w:rsidR="00A732D8" w:rsidRPr="00D75AA5" w:rsidRDefault="00A732D8" w:rsidP="00A732D8">
            <w:pPr>
              <w:pStyle w:val="NoSpacing"/>
              <w:jc w:val="center"/>
              <w:rPr>
                <w:bCs w:val="0"/>
                <w:lang w:eastAsia="en-GB"/>
              </w:rPr>
            </w:pPr>
            <w:r w:rsidRPr="00D75AA5">
              <w:rPr>
                <w:lang w:eastAsia="en-GB"/>
              </w:rPr>
              <w:t>(14.3)</w:t>
            </w:r>
          </w:p>
        </w:tc>
        <w:tc>
          <w:tcPr>
            <w:tcW w:w="1795" w:type="dxa"/>
            <w:shd w:val="clear" w:color="auto" w:fill="auto"/>
            <w:noWrap/>
            <w:vAlign w:val="bottom"/>
            <w:hideMark/>
          </w:tcPr>
          <w:p w14:paraId="7473AEDD" w14:textId="173D5248" w:rsidR="00A732D8" w:rsidRPr="00D75AA5" w:rsidRDefault="00A732D8" w:rsidP="00A732D8">
            <w:pPr>
              <w:pStyle w:val="NoSpacing"/>
              <w:jc w:val="center"/>
              <w:rPr>
                <w:bCs w:val="0"/>
                <w:lang w:eastAsia="en-GB"/>
              </w:rPr>
            </w:pPr>
            <w:r w:rsidRPr="00D75AA5">
              <w:rPr>
                <w:lang w:eastAsia="en-GB"/>
              </w:rPr>
              <w:t>140/1772</w:t>
            </w:r>
          </w:p>
          <w:p w14:paraId="15083D30" w14:textId="77777777" w:rsidR="00A732D8" w:rsidRPr="00D75AA5" w:rsidRDefault="00A732D8" w:rsidP="00A732D8">
            <w:pPr>
              <w:pStyle w:val="NoSpacing"/>
              <w:jc w:val="center"/>
              <w:rPr>
                <w:bCs w:val="0"/>
                <w:lang w:eastAsia="en-GB"/>
              </w:rPr>
            </w:pPr>
            <w:r w:rsidRPr="00D75AA5">
              <w:rPr>
                <w:lang w:eastAsia="en-GB"/>
              </w:rPr>
              <w:t>(7.9)</w:t>
            </w:r>
          </w:p>
        </w:tc>
        <w:tc>
          <w:tcPr>
            <w:tcW w:w="1579" w:type="dxa"/>
            <w:shd w:val="clear" w:color="auto" w:fill="auto"/>
            <w:noWrap/>
            <w:vAlign w:val="bottom"/>
            <w:hideMark/>
          </w:tcPr>
          <w:p w14:paraId="7820194D" w14:textId="268A49F5" w:rsidR="00A732D8" w:rsidRPr="00D75AA5" w:rsidRDefault="00A732D8" w:rsidP="00A732D8">
            <w:pPr>
              <w:pStyle w:val="NoSpacing"/>
              <w:jc w:val="center"/>
              <w:rPr>
                <w:bCs w:val="0"/>
                <w:lang w:eastAsia="en-GB"/>
              </w:rPr>
            </w:pPr>
            <w:r w:rsidRPr="00D75AA5">
              <w:rPr>
                <w:lang w:eastAsia="en-GB"/>
              </w:rPr>
              <w:t>80/1104</w:t>
            </w:r>
          </w:p>
          <w:p w14:paraId="02778807" w14:textId="77777777" w:rsidR="00A732D8" w:rsidRPr="00D75AA5" w:rsidRDefault="00A732D8" w:rsidP="00A732D8">
            <w:pPr>
              <w:pStyle w:val="NoSpacing"/>
              <w:jc w:val="center"/>
              <w:rPr>
                <w:bCs w:val="0"/>
                <w:lang w:eastAsia="en-GB"/>
              </w:rPr>
            </w:pPr>
            <w:r w:rsidRPr="00D75AA5">
              <w:rPr>
                <w:lang w:eastAsia="en-GB"/>
              </w:rPr>
              <w:t>(7.2)</w:t>
            </w:r>
          </w:p>
        </w:tc>
      </w:tr>
      <w:tr w:rsidR="00A732D8" w:rsidRPr="00D75AA5" w14:paraId="4D039858" w14:textId="77777777" w:rsidTr="00A732D8">
        <w:trPr>
          <w:trHeight w:val="312"/>
        </w:trPr>
        <w:tc>
          <w:tcPr>
            <w:tcW w:w="1336" w:type="dxa"/>
            <w:shd w:val="clear" w:color="auto" w:fill="auto"/>
            <w:noWrap/>
            <w:vAlign w:val="bottom"/>
            <w:hideMark/>
          </w:tcPr>
          <w:p w14:paraId="06659B9D" w14:textId="77777777" w:rsidR="00A732D8" w:rsidRPr="00D75AA5" w:rsidRDefault="00A732D8" w:rsidP="00A732D8">
            <w:pPr>
              <w:pStyle w:val="NoSpacing"/>
              <w:jc w:val="center"/>
              <w:rPr>
                <w:bCs w:val="0"/>
                <w:lang w:eastAsia="en-GB"/>
              </w:rPr>
            </w:pPr>
            <w:r w:rsidRPr="00D75AA5">
              <w:rPr>
                <w:lang w:eastAsia="en-GB"/>
              </w:rPr>
              <w:t>Adenovirus</w:t>
            </w:r>
          </w:p>
        </w:tc>
        <w:tc>
          <w:tcPr>
            <w:tcW w:w="1795" w:type="dxa"/>
            <w:shd w:val="clear" w:color="auto" w:fill="auto"/>
            <w:noWrap/>
            <w:vAlign w:val="bottom"/>
            <w:hideMark/>
          </w:tcPr>
          <w:p w14:paraId="030F811F" w14:textId="2243FF84" w:rsidR="00A732D8" w:rsidRPr="00D75AA5" w:rsidRDefault="00A732D8" w:rsidP="00A732D8">
            <w:pPr>
              <w:pStyle w:val="NoSpacing"/>
              <w:jc w:val="center"/>
              <w:rPr>
                <w:bCs w:val="0"/>
                <w:lang w:eastAsia="en-GB"/>
              </w:rPr>
            </w:pPr>
            <w:r w:rsidRPr="00D75AA5">
              <w:rPr>
                <w:lang w:eastAsia="en-GB"/>
              </w:rPr>
              <w:t>85/340</w:t>
            </w:r>
          </w:p>
          <w:p w14:paraId="04D946C0" w14:textId="77777777" w:rsidR="00A732D8" w:rsidRPr="00D75AA5" w:rsidRDefault="00A732D8" w:rsidP="00A732D8">
            <w:pPr>
              <w:pStyle w:val="NoSpacing"/>
              <w:jc w:val="center"/>
              <w:rPr>
                <w:bCs w:val="0"/>
                <w:lang w:eastAsia="en-GB"/>
              </w:rPr>
            </w:pPr>
            <w:r w:rsidRPr="00D75AA5">
              <w:rPr>
                <w:lang w:eastAsia="en-GB"/>
              </w:rPr>
              <w:t>(25)</w:t>
            </w:r>
          </w:p>
        </w:tc>
        <w:tc>
          <w:tcPr>
            <w:tcW w:w="1795" w:type="dxa"/>
            <w:shd w:val="clear" w:color="auto" w:fill="auto"/>
            <w:noWrap/>
            <w:vAlign w:val="bottom"/>
            <w:hideMark/>
          </w:tcPr>
          <w:p w14:paraId="1E7BE7FB" w14:textId="25AE37AE" w:rsidR="00A732D8" w:rsidRPr="00D75AA5" w:rsidRDefault="00A732D8" w:rsidP="00A732D8">
            <w:pPr>
              <w:pStyle w:val="NoSpacing"/>
              <w:jc w:val="center"/>
              <w:rPr>
                <w:bCs w:val="0"/>
                <w:lang w:eastAsia="en-GB"/>
              </w:rPr>
            </w:pPr>
            <w:r w:rsidRPr="00D75AA5">
              <w:rPr>
                <w:lang w:eastAsia="en-GB"/>
              </w:rPr>
              <w:t>148/487</w:t>
            </w:r>
          </w:p>
          <w:p w14:paraId="127F4372" w14:textId="77777777" w:rsidR="00A732D8" w:rsidRPr="00D75AA5" w:rsidRDefault="00A732D8" w:rsidP="00A732D8">
            <w:pPr>
              <w:pStyle w:val="NoSpacing"/>
              <w:jc w:val="center"/>
              <w:rPr>
                <w:bCs w:val="0"/>
                <w:lang w:eastAsia="en-GB"/>
              </w:rPr>
            </w:pPr>
            <w:r w:rsidRPr="00D75AA5">
              <w:rPr>
                <w:lang w:eastAsia="en-GB"/>
              </w:rPr>
              <w:t>(30.4)</w:t>
            </w:r>
          </w:p>
        </w:tc>
        <w:tc>
          <w:tcPr>
            <w:tcW w:w="1795" w:type="dxa"/>
            <w:shd w:val="clear" w:color="auto" w:fill="auto"/>
            <w:noWrap/>
            <w:vAlign w:val="bottom"/>
            <w:hideMark/>
          </w:tcPr>
          <w:p w14:paraId="374B2AA5" w14:textId="279AE80D" w:rsidR="00A732D8" w:rsidRPr="00D75AA5" w:rsidRDefault="00A732D8" w:rsidP="00A732D8">
            <w:pPr>
              <w:pStyle w:val="NoSpacing"/>
              <w:jc w:val="center"/>
              <w:rPr>
                <w:bCs w:val="0"/>
                <w:lang w:eastAsia="en-GB"/>
              </w:rPr>
            </w:pPr>
            <w:r w:rsidRPr="00D75AA5">
              <w:rPr>
                <w:lang w:eastAsia="en-GB"/>
              </w:rPr>
              <w:t>194/636</w:t>
            </w:r>
          </w:p>
          <w:p w14:paraId="59AFBCF1" w14:textId="77777777" w:rsidR="00A732D8" w:rsidRPr="00D75AA5" w:rsidRDefault="00A732D8" w:rsidP="00A732D8">
            <w:pPr>
              <w:pStyle w:val="NoSpacing"/>
              <w:jc w:val="center"/>
              <w:rPr>
                <w:bCs w:val="0"/>
                <w:lang w:eastAsia="en-GB"/>
              </w:rPr>
            </w:pPr>
            <w:r w:rsidRPr="00D75AA5">
              <w:rPr>
                <w:lang w:eastAsia="en-GB"/>
              </w:rPr>
              <w:t>(30.5)</w:t>
            </w:r>
          </w:p>
        </w:tc>
        <w:tc>
          <w:tcPr>
            <w:tcW w:w="1579" w:type="dxa"/>
            <w:shd w:val="clear" w:color="auto" w:fill="auto"/>
            <w:noWrap/>
            <w:vAlign w:val="bottom"/>
            <w:hideMark/>
          </w:tcPr>
          <w:p w14:paraId="45F0462A" w14:textId="77777777" w:rsidR="00A732D8" w:rsidRPr="00D75AA5" w:rsidRDefault="00A732D8" w:rsidP="00A732D8">
            <w:pPr>
              <w:pStyle w:val="NoSpacing"/>
              <w:jc w:val="center"/>
              <w:rPr>
                <w:bCs w:val="0"/>
                <w:lang w:eastAsia="en-GB"/>
              </w:rPr>
            </w:pPr>
            <w:r w:rsidRPr="00D75AA5">
              <w:rPr>
                <w:lang w:eastAsia="en-GB"/>
              </w:rPr>
              <w:t>197/640 (30.8)</w:t>
            </w:r>
          </w:p>
        </w:tc>
      </w:tr>
    </w:tbl>
    <w:p w14:paraId="1DF8440F" w14:textId="77777777" w:rsidR="00A732D8" w:rsidRPr="00D75AA5" w:rsidRDefault="00A732D8" w:rsidP="00A732D8">
      <w:pPr>
        <w:pStyle w:val="NoSpacing"/>
        <w:rPr>
          <w:lang w:val="en-CA"/>
        </w:rPr>
      </w:pPr>
      <w:r w:rsidRPr="00D75AA5">
        <w:rPr>
          <w:lang w:val="en-CA"/>
        </w:rPr>
        <w:t xml:space="preserve">Abbreviations: ERV – enterovirus/rhinovirus; </w:t>
      </w:r>
      <w:proofErr w:type="spellStart"/>
      <w:r w:rsidRPr="00D75AA5">
        <w:rPr>
          <w:lang w:val="en-CA"/>
        </w:rPr>
        <w:t>hCoV</w:t>
      </w:r>
      <w:proofErr w:type="spellEnd"/>
      <w:r w:rsidRPr="00D75AA5">
        <w:rPr>
          <w:lang w:val="en-CA"/>
        </w:rPr>
        <w:t xml:space="preserve"> – human coronavirus (non-SARS-</w:t>
      </w:r>
      <w:proofErr w:type="spellStart"/>
      <w:r w:rsidRPr="00D75AA5">
        <w:rPr>
          <w:lang w:val="en-CA"/>
        </w:rPr>
        <w:t>CoV</w:t>
      </w:r>
      <w:proofErr w:type="spellEnd"/>
      <w:r w:rsidRPr="00D75AA5">
        <w:rPr>
          <w:lang w:val="en-CA"/>
        </w:rPr>
        <w:t>); HMPV – human metapneumovirus; PIV – parainfluenza virus; RSV – respiratory syncytial virus.</w:t>
      </w:r>
    </w:p>
    <w:p w14:paraId="5857AFFD" w14:textId="77777777" w:rsidR="00A732D8" w:rsidRPr="00D75AA5" w:rsidRDefault="00A732D8" w:rsidP="00A732D8">
      <w:pPr>
        <w:pStyle w:val="NoSpacing"/>
        <w:rPr>
          <w:lang w:val="en-CA"/>
        </w:rPr>
      </w:pPr>
      <w:proofErr w:type="spellStart"/>
      <w:r w:rsidRPr="00D75AA5">
        <w:rPr>
          <w:vertAlign w:val="superscript"/>
          <w:lang w:val="en-CA"/>
        </w:rPr>
        <w:t>a</w:t>
      </w:r>
      <w:r w:rsidRPr="00D75AA5">
        <w:rPr>
          <w:lang w:val="en-CA"/>
        </w:rPr>
        <w:t>Denominators</w:t>
      </w:r>
      <w:proofErr w:type="spellEnd"/>
      <w:r w:rsidRPr="00D75AA5">
        <w:rPr>
          <w:lang w:val="en-CA"/>
        </w:rPr>
        <w:t xml:space="preserve"> in each cell indicate total number of specimens testing positive for the given virus in that year, with the numerator indicating the number of tests where ERV was found as a co-infecting virus.</w:t>
      </w:r>
    </w:p>
    <w:p w14:paraId="3707741F" w14:textId="77777777" w:rsidR="00A732D8" w:rsidRPr="00D75AA5" w:rsidRDefault="00A732D8" w:rsidP="00A732D8">
      <w:pPr>
        <w:pStyle w:val="NoSpacing"/>
        <w:rPr>
          <w:lang w:val="en-CA"/>
        </w:rPr>
      </w:pPr>
      <w:proofErr w:type="spellStart"/>
      <w:r w:rsidRPr="00D75AA5">
        <w:rPr>
          <w:vertAlign w:val="superscript"/>
          <w:lang w:val="en-CA"/>
        </w:rPr>
        <w:t>b</w:t>
      </w:r>
      <w:r w:rsidRPr="00D75AA5">
        <w:rPr>
          <w:lang w:val="en-CA"/>
        </w:rPr>
        <w:t>In</w:t>
      </w:r>
      <w:proofErr w:type="spellEnd"/>
      <w:r w:rsidRPr="00D75AA5">
        <w:rPr>
          <w:lang w:val="en-CA"/>
        </w:rPr>
        <w:t xml:space="preserve"> 2017, the laboratory changed mid-way from using the Respiratory Viral Panel (Luminex Corporation) to using the </w:t>
      </w:r>
      <w:proofErr w:type="spellStart"/>
      <w:r w:rsidRPr="00D75AA5">
        <w:rPr>
          <w:lang w:val="en-CA"/>
        </w:rPr>
        <w:t>NxTAG</w:t>
      </w:r>
      <w:proofErr w:type="spellEnd"/>
      <w:r w:rsidRPr="00D75AA5">
        <w:rPr>
          <w:lang w:val="en-CA"/>
        </w:rPr>
        <w:t xml:space="preserve"> Respiratory Pathogen Panel (Luminex Corporation).</w:t>
      </w:r>
    </w:p>
    <w:p w14:paraId="33FEA2BA" w14:textId="57F078EE" w:rsidR="00A732D8" w:rsidRDefault="00A732D8" w:rsidP="00A732D8">
      <w:pPr>
        <w:pStyle w:val="NoSpacing"/>
        <w:rPr>
          <w:vertAlign w:val="superscript"/>
          <w:lang w:val="en-CA"/>
        </w:rPr>
      </w:pPr>
    </w:p>
    <w:p w14:paraId="3F5C290A" w14:textId="4D9F31A9" w:rsidR="005D6B98" w:rsidRDefault="005D6B98">
      <w:pPr>
        <w:rPr>
          <w:vertAlign w:val="superscript"/>
          <w:lang w:val="en-CA"/>
        </w:rPr>
      </w:pPr>
      <w:r>
        <w:rPr>
          <w:vertAlign w:val="superscript"/>
          <w:lang w:val="en-CA"/>
        </w:rPr>
        <w:br w:type="page"/>
      </w:r>
    </w:p>
    <w:p w14:paraId="55FF54CC" w14:textId="2D58A0A1" w:rsidR="00153FEE" w:rsidRDefault="00153FEE" w:rsidP="00153FEE">
      <w:pPr>
        <w:pStyle w:val="NoSpacing"/>
        <w:spacing w:line="480" w:lineRule="auto"/>
        <w:rPr>
          <w:lang w:val="en-CA"/>
        </w:rPr>
      </w:pPr>
    </w:p>
    <w:p w14:paraId="3C171E39" w14:textId="5DEF5376" w:rsidR="00153FEE" w:rsidRDefault="00153FEE">
      <w:pPr>
        <w:rPr>
          <w:lang w:val="en-CA"/>
        </w:rPr>
      </w:pPr>
      <w:r>
        <w:rPr>
          <w:lang w:val="en-CA"/>
        </w:rPr>
        <w:br w:type="page"/>
      </w:r>
    </w:p>
    <w:p w14:paraId="4161BF24" w14:textId="1C828AA5" w:rsidR="00153FEE" w:rsidRPr="00153FEE" w:rsidRDefault="00153FEE" w:rsidP="00153FEE">
      <w:pPr>
        <w:pStyle w:val="NoSpacing"/>
        <w:spacing w:line="480" w:lineRule="auto"/>
        <w:rPr>
          <w:b/>
          <w:bCs w:val="0"/>
          <w:lang w:val="en-CA"/>
        </w:rPr>
      </w:pPr>
      <w:r>
        <w:rPr>
          <w:b/>
          <w:bCs w:val="0"/>
          <w:lang w:val="en-CA"/>
        </w:rPr>
        <w:lastRenderedPageBreak/>
        <w:t>Supplementary Material References</w:t>
      </w:r>
    </w:p>
    <w:p w14:paraId="318838DE" w14:textId="77777777" w:rsidR="006975DC" w:rsidRPr="006975DC" w:rsidRDefault="00153FEE" w:rsidP="006975DC">
      <w:pPr>
        <w:pStyle w:val="EndNoteBibliography"/>
      </w:pPr>
      <w:r>
        <w:rPr>
          <w:lang w:val="en-CA"/>
        </w:rPr>
        <w:fldChar w:fldCharType="begin"/>
      </w:r>
      <w:r>
        <w:rPr>
          <w:lang w:val="en-CA"/>
        </w:rPr>
        <w:instrText xml:space="preserve"> ADDIN EN.REFLIST </w:instrText>
      </w:r>
      <w:r>
        <w:rPr>
          <w:lang w:val="en-CA"/>
        </w:rPr>
        <w:fldChar w:fldCharType="separate"/>
      </w:r>
      <w:r w:rsidR="006975DC" w:rsidRPr="006975DC">
        <w:rPr>
          <w:b/>
        </w:rPr>
        <w:t>1.</w:t>
      </w:r>
      <w:r w:rsidR="006975DC" w:rsidRPr="006975DC">
        <w:tab/>
        <w:t xml:space="preserve">Chow EJ, Mermel LA. Hospital-Acquired Respiratory Viral Infections: Incidence, Morbidity, and Mortality in Pediatric and Adult Patients. </w:t>
      </w:r>
      <w:r w:rsidR="006975DC" w:rsidRPr="006975DC">
        <w:rPr>
          <w:i/>
        </w:rPr>
        <w:t xml:space="preserve">Open forum infectious diseases </w:t>
      </w:r>
      <w:r w:rsidR="006975DC" w:rsidRPr="006975DC">
        <w:t>2017;4:ofx006-ofx006.</w:t>
      </w:r>
    </w:p>
    <w:p w14:paraId="7DA40934" w14:textId="625879BA" w:rsidR="00BE0865" w:rsidRPr="0002604E" w:rsidRDefault="00153FEE" w:rsidP="0002604E">
      <w:pPr>
        <w:pStyle w:val="NoSpacing"/>
        <w:spacing w:line="480" w:lineRule="auto"/>
        <w:ind w:firstLine="720"/>
        <w:rPr>
          <w:lang w:val="en-CA"/>
        </w:rPr>
      </w:pPr>
      <w:r>
        <w:rPr>
          <w:lang w:val="en-CA"/>
        </w:rPr>
        <w:fldChar w:fldCharType="end"/>
      </w:r>
    </w:p>
    <w:sectPr w:rsidR="00BE0865" w:rsidRPr="0002604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6B6F" w14:textId="77777777" w:rsidR="00EB395A" w:rsidRDefault="00EB395A" w:rsidP="0002604E">
      <w:pPr>
        <w:spacing w:after="0" w:line="240" w:lineRule="auto"/>
      </w:pPr>
      <w:r>
        <w:separator/>
      </w:r>
    </w:p>
  </w:endnote>
  <w:endnote w:type="continuationSeparator" w:id="0">
    <w:p w14:paraId="7143C576" w14:textId="77777777" w:rsidR="00EB395A" w:rsidRDefault="00EB395A" w:rsidP="0002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21257"/>
      <w:docPartObj>
        <w:docPartGallery w:val="Page Numbers (Bottom of Page)"/>
        <w:docPartUnique/>
      </w:docPartObj>
    </w:sdtPr>
    <w:sdtEndPr/>
    <w:sdtContent>
      <w:sdt>
        <w:sdtPr>
          <w:id w:val="-1769616900"/>
          <w:docPartObj>
            <w:docPartGallery w:val="Page Numbers (Top of Page)"/>
            <w:docPartUnique/>
          </w:docPartObj>
        </w:sdtPr>
        <w:sdtEndPr/>
        <w:sdtContent>
          <w:p w14:paraId="3A4201C2" w14:textId="6B896779" w:rsidR="0002604E" w:rsidRDefault="0002604E">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Pr>
                <w:b/>
                <w:noProof/>
              </w:rPr>
              <w:t>2</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Pr>
                <w:b/>
                <w:noProof/>
              </w:rPr>
              <w:t>2</w:t>
            </w:r>
            <w:r>
              <w:rPr>
                <w:b/>
                <w:bCs w:val="0"/>
                <w:szCs w:val="24"/>
              </w:rPr>
              <w:fldChar w:fldCharType="end"/>
            </w:r>
          </w:p>
        </w:sdtContent>
      </w:sdt>
    </w:sdtContent>
  </w:sdt>
  <w:p w14:paraId="150966AA" w14:textId="77777777" w:rsidR="0002604E" w:rsidRDefault="0002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2A7B" w14:textId="77777777" w:rsidR="00EB395A" w:rsidRDefault="00EB395A" w:rsidP="0002604E">
      <w:pPr>
        <w:spacing w:after="0" w:line="240" w:lineRule="auto"/>
      </w:pPr>
      <w:r>
        <w:separator/>
      </w:r>
    </w:p>
  </w:footnote>
  <w:footnote w:type="continuationSeparator" w:id="0">
    <w:p w14:paraId="11EACA5A" w14:textId="77777777" w:rsidR="00EB395A" w:rsidRDefault="00EB395A" w:rsidP="00026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619AA"/>
    <w:multiLevelType w:val="hybridMultilevel"/>
    <w:tmpl w:val="D3502138"/>
    <w:lvl w:ilvl="0" w:tplc="B4AA6C52">
      <w:start w:val="1"/>
      <w:numFmt w:val="decimal"/>
      <w:lvlText w:val="%1."/>
      <w:lvlJc w:val="left"/>
      <w:pPr>
        <w:ind w:left="786" w:hanging="360"/>
      </w:pPr>
      <w:rPr>
        <w:b w:val="0"/>
        <w:bCs/>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CH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5xv2x2fd92ase5pzgpx2pu09p5fvverfwd&quot;&gt;Resp Coinfections 2021&lt;record-ids&gt;&lt;item&gt;44&lt;/item&gt;&lt;/record-ids&gt;&lt;/item&gt;&lt;/Libraries&gt;"/>
  </w:docVars>
  <w:rsids>
    <w:rsidRoot w:val="00BE0865"/>
    <w:rsid w:val="0002604E"/>
    <w:rsid w:val="000618CA"/>
    <w:rsid w:val="00072E85"/>
    <w:rsid w:val="00086471"/>
    <w:rsid w:val="0008658F"/>
    <w:rsid w:val="000F1A3F"/>
    <w:rsid w:val="000F3748"/>
    <w:rsid w:val="001213E5"/>
    <w:rsid w:val="00153FEE"/>
    <w:rsid w:val="00155BFA"/>
    <w:rsid w:val="0018173C"/>
    <w:rsid w:val="00181E3E"/>
    <w:rsid w:val="00263215"/>
    <w:rsid w:val="00273A75"/>
    <w:rsid w:val="00282D07"/>
    <w:rsid w:val="002B3C28"/>
    <w:rsid w:val="002C0A9D"/>
    <w:rsid w:val="00330C22"/>
    <w:rsid w:val="00347410"/>
    <w:rsid w:val="003873E7"/>
    <w:rsid w:val="004B3A3D"/>
    <w:rsid w:val="00586DAB"/>
    <w:rsid w:val="005D6B98"/>
    <w:rsid w:val="00623738"/>
    <w:rsid w:val="00652BA6"/>
    <w:rsid w:val="00681C9C"/>
    <w:rsid w:val="006975DC"/>
    <w:rsid w:val="006C7182"/>
    <w:rsid w:val="006F6899"/>
    <w:rsid w:val="007301A3"/>
    <w:rsid w:val="00744EDC"/>
    <w:rsid w:val="007555A8"/>
    <w:rsid w:val="007D6704"/>
    <w:rsid w:val="007D67E3"/>
    <w:rsid w:val="007E3310"/>
    <w:rsid w:val="007E4B8C"/>
    <w:rsid w:val="007F51AA"/>
    <w:rsid w:val="008332DA"/>
    <w:rsid w:val="00882E83"/>
    <w:rsid w:val="00885145"/>
    <w:rsid w:val="00893C38"/>
    <w:rsid w:val="00913A25"/>
    <w:rsid w:val="009506E3"/>
    <w:rsid w:val="00955F9E"/>
    <w:rsid w:val="0098223C"/>
    <w:rsid w:val="009D0AF4"/>
    <w:rsid w:val="00A50169"/>
    <w:rsid w:val="00A732D8"/>
    <w:rsid w:val="00A8469B"/>
    <w:rsid w:val="00B30CC1"/>
    <w:rsid w:val="00B77440"/>
    <w:rsid w:val="00B918CB"/>
    <w:rsid w:val="00BE0865"/>
    <w:rsid w:val="00C46BAE"/>
    <w:rsid w:val="00CB1A8F"/>
    <w:rsid w:val="00CC0EF4"/>
    <w:rsid w:val="00D64228"/>
    <w:rsid w:val="00DB0A97"/>
    <w:rsid w:val="00E0614A"/>
    <w:rsid w:val="00E216C2"/>
    <w:rsid w:val="00EB395A"/>
    <w:rsid w:val="00F4370F"/>
    <w:rsid w:val="00F72639"/>
    <w:rsid w:val="00FA0AEF"/>
    <w:rsid w:val="00FE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DE8DF"/>
  <w15:chartTrackingRefBased/>
  <w15:docId w15:val="{54699355-F563-429D-B325-DEE9984C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865"/>
    <w:pPr>
      <w:spacing w:after="0" w:line="240" w:lineRule="auto"/>
    </w:pPr>
  </w:style>
  <w:style w:type="character" w:customStyle="1" w:styleId="NoSpacingChar">
    <w:name w:val="No Spacing Char"/>
    <w:basedOn w:val="DefaultParagraphFont"/>
    <w:link w:val="NoSpacing"/>
    <w:uiPriority w:val="1"/>
    <w:rsid w:val="00BE0865"/>
  </w:style>
  <w:style w:type="paragraph" w:styleId="Header">
    <w:name w:val="header"/>
    <w:basedOn w:val="Normal"/>
    <w:link w:val="HeaderChar"/>
    <w:uiPriority w:val="99"/>
    <w:unhideWhenUsed/>
    <w:rsid w:val="00026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4E"/>
  </w:style>
  <w:style w:type="paragraph" w:styleId="Footer">
    <w:name w:val="footer"/>
    <w:basedOn w:val="Normal"/>
    <w:link w:val="FooterChar"/>
    <w:uiPriority w:val="99"/>
    <w:unhideWhenUsed/>
    <w:rsid w:val="00026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4E"/>
  </w:style>
  <w:style w:type="paragraph" w:customStyle="1" w:styleId="EndNoteBibliographyTitle">
    <w:name w:val="EndNote Bibliography Title"/>
    <w:basedOn w:val="Normal"/>
    <w:link w:val="EndNoteBibliographyTitleChar"/>
    <w:rsid w:val="00153FEE"/>
    <w:pPr>
      <w:spacing w:after="0"/>
      <w:jc w:val="center"/>
    </w:pPr>
    <w:rPr>
      <w:rFonts w:cs="Times New Roman"/>
      <w:noProof/>
      <w:lang w:val="en-US"/>
    </w:rPr>
  </w:style>
  <w:style w:type="character" w:customStyle="1" w:styleId="EndNoteBibliographyTitleChar">
    <w:name w:val="EndNote Bibliography Title Char"/>
    <w:basedOn w:val="NoSpacingChar"/>
    <w:link w:val="EndNoteBibliographyTitle"/>
    <w:rsid w:val="00153FEE"/>
    <w:rPr>
      <w:rFonts w:cs="Times New Roman"/>
      <w:noProof/>
      <w:lang w:val="en-US"/>
    </w:rPr>
  </w:style>
  <w:style w:type="paragraph" w:customStyle="1" w:styleId="EndNoteBibliography">
    <w:name w:val="EndNote Bibliography"/>
    <w:basedOn w:val="Normal"/>
    <w:link w:val="EndNoteBibliographyChar"/>
    <w:rsid w:val="00153FEE"/>
    <w:pPr>
      <w:spacing w:line="240" w:lineRule="auto"/>
    </w:pPr>
    <w:rPr>
      <w:rFonts w:cs="Times New Roman"/>
      <w:noProof/>
      <w:lang w:val="en-US"/>
    </w:rPr>
  </w:style>
  <w:style w:type="character" w:customStyle="1" w:styleId="EndNoteBibliographyChar">
    <w:name w:val="EndNote Bibliography Char"/>
    <w:basedOn w:val="NoSpacingChar"/>
    <w:link w:val="EndNoteBibliography"/>
    <w:rsid w:val="00153FEE"/>
    <w:rPr>
      <w:rFonts w:cs="Times New Roman"/>
      <w:noProof/>
      <w:lang w:val="en-US"/>
    </w:rPr>
  </w:style>
  <w:style w:type="paragraph" w:styleId="ListParagraph">
    <w:name w:val="List Paragraph"/>
    <w:basedOn w:val="Normal"/>
    <w:uiPriority w:val="34"/>
    <w:qFormat/>
    <w:rsid w:val="00681C9C"/>
    <w:pPr>
      <w:ind w:left="720"/>
      <w:contextualSpacing/>
    </w:pPr>
  </w:style>
  <w:style w:type="character" w:styleId="CommentReference">
    <w:name w:val="annotation reference"/>
    <w:basedOn w:val="DefaultParagraphFont"/>
    <w:uiPriority w:val="99"/>
    <w:semiHidden/>
    <w:unhideWhenUsed/>
    <w:rsid w:val="007E4B8C"/>
    <w:rPr>
      <w:sz w:val="16"/>
      <w:szCs w:val="16"/>
    </w:rPr>
  </w:style>
  <w:style w:type="paragraph" w:styleId="CommentText">
    <w:name w:val="annotation text"/>
    <w:basedOn w:val="Normal"/>
    <w:link w:val="CommentTextChar"/>
    <w:uiPriority w:val="99"/>
    <w:semiHidden/>
    <w:unhideWhenUsed/>
    <w:rsid w:val="007E4B8C"/>
    <w:pPr>
      <w:spacing w:line="240" w:lineRule="auto"/>
    </w:pPr>
    <w:rPr>
      <w:sz w:val="20"/>
      <w:szCs w:val="20"/>
    </w:rPr>
  </w:style>
  <w:style w:type="character" w:customStyle="1" w:styleId="CommentTextChar">
    <w:name w:val="Comment Text Char"/>
    <w:basedOn w:val="DefaultParagraphFont"/>
    <w:link w:val="CommentText"/>
    <w:uiPriority w:val="99"/>
    <w:semiHidden/>
    <w:rsid w:val="007E4B8C"/>
    <w:rPr>
      <w:sz w:val="20"/>
      <w:szCs w:val="20"/>
    </w:rPr>
  </w:style>
  <w:style w:type="table" w:styleId="TableGrid">
    <w:name w:val="Table Grid"/>
    <w:basedOn w:val="TableNormal"/>
    <w:uiPriority w:val="39"/>
    <w:rsid w:val="005D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Jamil's PC</dc:creator>
  <cp:keywords/>
  <dc:description/>
  <cp:lastModifiedBy>Jamil's PC</cp:lastModifiedBy>
  <cp:revision>20</cp:revision>
  <dcterms:created xsi:type="dcterms:W3CDTF">2021-10-31T17:14:00Z</dcterms:created>
  <dcterms:modified xsi:type="dcterms:W3CDTF">2021-11-11T05:18:00Z</dcterms:modified>
</cp:coreProperties>
</file>