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CBE2D" w14:textId="77777777" w:rsidR="00DE2152" w:rsidRDefault="00DE2152" w:rsidP="00DE2152">
      <w:pPr>
        <w:ind w:left="-720"/>
        <w:rPr>
          <w:b/>
          <w:bCs/>
        </w:rPr>
      </w:pPr>
      <w:r>
        <w:rPr>
          <w:b/>
          <w:bCs/>
        </w:rPr>
        <w:t>Supplemental material</w:t>
      </w:r>
    </w:p>
    <w:p w14:paraId="4F18B3D7" w14:textId="77777777" w:rsidR="00DE2152" w:rsidRDefault="00DE2152" w:rsidP="00DE2152">
      <w:pPr>
        <w:ind w:left="-720"/>
      </w:pPr>
      <w:r w:rsidRPr="00AD7141">
        <w:t xml:space="preserve">Supplemental Tables 1-4 are based on a hypothetical, quasi-experimental implementation-effectiveness trial </w:t>
      </w:r>
      <w:r>
        <w:t xml:space="preserve">across </w:t>
      </w:r>
      <w:r w:rsidRPr="00AD7141">
        <w:t xml:space="preserve">a network of </w:t>
      </w:r>
      <w:r>
        <w:t xml:space="preserve">10 </w:t>
      </w:r>
      <w:r w:rsidRPr="00AD7141">
        <w:t>Emergency Departments (EDs)</w:t>
      </w:r>
      <w:r>
        <w:t>. The primary goal of the trial is to</w:t>
      </w:r>
      <w:r w:rsidRPr="00AD7141">
        <w:t xml:space="preserve"> reduc</w:t>
      </w:r>
      <w:r>
        <w:t>e</w:t>
      </w:r>
      <w:r w:rsidRPr="00AD7141">
        <w:t xml:space="preserve"> antibiotic-prescribing for viral acute respiratory tract infections (ARIs). </w:t>
      </w:r>
    </w:p>
    <w:p w14:paraId="01B823BD" w14:textId="77777777" w:rsidR="00DE2152" w:rsidRPr="00AD7141" w:rsidRDefault="00DE2152" w:rsidP="00DE2152">
      <w:pPr>
        <w:pStyle w:val="ListParagraph"/>
        <w:numPr>
          <w:ilvl w:val="0"/>
          <w:numId w:val="3"/>
        </w:numPr>
      </w:pPr>
      <w:r>
        <w:rPr>
          <w:rFonts w:cstheme="minorHAnsi"/>
        </w:rPr>
        <w:t>T</w:t>
      </w:r>
      <w:r w:rsidRPr="00AD7141">
        <w:rPr>
          <w:rFonts w:cstheme="minorHAnsi"/>
        </w:rPr>
        <w:t>he evidence-based practice being implemented is withholding antibiotics for ARIs that are likely viral in etiology</w:t>
      </w:r>
      <w:r>
        <w:rPr>
          <w:rFonts w:cstheme="minorHAnsi"/>
        </w:rPr>
        <w:t xml:space="preserve"> (i.e. uncomplicated ARIs such as acute bronchitis in the absence of chronic lung disease, upper respiratory tract infections, and nasopharyngitis).</w:t>
      </w:r>
    </w:p>
    <w:p w14:paraId="103FBAF7" w14:textId="77777777" w:rsidR="00DE2152" w:rsidRPr="00AD7141" w:rsidRDefault="00DE2152" w:rsidP="00DE2152">
      <w:pPr>
        <w:pStyle w:val="ListParagraph"/>
        <w:numPr>
          <w:ilvl w:val="0"/>
          <w:numId w:val="3"/>
        </w:numPr>
      </w:pPr>
      <w:r>
        <w:rPr>
          <w:rFonts w:cstheme="minorHAnsi"/>
        </w:rPr>
        <w:t>In this hypothetical example, t</w:t>
      </w:r>
      <w:r w:rsidRPr="00AD7141">
        <w:rPr>
          <w:rFonts w:cstheme="minorHAnsi"/>
        </w:rPr>
        <w:t xml:space="preserve">he implementation strategies </w:t>
      </w:r>
      <w:r>
        <w:rPr>
          <w:rFonts w:cstheme="minorHAnsi"/>
        </w:rPr>
        <w:t>being used are 1)</w:t>
      </w:r>
      <w:r w:rsidRPr="00AD7141">
        <w:rPr>
          <w:rFonts w:cstheme="minorHAnsi"/>
        </w:rPr>
        <w:t xml:space="preserve"> audit-and-feedback </w:t>
      </w:r>
      <w:r>
        <w:rPr>
          <w:rFonts w:cstheme="minorHAnsi"/>
        </w:rPr>
        <w:t xml:space="preserve">of how frequently ED clinicians prescribe antibiotics for viral ARIs </w:t>
      </w:r>
      <w:r w:rsidRPr="00AD7141">
        <w:rPr>
          <w:rFonts w:cstheme="minorHAnsi"/>
        </w:rPr>
        <w:t xml:space="preserve">and </w:t>
      </w:r>
      <w:r>
        <w:rPr>
          <w:rFonts w:cstheme="minorHAnsi"/>
        </w:rPr>
        <w:t xml:space="preserve">2) </w:t>
      </w:r>
      <w:r w:rsidRPr="00AD7141">
        <w:rPr>
          <w:rFonts w:cstheme="minorHAnsi"/>
        </w:rPr>
        <w:t xml:space="preserve">obtaining formal letters of a </w:t>
      </w:r>
      <w:r>
        <w:rPr>
          <w:rFonts w:cstheme="minorHAnsi"/>
        </w:rPr>
        <w:t>clinician</w:t>
      </w:r>
      <w:r w:rsidRPr="00AD7141">
        <w:rPr>
          <w:rFonts w:cstheme="minorHAnsi"/>
        </w:rPr>
        <w:t>’s commitment to judiciously prescribe antibiotics</w:t>
      </w:r>
      <w:r>
        <w:rPr>
          <w:rFonts w:cstheme="minorHAnsi"/>
        </w:rPr>
        <w:t xml:space="preserve"> for ARIs</w:t>
      </w:r>
      <w:r w:rsidRPr="00AD7141">
        <w:rPr>
          <w:rFonts w:cstheme="minorHAnsi"/>
        </w:rPr>
        <w:t>.</w:t>
      </w:r>
      <w:r>
        <w:rPr>
          <w:rFonts w:cstheme="minorHAnsi"/>
        </w:rPr>
        <w:t xml:space="preserve"> Though not described, other important strategies to include would be 1) local champions and 2) education of both clinicians and patients on optimal antibiotic use.</w:t>
      </w:r>
    </w:p>
    <w:p w14:paraId="77F45D23" w14:textId="77777777" w:rsidR="00DE2152" w:rsidRPr="00B54157" w:rsidRDefault="00DE2152" w:rsidP="00DE2152">
      <w:pPr>
        <w:pStyle w:val="ListParagraph"/>
        <w:numPr>
          <w:ilvl w:val="0"/>
          <w:numId w:val="3"/>
        </w:numPr>
      </w:pPr>
      <w:r w:rsidRPr="25E91E0A">
        <w:t xml:space="preserve">The primary </w:t>
      </w:r>
      <w:r>
        <w:t xml:space="preserve">clinical </w:t>
      </w:r>
      <w:r w:rsidRPr="25E91E0A">
        <w:t xml:space="preserve">effectiveness outcome of this trial would be the percentage of patients visits for uncomplicated ARIs that resulted in an antibiotic prescription. Secondary outcomes will be </w:t>
      </w:r>
      <w:r>
        <w:t xml:space="preserve">total antibiotic prescriptions per 1,000 patient-visits and several 30-day outcomes: return ED visits, hospital admissions, and </w:t>
      </w:r>
      <w:r w:rsidRPr="25E91E0A">
        <w:rPr>
          <w:i/>
          <w:iCs/>
        </w:rPr>
        <w:t>C. difficile</w:t>
      </w:r>
      <w:r>
        <w:t xml:space="preserve"> infections.</w:t>
      </w:r>
    </w:p>
    <w:p w14:paraId="74A5FC86" w14:textId="77777777" w:rsidR="00DE2152" w:rsidRPr="00AD7141" w:rsidRDefault="00DE2152" w:rsidP="00DE2152">
      <w:pPr>
        <w:pStyle w:val="ListParagraph"/>
        <w:numPr>
          <w:ilvl w:val="0"/>
          <w:numId w:val="3"/>
        </w:numPr>
      </w:pPr>
      <w:r w:rsidRPr="00AD7141">
        <w:rPr>
          <w:rFonts w:cstheme="minorHAnsi"/>
        </w:rPr>
        <w:t>Implementation outcomes that could be measured are shown in Supplemental Table 1</w:t>
      </w:r>
      <w:r>
        <w:rPr>
          <w:rFonts w:cstheme="minorHAnsi"/>
        </w:rPr>
        <w:t xml:space="preserve"> (see “Implementation outcome affected”)</w:t>
      </w:r>
      <w:r w:rsidRPr="00AD7141">
        <w:rPr>
          <w:rFonts w:cstheme="minorHAnsi"/>
        </w:rPr>
        <w:t>.</w:t>
      </w:r>
    </w:p>
    <w:p w14:paraId="1ED5A7C7" w14:textId="77777777" w:rsidR="00DE2152" w:rsidRPr="00AD7141" w:rsidRDefault="00DE2152" w:rsidP="00DE2152">
      <w:pPr>
        <w:pStyle w:val="ListParagraph"/>
        <w:numPr>
          <w:ilvl w:val="0"/>
          <w:numId w:val="3"/>
        </w:numPr>
      </w:pPr>
      <w:r w:rsidRPr="00AD7141">
        <w:rPr>
          <w:rFonts w:cstheme="minorHAnsi"/>
        </w:rPr>
        <w:t>Supplemental Tables 2-4 show how this implementation-effectiveness trial could be conceptualized within each type of implementation science framework (i.e. process, determinant, and evaluation).</w:t>
      </w:r>
    </w:p>
    <w:p w14:paraId="059243F4" w14:textId="77777777" w:rsidR="00DE2152" w:rsidRDefault="00DE2152" w:rsidP="00DE2152">
      <w:pPr>
        <w:ind w:left="-720"/>
        <w:rPr>
          <w:b/>
          <w:bCs/>
        </w:rPr>
        <w:sectPr w:rsidR="00DE2152" w:rsidSect="00B235F2">
          <w:foot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45A621" w14:textId="77777777" w:rsidR="00DE2152" w:rsidRPr="005815D5" w:rsidRDefault="00DE2152" w:rsidP="00DE2152">
      <w:pPr>
        <w:ind w:left="-720"/>
        <w:rPr>
          <w:b/>
          <w:bCs/>
        </w:rPr>
      </w:pPr>
      <w:r>
        <w:rPr>
          <w:b/>
          <w:bCs/>
        </w:rPr>
        <w:lastRenderedPageBreak/>
        <w:t>Supplemental Table 1</w:t>
      </w:r>
      <w:r w:rsidRPr="005815D5">
        <w:rPr>
          <w:b/>
          <w:bCs/>
        </w:rPr>
        <w:t xml:space="preserve">. Requirements for measuring </w:t>
      </w:r>
      <w:r>
        <w:rPr>
          <w:b/>
          <w:bCs/>
        </w:rPr>
        <w:t xml:space="preserve">and reporting </w:t>
      </w:r>
      <w:r w:rsidRPr="005815D5">
        <w:rPr>
          <w:b/>
          <w:bCs/>
        </w:rPr>
        <w:t>implementation strategies</w:t>
      </w:r>
      <w:r>
        <w:rPr>
          <w:b/>
          <w:bCs/>
        </w:rPr>
        <w:t xml:space="preserve"> </w:t>
      </w:r>
    </w:p>
    <w:tbl>
      <w:tblPr>
        <w:tblStyle w:val="TableGrid"/>
        <w:tblW w:w="10705" w:type="dxa"/>
        <w:tblInd w:w="-680" w:type="dxa"/>
        <w:tblLook w:val="04A0" w:firstRow="1" w:lastRow="0" w:firstColumn="1" w:lastColumn="0" w:noHBand="0" w:noVBand="1"/>
      </w:tblPr>
      <w:tblGrid>
        <w:gridCol w:w="1525"/>
        <w:gridCol w:w="2050"/>
        <w:gridCol w:w="3350"/>
        <w:gridCol w:w="3780"/>
      </w:tblGrid>
      <w:tr w:rsidR="00DE2152" w14:paraId="65D30306" w14:textId="77777777" w:rsidTr="005C599D">
        <w:tc>
          <w:tcPr>
            <w:tcW w:w="1525" w:type="dxa"/>
            <w:vMerge w:val="restart"/>
            <w:shd w:val="clear" w:color="auto" w:fill="BFBFBF" w:themeFill="background1" w:themeFillShade="BF"/>
          </w:tcPr>
          <w:p w14:paraId="26032C90" w14:textId="77777777" w:rsidR="00DE2152" w:rsidRPr="00C9756E" w:rsidRDefault="00DE2152" w:rsidP="005C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C9756E">
              <w:rPr>
                <w:b/>
                <w:bCs/>
                <w:sz w:val="18"/>
                <w:szCs w:val="18"/>
              </w:rPr>
              <w:t>Aspects of the implementation strategy</w:t>
            </w:r>
          </w:p>
        </w:tc>
        <w:tc>
          <w:tcPr>
            <w:tcW w:w="2050" w:type="dxa"/>
            <w:vMerge w:val="restart"/>
            <w:shd w:val="clear" w:color="auto" w:fill="BFBFBF" w:themeFill="background1" w:themeFillShade="BF"/>
          </w:tcPr>
          <w:p w14:paraId="62D14B5B" w14:textId="77777777" w:rsidR="00DE2152" w:rsidRDefault="00DE2152" w:rsidP="005C59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244C0FF" w14:textId="77777777" w:rsidR="00DE2152" w:rsidRPr="00C9756E" w:rsidRDefault="00DE2152" w:rsidP="005C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C9756E">
              <w:rPr>
                <w:b/>
                <w:bCs/>
                <w:sz w:val="18"/>
                <w:szCs w:val="18"/>
              </w:rPr>
              <w:t>Description of reporting requirements</w:t>
            </w:r>
          </w:p>
        </w:tc>
        <w:tc>
          <w:tcPr>
            <w:tcW w:w="7130" w:type="dxa"/>
            <w:gridSpan w:val="2"/>
            <w:shd w:val="clear" w:color="auto" w:fill="BFBFBF" w:themeFill="background1" w:themeFillShade="BF"/>
          </w:tcPr>
          <w:p w14:paraId="72ACAF6E" w14:textId="77777777" w:rsidR="00DE2152" w:rsidRPr="00C9756E" w:rsidRDefault="00DE2152" w:rsidP="005C59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Description of a hypothetical, quasi-experimental implementation-effectiveness trial in a network of Emergency Departments (EDs) with the goal of reducing antibiotic-prescribing for viral acute respiratory tract infections (ARIs)</w:t>
            </w:r>
          </w:p>
        </w:tc>
      </w:tr>
      <w:tr w:rsidR="00DE2152" w14:paraId="461EB71F" w14:textId="77777777" w:rsidTr="005C599D">
        <w:tc>
          <w:tcPr>
            <w:tcW w:w="1525" w:type="dxa"/>
            <w:vMerge/>
          </w:tcPr>
          <w:p w14:paraId="6B27E4F4" w14:textId="77777777" w:rsidR="00DE2152" w:rsidRPr="00C9756E" w:rsidRDefault="00DE2152" w:rsidP="005C59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vMerge/>
          </w:tcPr>
          <w:p w14:paraId="7487546E" w14:textId="77777777" w:rsidR="00DE2152" w:rsidRPr="00C9756E" w:rsidRDefault="00DE2152" w:rsidP="005C59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0" w:type="dxa"/>
            <w:shd w:val="clear" w:color="auto" w:fill="BFBFBF" w:themeFill="background1" w:themeFillShade="BF"/>
          </w:tcPr>
          <w:p w14:paraId="06BF0077" w14:textId="77777777" w:rsidR="00DE2152" w:rsidRPr="00C9756E" w:rsidRDefault="00DE2152" w:rsidP="005C59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Implementation strategy</w:t>
            </w:r>
            <w:r w:rsidRPr="00C9756E">
              <w:rPr>
                <w:b/>
                <w:bCs/>
                <w:sz w:val="18"/>
                <w:szCs w:val="18"/>
              </w:rPr>
              <w:t xml:space="preserve"> #1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14:paraId="68819C7C" w14:textId="77777777" w:rsidR="00DE2152" w:rsidRDefault="00DE2152" w:rsidP="005C59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Implementation strategy #2</w:t>
            </w:r>
          </w:p>
          <w:p w14:paraId="4F5D3748" w14:textId="77777777" w:rsidR="00DE2152" w:rsidRPr="00C9756E" w:rsidRDefault="00DE2152" w:rsidP="005C59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E2152" w14:paraId="256A92F4" w14:textId="77777777" w:rsidTr="005C599D">
        <w:tc>
          <w:tcPr>
            <w:tcW w:w="1525" w:type="dxa"/>
          </w:tcPr>
          <w:p w14:paraId="236404AB" w14:textId="77777777" w:rsidR="00DE2152" w:rsidRPr="00C9756E" w:rsidRDefault="00DE2152" w:rsidP="005C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C9756E">
              <w:rPr>
                <w:b/>
                <w:bCs/>
                <w:sz w:val="18"/>
                <w:szCs w:val="18"/>
              </w:rPr>
              <w:t>Name and definition</w:t>
            </w:r>
          </w:p>
        </w:tc>
        <w:tc>
          <w:tcPr>
            <w:tcW w:w="2050" w:type="dxa"/>
          </w:tcPr>
          <w:p w14:paraId="4F13D6E2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  <w:r w:rsidRPr="00C9756E">
              <w:rPr>
                <w:sz w:val="18"/>
                <w:szCs w:val="18"/>
              </w:rPr>
              <w:t>Name the strategy using common nomenclature.</w:t>
            </w:r>
          </w:p>
        </w:tc>
        <w:tc>
          <w:tcPr>
            <w:tcW w:w="3350" w:type="dxa"/>
          </w:tcPr>
          <w:p w14:paraId="47276FDF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  <w:r w:rsidRPr="00C9756E">
              <w:rPr>
                <w:sz w:val="18"/>
                <w:szCs w:val="18"/>
              </w:rPr>
              <w:t>Audit-and-feedback</w:t>
            </w:r>
          </w:p>
        </w:tc>
        <w:tc>
          <w:tcPr>
            <w:tcW w:w="3780" w:type="dxa"/>
          </w:tcPr>
          <w:p w14:paraId="4EFB9AB3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Obtain formal commitments</w:t>
            </w:r>
          </w:p>
        </w:tc>
      </w:tr>
      <w:tr w:rsidR="00DE2152" w14:paraId="30F950D8" w14:textId="77777777" w:rsidTr="005C599D">
        <w:tc>
          <w:tcPr>
            <w:tcW w:w="1525" w:type="dxa"/>
          </w:tcPr>
          <w:p w14:paraId="049470E3" w14:textId="77777777" w:rsidR="00DE2152" w:rsidRDefault="00DE2152" w:rsidP="005C59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DBB6A90" w14:textId="77777777" w:rsidR="00DE2152" w:rsidRPr="00C9756E" w:rsidRDefault="00DE2152" w:rsidP="005C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C9756E">
              <w:rPr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2050" w:type="dxa"/>
          </w:tcPr>
          <w:p w14:paraId="29F3F5B3" w14:textId="77777777" w:rsidR="00DE2152" w:rsidRDefault="00DE2152" w:rsidP="005C599D">
            <w:pPr>
              <w:jc w:val="center"/>
              <w:rPr>
                <w:sz w:val="18"/>
                <w:szCs w:val="18"/>
              </w:rPr>
            </w:pPr>
          </w:p>
          <w:p w14:paraId="0F259046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  <w:r w:rsidRPr="00C9756E">
              <w:rPr>
                <w:sz w:val="18"/>
                <w:szCs w:val="18"/>
              </w:rPr>
              <w:t>Define the strategy and describe its operational elements.</w:t>
            </w:r>
          </w:p>
        </w:tc>
        <w:tc>
          <w:tcPr>
            <w:tcW w:w="3350" w:type="dxa"/>
          </w:tcPr>
          <w:p w14:paraId="2F1C8268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  <w:r w:rsidRPr="00C9756E">
              <w:rPr>
                <w:sz w:val="18"/>
                <w:szCs w:val="18"/>
              </w:rPr>
              <w:t xml:space="preserve">Based on established methodology, the project team will calculate an ARI metric for </w:t>
            </w:r>
            <w:r>
              <w:rPr>
                <w:sz w:val="18"/>
                <w:szCs w:val="18"/>
              </w:rPr>
              <w:t>each ED</w:t>
            </w:r>
            <w:r w:rsidRPr="00C9756E">
              <w:rPr>
                <w:sz w:val="18"/>
                <w:szCs w:val="18"/>
              </w:rPr>
              <w:t xml:space="preserve"> clinician.</w:t>
            </w:r>
            <w:r>
              <w:rPr>
                <w:sz w:val="18"/>
                <w:szCs w:val="18"/>
                <w:vertAlign w:val="superscript"/>
              </w:rPr>
              <w:t>1</w:t>
            </w:r>
            <w:r w:rsidRPr="00C9756E">
              <w:rPr>
                <w:sz w:val="18"/>
                <w:szCs w:val="18"/>
              </w:rPr>
              <w:t xml:space="preserve"> Each clinician will be shown </w:t>
            </w:r>
            <w:r>
              <w:rPr>
                <w:sz w:val="18"/>
                <w:szCs w:val="18"/>
              </w:rPr>
              <w:t xml:space="preserve">his/her </w:t>
            </w:r>
            <w:r w:rsidRPr="00C9756E">
              <w:rPr>
                <w:sz w:val="18"/>
                <w:szCs w:val="18"/>
              </w:rPr>
              <w:t>performance on the</w:t>
            </w:r>
            <w:r>
              <w:rPr>
                <w:sz w:val="18"/>
                <w:szCs w:val="18"/>
              </w:rPr>
              <w:t xml:space="preserve"> ARI</w:t>
            </w:r>
            <w:r w:rsidRPr="00C9756E">
              <w:rPr>
                <w:sz w:val="18"/>
                <w:szCs w:val="18"/>
              </w:rPr>
              <w:t xml:space="preserve"> metric in comparison to </w:t>
            </w:r>
            <w:r>
              <w:rPr>
                <w:sz w:val="18"/>
                <w:szCs w:val="18"/>
              </w:rPr>
              <w:t xml:space="preserve">local </w:t>
            </w:r>
            <w:r w:rsidRPr="00C9756E">
              <w:rPr>
                <w:sz w:val="18"/>
                <w:szCs w:val="18"/>
              </w:rPr>
              <w:t>peers.</w:t>
            </w:r>
          </w:p>
        </w:tc>
        <w:tc>
          <w:tcPr>
            <w:tcW w:w="3780" w:type="dxa"/>
          </w:tcPr>
          <w:p w14:paraId="73C3935D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  <w:r w:rsidRPr="25E91E0A">
              <w:rPr>
                <w:sz w:val="18"/>
                <w:szCs w:val="18"/>
              </w:rPr>
              <w:t>Each ED clinician will be asked to sign a commitment letter written at the eighth-grade reading level. The text will be consistent with prior published work.</w:t>
            </w:r>
            <w:r w:rsidRPr="25E91E0A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DE2152" w14:paraId="340BCD32" w14:textId="77777777" w:rsidTr="005C599D">
        <w:tc>
          <w:tcPr>
            <w:tcW w:w="1525" w:type="dxa"/>
          </w:tcPr>
          <w:p w14:paraId="679F4442" w14:textId="77777777" w:rsidR="00DE2152" w:rsidRDefault="00DE2152" w:rsidP="005C59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40A975A" w14:textId="77777777" w:rsidR="00DE2152" w:rsidRPr="00C9756E" w:rsidRDefault="00DE2152" w:rsidP="005C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C9756E">
              <w:rPr>
                <w:b/>
                <w:bCs/>
                <w:sz w:val="18"/>
                <w:szCs w:val="18"/>
              </w:rPr>
              <w:t>Justification</w:t>
            </w:r>
          </w:p>
        </w:tc>
        <w:tc>
          <w:tcPr>
            <w:tcW w:w="2050" w:type="dxa"/>
          </w:tcPr>
          <w:p w14:paraId="055D4FCF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  <w:r w:rsidRPr="00C9756E">
              <w:rPr>
                <w:sz w:val="18"/>
                <w:szCs w:val="18"/>
              </w:rPr>
              <w:t>Why was the specific implementation strategy chosen?</w:t>
            </w:r>
          </w:p>
        </w:tc>
        <w:tc>
          <w:tcPr>
            <w:tcW w:w="3350" w:type="dxa"/>
          </w:tcPr>
          <w:p w14:paraId="67CB7231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group opinion is a strong predictor of an ED clinician’s decision to prescribe antibiotics, and personalized feedback to clinicians can be helpful.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80" w:type="dxa"/>
          </w:tcPr>
          <w:p w14:paraId="02E8B246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clinicians who have committed publicly to judicious antibiotic-prescribing may be less likely to give antibiotics for viral ARI.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DE2152" w14:paraId="0DEA1988" w14:textId="77777777" w:rsidTr="005C599D">
        <w:tc>
          <w:tcPr>
            <w:tcW w:w="1525" w:type="dxa"/>
          </w:tcPr>
          <w:p w14:paraId="43CBBF9F" w14:textId="77777777" w:rsidR="00DE2152" w:rsidRDefault="00DE2152" w:rsidP="005C59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A831A0A" w14:textId="77777777" w:rsidR="00DE2152" w:rsidRPr="00C9756E" w:rsidRDefault="00DE2152" w:rsidP="005C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C9756E">
              <w:rPr>
                <w:b/>
                <w:bCs/>
                <w:sz w:val="18"/>
                <w:szCs w:val="18"/>
              </w:rPr>
              <w:t>The actor</w:t>
            </w:r>
          </w:p>
        </w:tc>
        <w:tc>
          <w:tcPr>
            <w:tcW w:w="2050" w:type="dxa"/>
          </w:tcPr>
          <w:p w14:paraId="128AE553" w14:textId="77777777" w:rsidR="00DE2152" w:rsidRDefault="00DE2152" w:rsidP="005C599D">
            <w:pPr>
              <w:jc w:val="center"/>
              <w:rPr>
                <w:sz w:val="18"/>
                <w:szCs w:val="18"/>
              </w:rPr>
            </w:pPr>
          </w:p>
          <w:p w14:paraId="758C6602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  <w:r w:rsidRPr="00C9756E">
              <w:rPr>
                <w:sz w:val="18"/>
                <w:szCs w:val="18"/>
              </w:rPr>
              <w:t>Who enacts the strategy?</w:t>
            </w:r>
          </w:p>
        </w:tc>
        <w:tc>
          <w:tcPr>
            <w:tcW w:w="3350" w:type="dxa"/>
          </w:tcPr>
          <w:p w14:paraId="26325829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  <w:r w:rsidRPr="00C9756E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project coordinator</w:t>
            </w:r>
            <w:r w:rsidRPr="00C9756E">
              <w:rPr>
                <w:sz w:val="18"/>
                <w:szCs w:val="18"/>
              </w:rPr>
              <w:t xml:space="preserve"> will organize the data collected from monthly electronic audits of </w:t>
            </w:r>
            <w:r>
              <w:rPr>
                <w:sz w:val="18"/>
                <w:szCs w:val="18"/>
              </w:rPr>
              <w:t>ED</w:t>
            </w:r>
            <w:r w:rsidRPr="00C9756E">
              <w:rPr>
                <w:sz w:val="18"/>
                <w:szCs w:val="18"/>
              </w:rPr>
              <w:t xml:space="preserve"> clinicians and will send the audit results via e-mail</w:t>
            </w:r>
            <w:r>
              <w:rPr>
                <w:sz w:val="18"/>
                <w:szCs w:val="18"/>
              </w:rPr>
              <w:t xml:space="preserve"> from the e-mail account of each site’s champion.</w:t>
            </w:r>
          </w:p>
        </w:tc>
        <w:tc>
          <w:tcPr>
            <w:tcW w:w="3780" w:type="dxa"/>
          </w:tcPr>
          <w:p w14:paraId="746CD311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clinician champion at each participating ED will ask colleagues to sign the commitment letter. </w:t>
            </w:r>
          </w:p>
        </w:tc>
      </w:tr>
      <w:tr w:rsidR="00DE2152" w14:paraId="4B8AC933" w14:textId="77777777" w:rsidTr="005C599D">
        <w:tc>
          <w:tcPr>
            <w:tcW w:w="1525" w:type="dxa"/>
          </w:tcPr>
          <w:p w14:paraId="68E22EAD" w14:textId="77777777" w:rsidR="00DE2152" w:rsidRDefault="00DE2152" w:rsidP="005C59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8258C7F" w14:textId="77777777" w:rsidR="00DE2152" w:rsidRPr="00C9756E" w:rsidRDefault="00DE2152" w:rsidP="005C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C9756E">
              <w:rPr>
                <w:b/>
                <w:bCs/>
                <w:sz w:val="18"/>
                <w:szCs w:val="18"/>
              </w:rPr>
              <w:t>The action</w:t>
            </w:r>
          </w:p>
        </w:tc>
        <w:tc>
          <w:tcPr>
            <w:tcW w:w="2050" w:type="dxa"/>
          </w:tcPr>
          <w:p w14:paraId="638BC252" w14:textId="77777777" w:rsidR="00DE2152" w:rsidRDefault="00DE2152" w:rsidP="005C599D">
            <w:pPr>
              <w:jc w:val="center"/>
              <w:rPr>
                <w:sz w:val="18"/>
                <w:szCs w:val="18"/>
              </w:rPr>
            </w:pPr>
          </w:p>
          <w:p w14:paraId="03AAA9FF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  <w:r w:rsidRPr="00C9756E">
              <w:rPr>
                <w:sz w:val="18"/>
                <w:szCs w:val="18"/>
              </w:rPr>
              <w:t>What actions, steps or processes will be enacted?</w:t>
            </w:r>
          </w:p>
        </w:tc>
        <w:tc>
          <w:tcPr>
            <w:tcW w:w="3350" w:type="dxa"/>
          </w:tcPr>
          <w:p w14:paraId="454845D2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Every month, each site’s champion will send each ED clinician an e-mail with their audit data from the prior month with an anonymous comparison to peers. The wording of each e-mail will be consistent with the MITIGATE toolkit.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</w:tcPr>
          <w:p w14:paraId="00AB6D3F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framed 18x24 inch copy of the commitment letter will be hung in each clinician’s examination room. A photograph of the clinician will be featured on the letter. The letter will be hung so that it is in the direct line of vision of a patient sitting on the examination table.</w:t>
            </w:r>
          </w:p>
        </w:tc>
      </w:tr>
      <w:tr w:rsidR="00DE2152" w14:paraId="307B6630" w14:textId="77777777" w:rsidTr="005C599D">
        <w:tc>
          <w:tcPr>
            <w:tcW w:w="1525" w:type="dxa"/>
          </w:tcPr>
          <w:p w14:paraId="26559607" w14:textId="77777777" w:rsidR="00DE2152" w:rsidRDefault="00DE2152" w:rsidP="005C59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C694A15" w14:textId="77777777" w:rsidR="00DE2152" w:rsidRPr="00C9756E" w:rsidRDefault="00DE2152" w:rsidP="005C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C9756E">
              <w:rPr>
                <w:b/>
                <w:bCs/>
                <w:sz w:val="18"/>
                <w:szCs w:val="18"/>
              </w:rPr>
              <w:t>Action target</w:t>
            </w:r>
          </w:p>
        </w:tc>
        <w:tc>
          <w:tcPr>
            <w:tcW w:w="2050" w:type="dxa"/>
          </w:tcPr>
          <w:p w14:paraId="2E4BE2AB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  <w:r w:rsidRPr="00C9756E">
              <w:rPr>
                <w:sz w:val="18"/>
                <w:szCs w:val="18"/>
              </w:rPr>
              <w:t>What are the targets of the strategy, based on established implementation frameworks?</w:t>
            </w:r>
          </w:p>
        </w:tc>
        <w:tc>
          <w:tcPr>
            <w:tcW w:w="3350" w:type="dxa"/>
          </w:tcPr>
          <w:p w14:paraId="30438833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Based on the CFIR framework, this strategy will address two domains: characteristics of the ED clinicians and the inner setting (e.g. culture, goals and feedback, access to knowledge and information).</w:t>
            </w:r>
          </w:p>
        </w:tc>
        <w:tc>
          <w:tcPr>
            <w:tcW w:w="3780" w:type="dxa"/>
          </w:tcPr>
          <w:p w14:paraId="29CCCA58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Based on the CFIR framework, this strategy will address three domains: inner setting (e.g. culture, implementation climate), characteristics of ED clinicians (e.g. self-efficacy, knowledge and beliefs), and process (e.g. champions, engaging)</w:t>
            </w:r>
          </w:p>
        </w:tc>
      </w:tr>
      <w:tr w:rsidR="00DE2152" w14:paraId="02872DAA" w14:textId="77777777" w:rsidTr="005C599D">
        <w:tc>
          <w:tcPr>
            <w:tcW w:w="1525" w:type="dxa"/>
          </w:tcPr>
          <w:p w14:paraId="090C1F93" w14:textId="77777777" w:rsidR="00DE2152" w:rsidRPr="00C9756E" w:rsidRDefault="00DE2152" w:rsidP="005C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C9756E">
              <w:rPr>
                <w:b/>
                <w:bCs/>
                <w:sz w:val="18"/>
                <w:szCs w:val="18"/>
              </w:rPr>
              <w:t>Temporality</w:t>
            </w:r>
          </w:p>
        </w:tc>
        <w:tc>
          <w:tcPr>
            <w:tcW w:w="2050" w:type="dxa"/>
          </w:tcPr>
          <w:p w14:paraId="3123FF9A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  <w:r w:rsidRPr="00C9756E">
              <w:rPr>
                <w:sz w:val="18"/>
                <w:szCs w:val="18"/>
              </w:rPr>
              <w:t>When is the strategy used?</w:t>
            </w:r>
          </w:p>
        </w:tc>
        <w:tc>
          <w:tcPr>
            <w:tcW w:w="3350" w:type="dxa"/>
          </w:tcPr>
          <w:p w14:paraId="4D118F6F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Feedback is provided during the first week of every month</w:t>
            </w:r>
          </w:p>
        </w:tc>
        <w:tc>
          <w:tcPr>
            <w:tcW w:w="3780" w:type="dxa"/>
          </w:tcPr>
          <w:p w14:paraId="35B88305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commitment letters will be hung at the beginning of the implementation process.</w:t>
            </w:r>
          </w:p>
        </w:tc>
      </w:tr>
      <w:tr w:rsidR="00DE2152" w14:paraId="2D0CFEA4" w14:textId="77777777" w:rsidTr="005C599D">
        <w:tc>
          <w:tcPr>
            <w:tcW w:w="1525" w:type="dxa"/>
          </w:tcPr>
          <w:p w14:paraId="16EF73E1" w14:textId="77777777" w:rsidR="00DE2152" w:rsidRDefault="00DE2152" w:rsidP="005C59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B3D3D27" w14:textId="77777777" w:rsidR="00DE2152" w:rsidRPr="00C9756E" w:rsidRDefault="00DE2152" w:rsidP="005C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C9756E">
              <w:rPr>
                <w:b/>
                <w:bCs/>
                <w:sz w:val="18"/>
                <w:szCs w:val="18"/>
              </w:rPr>
              <w:t>Dose</w:t>
            </w:r>
          </w:p>
        </w:tc>
        <w:tc>
          <w:tcPr>
            <w:tcW w:w="2050" w:type="dxa"/>
          </w:tcPr>
          <w:p w14:paraId="775FFDC5" w14:textId="77777777" w:rsidR="00DE2152" w:rsidRDefault="00DE2152" w:rsidP="005C599D">
            <w:pPr>
              <w:jc w:val="center"/>
              <w:rPr>
                <w:sz w:val="18"/>
                <w:szCs w:val="18"/>
              </w:rPr>
            </w:pPr>
          </w:p>
          <w:p w14:paraId="38977178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  <w:r w:rsidRPr="00C9756E">
              <w:rPr>
                <w:sz w:val="18"/>
                <w:szCs w:val="18"/>
              </w:rPr>
              <w:t>How frequently is the strategy used?</w:t>
            </w:r>
          </w:p>
        </w:tc>
        <w:tc>
          <w:tcPr>
            <w:tcW w:w="3350" w:type="dxa"/>
          </w:tcPr>
          <w:p w14:paraId="24E8C8A9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  <w:r w:rsidRPr="00C9756E">
              <w:rPr>
                <w:sz w:val="18"/>
                <w:szCs w:val="18"/>
              </w:rPr>
              <w:t>Feedback is given to each clinician on a monthly basis</w:t>
            </w:r>
            <w:r>
              <w:rPr>
                <w:sz w:val="18"/>
                <w:szCs w:val="18"/>
              </w:rPr>
              <w:t>. To ensure the clinician reviewed the feedback, a read receipt will be requested.</w:t>
            </w:r>
          </w:p>
        </w:tc>
        <w:tc>
          <w:tcPr>
            <w:tcW w:w="3780" w:type="dxa"/>
          </w:tcPr>
          <w:p w14:paraId="1166BA7D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commitment letters will remain hung for the entire trial period unless the clinician requests removal. Clinicians will be allowed to sign a commitment letter after trial initiation.</w:t>
            </w:r>
          </w:p>
        </w:tc>
      </w:tr>
      <w:tr w:rsidR="00DE2152" w14:paraId="606063B4" w14:textId="77777777" w:rsidTr="005C599D">
        <w:trPr>
          <w:trHeight w:val="683"/>
        </w:trPr>
        <w:tc>
          <w:tcPr>
            <w:tcW w:w="1525" w:type="dxa"/>
            <w:vMerge w:val="restart"/>
          </w:tcPr>
          <w:p w14:paraId="66919A04" w14:textId="77777777" w:rsidR="00DE2152" w:rsidRPr="00C9756E" w:rsidRDefault="00DE2152" w:rsidP="005C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C9756E">
              <w:rPr>
                <w:b/>
                <w:bCs/>
                <w:sz w:val="18"/>
                <w:szCs w:val="18"/>
              </w:rPr>
              <w:t>Implementation outcome affected</w:t>
            </w:r>
          </w:p>
        </w:tc>
        <w:tc>
          <w:tcPr>
            <w:tcW w:w="2050" w:type="dxa"/>
            <w:vMerge w:val="restart"/>
          </w:tcPr>
          <w:p w14:paraId="7ACE6D62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  <w:r w:rsidRPr="00C9756E">
              <w:rPr>
                <w:sz w:val="18"/>
                <w:szCs w:val="18"/>
              </w:rPr>
              <w:t>Which implementation outcome(s) will be measured to assess the strategy?</w:t>
            </w:r>
          </w:p>
        </w:tc>
        <w:tc>
          <w:tcPr>
            <w:tcW w:w="3350" w:type="dxa"/>
          </w:tcPr>
          <w:p w14:paraId="5C4731F3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  <w:r w:rsidRPr="00C9756E">
              <w:rPr>
                <w:sz w:val="18"/>
                <w:szCs w:val="18"/>
              </w:rPr>
              <w:t>Acceptability</w:t>
            </w:r>
            <w:r>
              <w:rPr>
                <w:sz w:val="18"/>
                <w:szCs w:val="18"/>
              </w:rPr>
              <w:t>, adoption, feasibility, fidelity, implementation</w:t>
            </w:r>
            <w:r w:rsidRPr="00C9756E">
              <w:rPr>
                <w:sz w:val="18"/>
                <w:szCs w:val="18"/>
              </w:rPr>
              <w:t xml:space="preserve"> cost</w:t>
            </w:r>
          </w:p>
        </w:tc>
        <w:tc>
          <w:tcPr>
            <w:tcW w:w="3780" w:type="dxa"/>
          </w:tcPr>
          <w:p w14:paraId="3254201A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  <w:r w:rsidRPr="00C9756E">
              <w:rPr>
                <w:sz w:val="18"/>
                <w:szCs w:val="18"/>
              </w:rPr>
              <w:t>Acceptability</w:t>
            </w:r>
            <w:r>
              <w:rPr>
                <w:sz w:val="18"/>
                <w:szCs w:val="18"/>
              </w:rPr>
              <w:t>, adaptation, adoption, feasibility, fidelity, implementation</w:t>
            </w:r>
            <w:r w:rsidRPr="00C9756E">
              <w:rPr>
                <w:sz w:val="18"/>
                <w:szCs w:val="18"/>
              </w:rPr>
              <w:t xml:space="preserve"> cost</w:t>
            </w:r>
          </w:p>
        </w:tc>
      </w:tr>
      <w:tr w:rsidR="00DE2152" w14:paraId="020A1B12" w14:textId="77777777" w:rsidTr="005C599D">
        <w:trPr>
          <w:trHeight w:val="260"/>
        </w:trPr>
        <w:tc>
          <w:tcPr>
            <w:tcW w:w="1525" w:type="dxa"/>
            <w:vMerge/>
          </w:tcPr>
          <w:p w14:paraId="6CDDDD8F" w14:textId="77777777" w:rsidR="00DE2152" w:rsidRPr="00C9756E" w:rsidRDefault="00DE2152" w:rsidP="005C59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vMerge/>
          </w:tcPr>
          <w:p w14:paraId="1689A9BE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0" w:type="dxa"/>
            <w:gridSpan w:val="2"/>
          </w:tcPr>
          <w:p w14:paraId="3A419BFD" w14:textId="77777777" w:rsidR="00DE2152" w:rsidRPr="00C9756E" w:rsidRDefault="00DE2152" w:rsidP="005C5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Effectiveness outcomes will include the ARI metric, total antibiotic prescriptions per patient-visits, and 30-day outcomes (return ED visits, hospital admissions, C. difficile infections)</w:t>
            </w:r>
          </w:p>
        </w:tc>
      </w:tr>
    </w:tbl>
    <w:p w14:paraId="58BD3311" w14:textId="77777777" w:rsidR="00DE2152" w:rsidRPr="0053174B" w:rsidRDefault="00DE2152" w:rsidP="00DE2152">
      <w:pPr>
        <w:ind w:hanging="720"/>
        <w:rPr>
          <w:rFonts w:cstheme="minorHAnsi"/>
          <w:sz w:val="16"/>
          <w:szCs w:val="16"/>
        </w:rPr>
      </w:pPr>
      <w:r w:rsidRPr="0053174B">
        <w:rPr>
          <w:rFonts w:cstheme="minorHAnsi"/>
          <w:sz w:val="16"/>
          <w:szCs w:val="16"/>
        </w:rPr>
        <w:t>Abbreviations: acute respiratory tract infection (ARI); CFIR Consolidated Framework for Implementation Research; Emergency Department (ED)</w:t>
      </w:r>
    </w:p>
    <w:p w14:paraId="6D5CEF7D" w14:textId="77777777" w:rsidR="00DE2152" w:rsidRPr="00105599" w:rsidRDefault="00DE2152" w:rsidP="00DE21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360"/>
        <w:rPr>
          <w:rFonts w:cstheme="minorHAnsi"/>
          <w:color w:val="000000"/>
          <w:sz w:val="18"/>
          <w:szCs w:val="18"/>
        </w:rPr>
      </w:pPr>
      <w:r w:rsidRPr="00105599">
        <w:rPr>
          <w:rFonts w:cstheme="minorHAnsi"/>
          <w:color w:val="000000"/>
          <w:sz w:val="18"/>
          <w:szCs w:val="18"/>
        </w:rPr>
        <w:t xml:space="preserve">May LY, Yadav K, </w:t>
      </w:r>
      <w:proofErr w:type="spellStart"/>
      <w:r w:rsidRPr="00105599">
        <w:rPr>
          <w:rFonts w:cstheme="minorHAnsi"/>
          <w:color w:val="000000"/>
          <w:sz w:val="18"/>
          <w:szCs w:val="18"/>
        </w:rPr>
        <w:t>Gaona</w:t>
      </w:r>
      <w:proofErr w:type="spellEnd"/>
      <w:r w:rsidRPr="00105599">
        <w:rPr>
          <w:rFonts w:cstheme="minorHAnsi"/>
          <w:color w:val="000000"/>
          <w:sz w:val="18"/>
          <w:szCs w:val="18"/>
        </w:rPr>
        <w:t xml:space="preserve"> SD, et al. MITIGATE antimicrobial stewardship toolkit: a guide for practical implementation in adult and pediatric emergency department and urgent care settings, 2018. Society for Healthcare Epidemiology of America website </w:t>
      </w:r>
      <w:r w:rsidRPr="00105599">
        <w:rPr>
          <w:rFonts w:cstheme="minorHAnsi"/>
          <w:color w:val="0000FF"/>
          <w:sz w:val="18"/>
          <w:szCs w:val="18"/>
        </w:rPr>
        <w:t>http://shea-online.org/images/prioritytopics/ MITIGATE_TOOLKIT_final.pdf</w:t>
      </w:r>
      <w:r w:rsidRPr="00105599">
        <w:rPr>
          <w:rFonts w:cstheme="minorHAnsi"/>
          <w:color w:val="000000"/>
          <w:sz w:val="18"/>
          <w:szCs w:val="18"/>
        </w:rPr>
        <w:t>. Published 2018. Accessed February 18, 2021.</w:t>
      </w:r>
    </w:p>
    <w:p w14:paraId="215C76DD" w14:textId="77777777" w:rsidR="00DE2152" w:rsidRPr="00105599" w:rsidRDefault="00DE2152" w:rsidP="00DE21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360"/>
        <w:rPr>
          <w:rFonts w:ascii="AdvOT1ef757c0" w:hAnsi="AdvOT1ef757c0" w:cs="AdvOT1ef757c0"/>
          <w:color w:val="000000"/>
          <w:sz w:val="18"/>
          <w:szCs w:val="18"/>
        </w:rPr>
      </w:pPr>
      <w:r w:rsidRPr="00105599">
        <w:rPr>
          <w:rFonts w:cstheme="minorHAnsi"/>
          <w:sz w:val="18"/>
          <w:szCs w:val="18"/>
        </w:rPr>
        <w:t xml:space="preserve">May L, </w:t>
      </w:r>
      <w:proofErr w:type="spellStart"/>
      <w:r w:rsidRPr="00105599">
        <w:rPr>
          <w:rFonts w:cstheme="minorHAnsi"/>
          <w:sz w:val="18"/>
          <w:szCs w:val="18"/>
        </w:rPr>
        <w:t>Gudger</w:t>
      </w:r>
      <w:proofErr w:type="spellEnd"/>
      <w:r w:rsidRPr="00105599">
        <w:rPr>
          <w:rFonts w:cstheme="minorHAnsi"/>
          <w:sz w:val="18"/>
          <w:szCs w:val="18"/>
        </w:rPr>
        <w:t xml:space="preserve"> G, Armstrong P, et al. Multisite exploration of clinical decision-making for antibiotic use by Emergency Medicine providers using quantitative and qualitative methods. </w:t>
      </w:r>
      <w:r w:rsidRPr="00105599">
        <w:rPr>
          <w:rFonts w:cstheme="minorHAnsi"/>
          <w:i/>
          <w:iCs/>
          <w:sz w:val="18"/>
          <w:szCs w:val="18"/>
        </w:rPr>
        <w:t>Infect Control Hosp Epidemiol</w:t>
      </w:r>
      <w:r w:rsidRPr="00105599">
        <w:rPr>
          <w:rFonts w:cstheme="minorHAnsi"/>
          <w:sz w:val="18"/>
          <w:szCs w:val="18"/>
        </w:rPr>
        <w:t xml:space="preserve"> 2014; 35: 1114-1125.</w:t>
      </w:r>
    </w:p>
    <w:p w14:paraId="7348B7DA" w14:textId="77777777" w:rsidR="00DE2152" w:rsidRPr="00105599" w:rsidRDefault="00DE2152" w:rsidP="00DE21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360"/>
        <w:rPr>
          <w:rFonts w:ascii="AdvOT1ef757c0" w:hAnsi="AdvOT1ef757c0" w:cs="AdvOT1ef757c0"/>
          <w:color w:val="000000"/>
          <w:sz w:val="18"/>
          <w:szCs w:val="18"/>
        </w:rPr>
      </w:pPr>
      <w:r w:rsidRPr="00105599">
        <w:rPr>
          <w:sz w:val="18"/>
          <w:szCs w:val="18"/>
        </w:rPr>
        <w:t xml:space="preserve">Meeker D, Knight TK, Friedberg MW, et al. Nudging guideline-concordant antibiotic prescribing: a randomized clinical trial. </w:t>
      </w:r>
      <w:r w:rsidRPr="00105599">
        <w:rPr>
          <w:i/>
          <w:iCs/>
          <w:sz w:val="18"/>
          <w:szCs w:val="18"/>
        </w:rPr>
        <w:t>JAMA Intern Med</w:t>
      </w:r>
      <w:r w:rsidRPr="00105599">
        <w:rPr>
          <w:sz w:val="18"/>
          <w:szCs w:val="18"/>
        </w:rPr>
        <w:t xml:space="preserve"> 2014; 174(3): 425-431.</w:t>
      </w:r>
    </w:p>
    <w:p w14:paraId="47C20F8B" w14:textId="77777777" w:rsidR="00DE2152" w:rsidRDefault="00DE2152" w:rsidP="00DE2152">
      <w:r>
        <w:br w:type="page"/>
      </w:r>
    </w:p>
    <w:p w14:paraId="7ADB3051" w14:textId="77777777" w:rsidR="00DE2152" w:rsidRDefault="00DE2152" w:rsidP="00DE2152">
      <w:pPr>
        <w:spacing w:after="80" w:line="240" w:lineRule="auto"/>
        <w:rPr>
          <w:sz w:val="14"/>
          <w:szCs w:val="14"/>
        </w:rPr>
      </w:pPr>
      <w:r w:rsidRPr="61DBB02C">
        <w:rPr>
          <w:b/>
          <w:bCs/>
        </w:rPr>
        <w:lastRenderedPageBreak/>
        <w:t xml:space="preserve">Supplemental Table 2. Stepwise implementation plan for a hypothetical implementation-effectiveness trial in an Emergency Department network with the goal of reducing antibiotic use in viral ARIs, based on </w:t>
      </w:r>
      <w:proofErr w:type="spellStart"/>
      <w:r w:rsidRPr="61DBB02C">
        <w:rPr>
          <w:b/>
          <w:bCs/>
        </w:rPr>
        <w:t>Provonost’s</w:t>
      </w:r>
      <w:proofErr w:type="spellEnd"/>
      <w:r w:rsidRPr="61DBB02C">
        <w:rPr>
          <w:b/>
          <w:bCs/>
        </w:rPr>
        <w:t xml:space="preserve"> 4E Process Theory</w:t>
      </w:r>
      <w:r w:rsidRPr="61DBB02C">
        <w:rPr>
          <w:vertAlign w:val="superscript"/>
        </w:rPr>
        <w:t>1</w:t>
      </w:r>
    </w:p>
    <w:p w14:paraId="45D9980D" w14:textId="77777777" w:rsidR="00DE2152" w:rsidRDefault="00DE2152" w:rsidP="00DE2152">
      <w:pPr>
        <w:spacing w:after="80" w:line="240" w:lineRule="auto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AAFE9" wp14:editId="3B9B416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419725" cy="386715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18B09" w14:textId="77777777" w:rsidR="00DE2152" w:rsidRPr="00903E42" w:rsidRDefault="00DE2152" w:rsidP="00DE21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b/>
                                <w:bCs/>
                              </w:rPr>
                            </w:pPr>
                            <w:r w:rsidRPr="00903E42">
                              <w:rPr>
                                <w:b/>
                                <w:bCs/>
                              </w:rPr>
                              <w:t>Summarize the evidence about the benefits and harms of antibiotic use for viral ARIs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AAF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.95pt;width:426.75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">
                <v:textbox style="mso-fit-shape-to-text:t">
                  <w:txbxContent>
                    <w:p w14:paraId="66C18B09" w14:textId="77777777" w:rsidR="00DE2152" w:rsidRPr="00903E42" w:rsidRDefault="00DE2152" w:rsidP="00DE21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b/>
                          <w:bCs/>
                        </w:rPr>
                      </w:pPr>
                      <w:r w:rsidRPr="00903E42">
                        <w:rPr>
                          <w:b/>
                          <w:bCs/>
                        </w:rPr>
                        <w:t>Summarize the evidence about the benefits and harms of antibiotic use for viral ARIs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7AAF1AE" w14:textId="77777777" w:rsidR="00DE2152" w:rsidRDefault="00DE2152" w:rsidP="00DE2152">
      <w:pPr>
        <w:spacing w:after="80" w:line="240" w:lineRule="auto"/>
        <w:rPr>
          <w:sz w:val="14"/>
          <w:szCs w:val="14"/>
        </w:rPr>
      </w:pPr>
    </w:p>
    <w:p w14:paraId="04067A94" w14:textId="77777777" w:rsidR="00DE2152" w:rsidRDefault="00DE2152" w:rsidP="00DE2152">
      <w:pPr>
        <w:spacing w:after="80" w:line="240" w:lineRule="auto"/>
        <w:rPr>
          <w:sz w:val="14"/>
          <w:szCs w:val="14"/>
        </w:rPr>
      </w:pPr>
    </w:p>
    <w:p w14:paraId="0799357E" w14:textId="77777777" w:rsidR="00DE2152" w:rsidRDefault="00DE2152" w:rsidP="00DE2152">
      <w:pPr>
        <w:spacing w:after="80" w:line="240" w:lineRule="auto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2807DF" wp14:editId="70C2C37C">
                <wp:simplePos x="0" y="0"/>
                <wp:positionH relativeFrom="column">
                  <wp:posOffset>19050</wp:posOffset>
                </wp:positionH>
                <wp:positionV relativeFrom="paragraph">
                  <wp:posOffset>121920</wp:posOffset>
                </wp:positionV>
                <wp:extent cx="5457825" cy="5791200"/>
                <wp:effectExtent l="0" t="0" r="9525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57825" cy="5791200"/>
                          <a:chOff x="0" y="0"/>
                          <a:chExt cx="5457825" cy="57912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50"/>
                            <a:ext cx="5420995" cy="1609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2119AB" w14:textId="77777777" w:rsidR="00DE2152" w:rsidRPr="004A4CA0" w:rsidRDefault="00DE2152" w:rsidP="00DE215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A4CA0">
                                <w:rPr>
                                  <w:b/>
                                  <w:bCs/>
                                </w:rPr>
                                <w:t>2. Identify local barriers to implementation</w:t>
                              </w:r>
                            </w:p>
                            <w:p w14:paraId="37E297CD" w14:textId="77777777" w:rsidR="00DE2152" w:rsidRDefault="00DE2152" w:rsidP="00DE215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100" w:afterAutospacing="1" w:line="240" w:lineRule="auto"/>
                                <w:ind w:left="810"/>
                              </w:pPr>
                              <w:r>
                                <w:t>Review the published literature to understand reasons for the evidence-practice gap and barriers/facilitators to implementing stewardship strategies in ED settings</w:t>
                              </w:r>
                            </w:p>
                            <w:p w14:paraId="0AE675C8" w14:textId="77777777" w:rsidR="00DE2152" w:rsidRPr="00B54157" w:rsidRDefault="00DE2152" w:rsidP="00DE215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100" w:afterAutospacing="1" w:line="240" w:lineRule="auto"/>
                                <w:ind w:left="810"/>
                              </w:pPr>
                              <w:r w:rsidRPr="00B54157">
                                <w:t>Interview ED clinicians and patients about their attitudes and beliefs surrounding antibiotic use for ARIs</w:t>
                              </w:r>
                            </w:p>
                            <w:p w14:paraId="4641391F" w14:textId="77777777" w:rsidR="00DE2152" w:rsidRPr="00B54157" w:rsidRDefault="00DE2152" w:rsidP="00DE215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100" w:afterAutospacing="1" w:line="240" w:lineRule="auto"/>
                                <w:ind w:left="810"/>
                              </w:pPr>
                              <w:r w:rsidRPr="00B54157">
                                <w:t xml:space="preserve">Engage all </w:t>
                              </w:r>
                              <w:r>
                                <w:t xml:space="preserve">local </w:t>
                              </w:r>
                              <w:r w:rsidRPr="00B54157">
                                <w:t>stakeholders to identify potential barriers and facilitators to prescribing antibiotics more judiciously for ARIs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2514600"/>
                            <a:ext cx="5419725" cy="1246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B34513" w14:textId="77777777" w:rsidR="00DE2152" w:rsidRDefault="00DE2152" w:rsidP="00DE215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3. Measure performance</w:t>
                              </w:r>
                            </w:p>
                            <w:p w14:paraId="7B6DCDB4" w14:textId="77777777" w:rsidR="00DE2152" w:rsidRDefault="00DE2152" w:rsidP="00DE215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</w:pPr>
                              <w:r w:rsidRPr="00903E42">
                                <w:t xml:space="preserve">Select </w:t>
                              </w:r>
                              <w:r>
                                <w:t>performance</w:t>
                              </w:r>
                              <w:r w:rsidRPr="00903E42">
                                <w:t xml:space="preserve"> measures (e.g. the frequency at which an ED </w:t>
                              </w:r>
                              <w:r>
                                <w:t>clinician</w:t>
                              </w:r>
                              <w:r w:rsidRPr="00903E42">
                                <w:t xml:space="preserve"> prescribes an antibiotic for a patient with a</w:t>
                              </w:r>
                              <w:r>
                                <w:t>n</w:t>
                              </w:r>
                              <w:r w:rsidRPr="00903E42">
                                <w:t xml:space="preserve"> ARI)</w:t>
                              </w:r>
                            </w:p>
                            <w:p w14:paraId="3E79707F" w14:textId="77777777" w:rsidR="00DE2152" w:rsidRPr="00903E42" w:rsidRDefault="00DE2152" w:rsidP="00DE215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 xml:space="preserve">Select safety outcomes (e.g. return visits, </w:t>
                              </w:r>
                              <w:r w:rsidRPr="00903E42">
                                <w:rPr>
                                  <w:i/>
                                  <w:iCs/>
                                </w:rPr>
                                <w:t>Clostridioides difficile</w:t>
                              </w:r>
                              <w:r>
                                <w:t xml:space="preserve"> infections)</w:t>
                              </w:r>
                            </w:p>
                            <w:p w14:paraId="53DD8696" w14:textId="77777777" w:rsidR="00DE2152" w:rsidRPr="00903E42" w:rsidRDefault="00DE2152" w:rsidP="00DE215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</w:pPr>
                              <w:r w:rsidRPr="00903E42">
                                <w:t>Measure baseline performance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Arrow: Down 4"/>
                        <wps:cNvSpPr>
                          <a:spLocks noChangeArrowheads="1"/>
                        </wps:cNvSpPr>
                        <wps:spPr bwMode="auto">
                          <a:xfrm>
                            <a:off x="2181225" y="0"/>
                            <a:ext cx="400050" cy="200025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rrow: Down 5"/>
                        <wps:cNvSpPr>
                          <a:spLocks noChangeArrowheads="1"/>
                        </wps:cNvSpPr>
                        <wps:spPr bwMode="auto">
                          <a:xfrm>
                            <a:off x="2171700" y="2133600"/>
                            <a:ext cx="400050" cy="200025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4276725"/>
                            <a:ext cx="5400675" cy="151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48DCC9" w14:textId="77777777" w:rsidR="00DE2152" w:rsidRDefault="00DE2152" w:rsidP="00DE215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903E42">
                                <w:rPr>
                                  <w:b/>
                                  <w:bCs/>
                                </w:rPr>
                                <w:t xml:space="preserve">4. Ensure all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clinicians</w:t>
                              </w:r>
                              <w:r w:rsidRPr="00903E42">
                                <w:rPr>
                                  <w:b/>
                                  <w:bCs/>
                                </w:rPr>
                                <w:t xml:space="preserve"> receive the intervention</w:t>
                              </w:r>
                              <w:r w:rsidRPr="00DE5CB8"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  <w:p w14:paraId="274AC6BD" w14:textId="77777777" w:rsidR="00DE2152" w:rsidRPr="00903E42" w:rsidRDefault="00DE2152" w:rsidP="00DE215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Engage: </w:t>
                              </w:r>
                              <w:r w:rsidRPr="00903E42">
                                <w:t xml:space="preserve">Explain to ED </w:t>
                              </w:r>
                              <w:r>
                                <w:t>clinician</w:t>
                              </w:r>
                              <w:r w:rsidRPr="00903E42">
                                <w:t>s why judicious antibiotic use is important</w:t>
                              </w:r>
                            </w:p>
                            <w:p w14:paraId="7AB71194" w14:textId="77777777" w:rsidR="00DE2152" w:rsidRPr="00903E42" w:rsidRDefault="00DE2152" w:rsidP="00DE215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Educate: </w:t>
                              </w:r>
                              <w:r w:rsidRPr="00903E42">
                                <w:t>Share evidence showing the potential harms of unnecessary antibiotic use</w:t>
                              </w:r>
                            </w:p>
                            <w:p w14:paraId="5C2A618F" w14:textId="77777777" w:rsidR="00DE2152" w:rsidRPr="00903E42" w:rsidRDefault="00DE2152" w:rsidP="00DE215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Execute: </w:t>
                              </w:r>
                              <w:r w:rsidRPr="00903E42">
                                <w:t>Design an implementation toolkit that targets barriers identified in step 2</w:t>
                              </w:r>
                            </w:p>
                            <w:p w14:paraId="60EDA275" w14:textId="77777777" w:rsidR="00DE2152" w:rsidRPr="00903E42" w:rsidRDefault="00DE2152" w:rsidP="00DE215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Evaluate: </w:t>
                              </w:r>
                              <w:r w:rsidRPr="00903E42">
                                <w:t xml:space="preserve">Assess performance measures </w:t>
                              </w:r>
                              <w:r>
                                <w:t xml:space="preserve">and safety outcomes </w:t>
                              </w:r>
                              <w:r w:rsidRPr="00903E42">
                                <w:t>at regular intervals</w:t>
                              </w:r>
                              <w:r>
                                <w:t xml:space="preserve">; </w:t>
                              </w:r>
                              <w:r w:rsidRPr="00903E42">
                                <w:t xml:space="preserve"> provide feedback to </w:t>
                              </w:r>
                              <w:r>
                                <w:t>ED clinician</w:t>
                              </w:r>
                              <w:r w:rsidRPr="00903E42">
                                <w:t>s</w:t>
                              </w:r>
                              <w:r>
                                <w:t xml:space="preserve"> and, as needed, repeat steps 4a—4d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rrow: Down 6"/>
                        <wps:cNvSpPr>
                          <a:spLocks noChangeArrowheads="1"/>
                        </wps:cNvSpPr>
                        <wps:spPr bwMode="auto">
                          <a:xfrm>
                            <a:off x="2171700" y="3924300"/>
                            <a:ext cx="400050" cy="200025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807DF" id="Group 10" o:spid="_x0000_s1027" style="position:absolute;margin-left:1.5pt;margin-top:9.6pt;width:429.75pt;height:456pt;z-index:251660288" coordsize="54578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">
                <v:shape id="Text Box 3" o:spid="_x0000_s1028" type="#_x0000_t202" style="position:absolute;top:3619;width:54209;height:16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eZfwwAAANoAAAAPAAAAZHJzL2Rvd25yZXYueG1sRI9BawIx&#10;FITvgv8hPKG3mtVi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9N3mX8MAAADaAAAADwAA&#10;AAAAAAAAAAAAAAAHAgAAZHJzL2Rvd25yZXYueG1sUEsFBgAAAAADAAMAtwAAAPcCAAAAAA==&#10;">
                  <v:textbox style="mso-fit-shape-to-text:t">
                    <w:txbxContent>
                      <w:p w14:paraId="532119AB" w14:textId="77777777" w:rsidR="00DE2152" w:rsidRPr="004A4CA0" w:rsidRDefault="00DE2152" w:rsidP="00DE2152">
                        <w:pPr>
                          <w:rPr>
                            <w:b/>
                            <w:bCs/>
                          </w:rPr>
                        </w:pPr>
                        <w:r w:rsidRPr="004A4CA0">
                          <w:rPr>
                            <w:b/>
                            <w:bCs/>
                          </w:rPr>
                          <w:t>2. Identify local barriers to implementation</w:t>
                        </w:r>
                      </w:p>
                      <w:p w14:paraId="37E297CD" w14:textId="77777777" w:rsidR="00DE2152" w:rsidRDefault="00DE2152" w:rsidP="00DE215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100" w:afterAutospacing="1" w:line="240" w:lineRule="auto"/>
                          <w:ind w:left="810"/>
                        </w:pPr>
                        <w:r>
                          <w:t>Review the published literature to understand reasons for the evidence-practice gap and barriers/facilitators to implementing stewardship strategies in ED settings</w:t>
                        </w:r>
                      </w:p>
                      <w:p w14:paraId="0AE675C8" w14:textId="77777777" w:rsidR="00DE2152" w:rsidRPr="00B54157" w:rsidRDefault="00DE2152" w:rsidP="00DE215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100" w:afterAutospacing="1" w:line="240" w:lineRule="auto"/>
                          <w:ind w:left="810"/>
                        </w:pPr>
                        <w:r w:rsidRPr="00B54157">
                          <w:t>Interview ED clinicians and patients about their attitudes and beliefs surrounding antibiotic use for ARIs</w:t>
                        </w:r>
                      </w:p>
                      <w:p w14:paraId="4641391F" w14:textId="77777777" w:rsidR="00DE2152" w:rsidRPr="00B54157" w:rsidRDefault="00DE2152" w:rsidP="00DE215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100" w:afterAutospacing="1" w:line="240" w:lineRule="auto"/>
                          <w:ind w:left="810"/>
                        </w:pPr>
                        <w:r w:rsidRPr="00B54157">
                          <w:t xml:space="preserve">Engage all </w:t>
                        </w:r>
                        <w:r>
                          <w:t xml:space="preserve">local </w:t>
                        </w:r>
                        <w:r w:rsidRPr="00B54157">
                          <w:t>stakeholders to identify potential barriers and facilitators to prescribing antibiotics more judiciously for ARIs</w:t>
                        </w:r>
                      </w:p>
                    </w:txbxContent>
                  </v:textbox>
                </v:shape>
                <v:shape id="Text Box 5" o:spid="_x0000_s1029" type="#_x0000_t202" style="position:absolute;left:190;top:25146;width:54197;height:12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<v:textbox style="mso-fit-shape-to-text:t">
                    <w:txbxContent>
                      <w:p w14:paraId="5FB34513" w14:textId="77777777" w:rsidR="00DE2152" w:rsidRDefault="00DE2152" w:rsidP="00DE2152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3. Measure performance</w:t>
                        </w:r>
                      </w:p>
                      <w:p w14:paraId="7B6DCDB4" w14:textId="77777777" w:rsidR="00DE2152" w:rsidRDefault="00DE2152" w:rsidP="00DE215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</w:pPr>
                        <w:r w:rsidRPr="00903E42">
                          <w:t xml:space="preserve">Select </w:t>
                        </w:r>
                        <w:r>
                          <w:t>performance</w:t>
                        </w:r>
                        <w:r w:rsidRPr="00903E42">
                          <w:t xml:space="preserve"> measures (e.g. the frequency at which an ED </w:t>
                        </w:r>
                        <w:r>
                          <w:t>clinician</w:t>
                        </w:r>
                        <w:r w:rsidRPr="00903E42">
                          <w:t xml:space="preserve"> prescribes an antibiotic for a patient with a</w:t>
                        </w:r>
                        <w:r>
                          <w:t>n</w:t>
                        </w:r>
                        <w:r w:rsidRPr="00903E42">
                          <w:t xml:space="preserve"> ARI)</w:t>
                        </w:r>
                      </w:p>
                      <w:p w14:paraId="3E79707F" w14:textId="77777777" w:rsidR="00DE2152" w:rsidRPr="00903E42" w:rsidRDefault="00DE2152" w:rsidP="00DE215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</w:pPr>
                        <w:r>
                          <w:t xml:space="preserve">Select safety outcomes (e.g. return visits, </w:t>
                        </w:r>
                        <w:r w:rsidRPr="00903E42">
                          <w:rPr>
                            <w:i/>
                            <w:iCs/>
                          </w:rPr>
                          <w:t>Clostridioides difficile</w:t>
                        </w:r>
                        <w:r>
                          <w:t xml:space="preserve"> infections)</w:t>
                        </w:r>
                      </w:p>
                      <w:p w14:paraId="53DD8696" w14:textId="77777777" w:rsidR="00DE2152" w:rsidRPr="00903E42" w:rsidRDefault="00DE2152" w:rsidP="00DE215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</w:pPr>
                        <w:r w:rsidRPr="00903E42">
                          <w:t>Measure baseline performance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4" o:spid="_x0000_s1030" type="#_x0000_t67" style="position:absolute;left:21812;width:400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" adj="10800" fillcolor="black [3213]" strokecolor="black [3213]" strokeweight="1pt"/>
                <v:shape id="Arrow: Down 5" o:spid="_x0000_s1031" type="#_x0000_t67" style="position:absolute;left:21717;top:21336;width:400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" adj="10800" fillcolor="black [3213]" strokecolor="black [3213]" strokeweight="1pt"/>
                <v:shape id="Text Box 3" o:spid="_x0000_s1032" type="#_x0000_t202" style="position:absolute;left:571;top:42767;width:54007;height:15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1548DCC9" w14:textId="77777777" w:rsidR="00DE2152" w:rsidRDefault="00DE2152" w:rsidP="00DE2152">
                        <w:pPr>
                          <w:rPr>
                            <w:b/>
                            <w:bCs/>
                          </w:rPr>
                        </w:pPr>
                        <w:r w:rsidRPr="00903E42">
                          <w:rPr>
                            <w:b/>
                            <w:bCs/>
                          </w:rPr>
                          <w:t xml:space="preserve">4. Ensure all </w:t>
                        </w:r>
                        <w:r>
                          <w:rPr>
                            <w:b/>
                            <w:bCs/>
                          </w:rPr>
                          <w:t>clinicians</w:t>
                        </w:r>
                        <w:r w:rsidRPr="00903E42">
                          <w:rPr>
                            <w:b/>
                            <w:bCs/>
                          </w:rPr>
                          <w:t xml:space="preserve"> receive the intervention</w:t>
                        </w:r>
                        <w:r w:rsidRPr="00DE5CB8">
                          <w:rPr>
                            <w:vertAlign w:val="superscript"/>
                          </w:rPr>
                          <w:t>2</w:t>
                        </w:r>
                      </w:p>
                      <w:p w14:paraId="274AC6BD" w14:textId="77777777" w:rsidR="00DE2152" w:rsidRPr="00903E42" w:rsidRDefault="00DE2152" w:rsidP="00DE2152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rPr>
                            <w:b/>
                            <w:bCs/>
                          </w:rPr>
                          <w:t xml:space="preserve">Engage: </w:t>
                        </w:r>
                        <w:r w:rsidRPr="00903E42">
                          <w:t xml:space="preserve">Explain to ED </w:t>
                        </w:r>
                        <w:r>
                          <w:t>clinician</w:t>
                        </w:r>
                        <w:r w:rsidRPr="00903E42">
                          <w:t>s why judicious antibiotic use is important</w:t>
                        </w:r>
                      </w:p>
                      <w:p w14:paraId="7AB71194" w14:textId="77777777" w:rsidR="00DE2152" w:rsidRPr="00903E42" w:rsidRDefault="00DE2152" w:rsidP="00DE2152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rPr>
                            <w:b/>
                            <w:bCs/>
                          </w:rPr>
                          <w:t xml:space="preserve">Educate: </w:t>
                        </w:r>
                        <w:r w:rsidRPr="00903E42">
                          <w:t>Share evidence showing the potential harms of unnecessary antibiotic use</w:t>
                        </w:r>
                      </w:p>
                      <w:p w14:paraId="5C2A618F" w14:textId="77777777" w:rsidR="00DE2152" w:rsidRPr="00903E42" w:rsidRDefault="00DE2152" w:rsidP="00DE2152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rPr>
                            <w:b/>
                            <w:bCs/>
                          </w:rPr>
                          <w:t xml:space="preserve">Execute: </w:t>
                        </w:r>
                        <w:r w:rsidRPr="00903E42">
                          <w:t>Design an implementation toolkit that targets barriers identified in step 2</w:t>
                        </w:r>
                      </w:p>
                      <w:p w14:paraId="60EDA275" w14:textId="77777777" w:rsidR="00DE2152" w:rsidRPr="00903E42" w:rsidRDefault="00DE2152" w:rsidP="00DE2152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Evaluate: </w:t>
                        </w:r>
                        <w:r w:rsidRPr="00903E42">
                          <w:t xml:space="preserve">Assess performance measures </w:t>
                        </w:r>
                        <w:r>
                          <w:t xml:space="preserve">and safety outcomes </w:t>
                        </w:r>
                        <w:r w:rsidRPr="00903E42">
                          <w:t>at regular intervals</w:t>
                        </w:r>
                        <w:r>
                          <w:t xml:space="preserve">; </w:t>
                        </w:r>
                        <w:r w:rsidRPr="00903E42">
                          <w:t xml:space="preserve"> provide feedback to </w:t>
                        </w:r>
                        <w:r>
                          <w:t>ED clinician</w:t>
                        </w:r>
                        <w:r w:rsidRPr="00903E42">
                          <w:t>s</w:t>
                        </w:r>
                        <w:r>
                          <w:t xml:space="preserve"> and, as needed, repeat steps 4a—4d</w:t>
                        </w:r>
                      </w:p>
                    </w:txbxContent>
                  </v:textbox>
                </v:shape>
                <v:shape id="Arrow: Down 6" o:spid="_x0000_s1033" type="#_x0000_t67" style="position:absolute;left:21717;top:39243;width:400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" adj="10800" fillcolor="black [3213]" strokecolor="black [3213]" strokeweight="1pt"/>
              </v:group>
            </w:pict>
          </mc:Fallback>
        </mc:AlternateContent>
      </w:r>
    </w:p>
    <w:p w14:paraId="1BA5DF51" w14:textId="77777777" w:rsidR="00DE2152" w:rsidRDefault="00DE2152" w:rsidP="00DE2152">
      <w:pPr>
        <w:spacing w:after="80" w:line="240" w:lineRule="auto"/>
        <w:rPr>
          <w:sz w:val="14"/>
          <w:szCs w:val="14"/>
        </w:rPr>
      </w:pPr>
    </w:p>
    <w:p w14:paraId="4574F746" w14:textId="77777777" w:rsidR="00DE2152" w:rsidRDefault="00DE2152" w:rsidP="00DE2152">
      <w:pPr>
        <w:spacing w:after="80" w:line="240" w:lineRule="auto"/>
        <w:rPr>
          <w:sz w:val="14"/>
          <w:szCs w:val="14"/>
        </w:rPr>
      </w:pPr>
    </w:p>
    <w:p w14:paraId="333F11E5" w14:textId="77777777" w:rsidR="00DE2152" w:rsidRDefault="00DE2152" w:rsidP="00DE2152">
      <w:pPr>
        <w:spacing w:after="80" w:line="240" w:lineRule="auto"/>
        <w:rPr>
          <w:sz w:val="14"/>
          <w:szCs w:val="14"/>
        </w:rPr>
      </w:pPr>
    </w:p>
    <w:p w14:paraId="159E5363" w14:textId="77777777" w:rsidR="00DE2152" w:rsidRPr="004A4CA0" w:rsidRDefault="00DE2152" w:rsidP="00DE2152">
      <w:pPr>
        <w:spacing w:after="80" w:line="240" w:lineRule="auto"/>
        <w:rPr>
          <w:vertAlign w:val="superscript"/>
        </w:rPr>
      </w:pPr>
    </w:p>
    <w:p w14:paraId="75F1C498" w14:textId="77777777" w:rsidR="00DE2152" w:rsidRDefault="00DE2152" w:rsidP="00DE2152">
      <w:pPr>
        <w:spacing w:after="80" w:line="240" w:lineRule="auto"/>
        <w:rPr>
          <w:b/>
          <w:bCs/>
        </w:rPr>
      </w:pPr>
    </w:p>
    <w:p w14:paraId="570FEDEF" w14:textId="77777777" w:rsidR="00DE2152" w:rsidRPr="00C15960" w:rsidRDefault="00DE2152" w:rsidP="00DE2152"/>
    <w:p w14:paraId="1927C743" w14:textId="77777777" w:rsidR="00DE2152" w:rsidRPr="00C15960" w:rsidRDefault="00DE2152" w:rsidP="00DE2152"/>
    <w:p w14:paraId="26141C39" w14:textId="77777777" w:rsidR="00DE2152" w:rsidRPr="00C15960" w:rsidRDefault="00DE2152" w:rsidP="00DE2152">
      <w:pPr>
        <w:pStyle w:val="ListParagraph"/>
        <w:numPr>
          <w:ilvl w:val="0"/>
          <w:numId w:val="9"/>
        </w:numPr>
      </w:pPr>
      <w:r w:rsidRPr="00C15960">
        <w:rPr>
          <w:sz w:val="20"/>
          <w:szCs w:val="20"/>
        </w:rPr>
        <w:t xml:space="preserve">knowledge translation. </w:t>
      </w:r>
      <w:r w:rsidRPr="00C15960">
        <w:rPr>
          <w:i/>
          <w:sz w:val="20"/>
          <w:szCs w:val="20"/>
        </w:rPr>
        <w:t>BMJ</w:t>
      </w:r>
      <w:r w:rsidRPr="00C15960">
        <w:rPr>
          <w:sz w:val="20"/>
          <w:szCs w:val="20"/>
        </w:rPr>
        <w:t xml:space="preserve">. Oct 6 2008;337:a1714. </w:t>
      </w:r>
    </w:p>
    <w:p w14:paraId="6C8B8A1A" w14:textId="77777777" w:rsidR="00DE2152" w:rsidRPr="00C15960" w:rsidRDefault="00DE2152" w:rsidP="00DE2152"/>
    <w:p w14:paraId="403DE7A7" w14:textId="77777777" w:rsidR="00DE2152" w:rsidRPr="00BD6E06" w:rsidRDefault="00DE2152" w:rsidP="00DE2152">
      <w:pPr>
        <w:pStyle w:val="ListParagraph"/>
        <w:spacing w:line="256" w:lineRule="auto"/>
      </w:pPr>
    </w:p>
    <w:p w14:paraId="21ECD433" w14:textId="77777777" w:rsidR="00DE2152" w:rsidRPr="00BD6E06" w:rsidRDefault="00DE2152" w:rsidP="00DE2152">
      <w:pPr>
        <w:pStyle w:val="ListParagraph"/>
        <w:spacing w:line="256" w:lineRule="auto"/>
      </w:pPr>
    </w:p>
    <w:p w14:paraId="15957CE6" w14:textId="77777777" w:rsidR="00DE2152" w:rsidRPr="00BD6E06" w:rsidRDefault="00DE2152" w:rsidP="00DE2152">
      <w:pPr>
        <w:pStyle w:val="ListParagraph"/>
        <w:spacing w:line="256" w:lineRule="auto"/>
      </w:pPr>
    </w:p>
    <w:p w14:paraId="22E54B43" w14:textId="77777777" w:rsidR="00DE2152" w:rsidRPr="00BD6E06" w:rsidRDefault="00DE2152" w:rsidP="00DE2152">
      <w:pPr>
        <w:pStyle w:val="ListParagraph"/>
        <w:spacing w:line="256" w:lineRule="auto"/>
      </w:pPr>
    </w:p>
    <w:p w14:paraId="51851CA9" w14:textId="77777777" w:rsidR="00DE2152" w:rsidRPr="00BD6E06" w:rsidRDefault="00DE2152" w:rsidP="00DE2152">
      <w:pPr>
        <w:pStyle w:val="ListParagraph"/>
        <w:spacing w:line="256" w:lineRule="auto"/>
      </w:pPr>
    </w:p>
    <w:p w14:paraId="7AA958A2" w14:textId="77777777" w:rsidR="00DE2152" w:rsidRPr="00BD6E06" w:rsidRDefault="00DE2152" w:rsidP="00DE2152">
      <w:pPr>
        <w:pStyle w:val="ListParagraph"/>
        <w:spacing w:line="256" w:lineRule="auto"/>
      </w:pPr>
    </w:p>
    <w:p w14:paraId="4DBA2581" w14:textId="77777777" w:rsidR="00DE2152" w:rsidRPr="00BD6E06" w:rsidRDefault="00DE2152" w:rsidP="00DE2152">
      <w:pPr>
        <w:pStyle w:val="ListParagraph"/>
        <w:spacing w:line="256" w:lineRule="auto"/>
      </w:pPr>
    </w:p>
    <w:p w14:paraId="793D9A01" w14:textId="77777777" w:rsidR="00DE2152" w:rsidRPr="00BD6E06" w:rsidRDefault="00DE2152" w:rsidP="00DE2152">
      <w:pPr>
        <w:pStyle w:val="ListParagraph"/>
        <w:spacing w:line="256" w:lineRule="auto"/>
      </w:pPr>
    </w:p>
    <w:p w14:paraId="4B4A17E4" w14:textId="77777777" w:rsidR="00DE2152" w:rsidRPr="00BD6E06" w:rsidRDefault="00DE2152" w:rsidP="00DE2152">
      <w:pPr>
        <w:pStyle w:val="ListParagraph"/>
        <w:spacing w:line="256" w:lineRule="auto"/>
      </w:pPr>
    </w:p>
    <w:p w14:paraId="748365A9" w14:textId="77777777" w:rsidR="00DE2152" w:rsidRPr="00BD6E06" w:rsidRDefault="00DE2152" w:rsidP="00DE2152">
      <w:pPr>
        <w:pStyle w:val="ListParagraph"/>
        <w:spacing w:line="256" w:lineRule="auto"/>
      </w:pPr>
    </w:p>
    <w:p w14:paraId="6FDFEA72" w14:textId="77777777" w:rsidR="00DE2152" w:rsidRPr="00BD6E06" w:rsidRDefault="00DE2152" w:rsidP="00DE2152">
      <w:pPr>
        <w:pStyle w:val="ListParagraph"/>
        <w:spacing w:line="256" w:lineRule="auto"/>
      </w:pPr>
    </w:p>
    <w:p w14:paraId="7C320089" w14:textId="77777777" w:rsidR="00DE2152" w:rsidRPr="00BD6E06" w:rsidRDefault="00DE2152" w:rsidP="00DE2152">
      <w:pPr>
        <w:pStyle w:val="ListParagraph"/>
        <w:spacing w:line="256" w:lineRule="auto"/>
      </w:pPr>
    </w:p>
    <w:p w14:paraId="254B81FB" w14:textId="77777777" w:rsidR="00DE2152" w:rsidRPr="00BD6E06" w:rsidRDefault="00DE2152" w:rsidP="00DE2152">
      <w:pPr>
        <w:pStyle w:val="ListParagraph"/>
        <w:spacing w:line="256" w:lineRule="auto"/>
      </w:pPr>
    </w:p>
    <w:p w14:paraId="5CC6378C" w14:textId="77777777" w:rsidR="00DE2152" w:rsidRPr="00BD6E06" w:rsidRDefault="00DE2152" w:rsidP="00DE2152">
      <w:pPr>
        <w:pStyle w:val="ListParagraph"/>
        <w:spacing w:line="256" w:lineRule="auto"/>
      </w:pPr>
    </w:p>
    <w:p w14:paraId="3B4DECFF" w14:textId="77777777" w:rsidR="00DE2152" w:rsidRPr="00BD6E06" w:rsidRDefault="00DE2152" w:rsidP="00DE2152">
      <w:pPr>
        <w:pStyle w:val="ListParagraph"/>
        <w:spacing w:line="256" w:lineRule="auto"/>
      </w:pPr>
    </w:p>
    <w:p w14:paraId="3789C522" w14:textId="77777777" w:rsidR="00DE2152" w:rsidRPr="00BD6E06" w:rsidRDefault="00DE2152" w:rsidP="00DE2152">
      <w:pPr>
        <w:pStyle w:val="ListParagraph"/>
        <w:spacing w:line="256" w:lineRule="auto"/>
      </w:pPr>
    </w:p>
    <w:p w14:paraId="3B5C82AB" w14:textId="77777777" w:rsidR="00DE2152" w:rsidRPr="00BD6E06" w:rsidRDefault="00DE2152" w:rsidP="00DE2152">
      <w:pPr>
        <w:pStyle w:val="ListParagraph"/>
        <w:spacing w:line="256" w:lineRule="auto"/>
      </w:pPr>
    </w:p>
    <w:p w14:paraId="670DA160" w14:textId="77777777" w:rsidR="00DE2152" w:rsidRPr="00BD6E06" w:rsidRDefault="00DE2152" w:rsidP="00DE2152">
      <w:pPr>
        <w:pStyle w:val="ListParagraph"/>
        <w:spacing w:line="256" w:lineRule="auto"/>
      </w:pPr>
    </w:p>
    <w:p w14:paraId="10F4D61D" w14:textId="77777777" w:rsidR="00DE2152" w:rsidRPr="00BD6E06" w:rsidRDefault="00DE2152" w:rsidP="00DE2152">
      <w:pPr>
        <w:pStyle w:val="ListParagraph"/>
        <w:spacing w:line="256" w:lineRule="auto"/>
      </w:pPr>
    </w:p>
    <w:p w14:paraId="1BC6E224" w14:textId="77777777" w:rsidR="00DE2152" w:rsidRPr="00BD6E06" w:rsidRDefault="00DE2152" w:rsidP="00DE2152">
      <w:pPr>
        <w:pStyle w:val="ListParagraph"/>
        <w:spacing w:line="256" w:lineRule="auto"/>
      </w:pPr>
    </w:p>
    <w:p w14:paraId="37DE3D1F" w14:textId="77777777" w:rsidR="00DE2152" w:rsidRPr="00BD6E06" w:rsidRDefault="00DE2152" w:rsidP="00DE2152">
      <w:pPr>
        <w:pStyle w:val="ListParagraph"/>
        <w:spacing w:line="256" w:lineRule="auto"/>
      </w:pPr>
    </w:p>
    <w:p w14:paraId="63DB9105" w14:textId="77777777" w:rsidR="00DE2152" w:rsidRPr="00BD6E06" w:rsidRDefault="00DE2152" w:rsidP="00DE2152">
      <w:pPr>
        <w:pStyle w:val="ListParagraph"/>
        <w:spacing w:line="256" w:lineRule="auto"/>
      </w:pPr>
    </w:p>
    <w:p w14:paraId="795766F2" w14:textId="77777777" w:rsidR="00DE2152" w:rsidRPr="00DE5CB8" w:rsidRDefault="00DE2152" w:rsidP="00DE2152">
      <w:pPr>
        <w:pStyle w:val="ListParagraph"/>
        <w:numPr>
          <w:ilvl w:val="0"/>
          <w:numId w:val="10"/>
        </w:numPr>
        <w:spacing w:line="256" w:lineRule="auto"/>
        <w:rPr>
          <w:sz w:val="18"/>
          <w:szCs w:val="18"/>
        </w:rPr>
      </w:pPr>
      <w:r w:rsidRPr="00DE5CB8">
        <w:rPr>
          <w:sz w:val="18"/>
          <w:szCs w:val="18"/>
        </w:rPr>
        <w:t xml:space="preserve">Pronovost PJ, </w:t>
      </w:r>
      <w:proofErr w:type="spellStart"/>
      <w:r w:rsidRPr="00DE5CB8">
        <w:rPr>
          <w:sz w:val="18"/>
          <w:szCs w:val="18"/>
        </w:rPr>
        <w:t>Berenholtz</w:t>
      </w:r>
      <w:proofErr w:type="spellEnd"/>
      <w:r w:rsidRPr="00DE5CB8">
        <w:rPr>
          <w:sz w:val="18"/>
          <w:szCs w:val="18"/>
        </w:rPr>
        <w:t xml:space="preserve"> SM, Needham DM. Translating evidence into practice: a model for large scale knowledge translation. </w:t>
      </w:r>
      <w:r w:rsidRPr="00DE5CB8">
        <w:rPr>
          <w:i/>
          <w:sz w:val="18"/>
          <w:szCs w:val="18"/>
        </w:rPr>
        <w:t>BMJ</w:t>
      </w:r>
      <w:r w:rsidRPr="00DE5CB8">
        <w:rPr>
          <w:sz w:val="18"/>
          <w:szCs w:val="18"/>
        </w:rPr>
        <w:t xml:space="preserve">. Oct 6 2008;337:a1714. </w:t>
      </w:r>
    </w:p>
    <w:p w14:paraId="291554F7" w14:textId="77777777" w:rsidR="00DE2152" w:rsidRPr="00DE5CB8" w:rsidRDefault="00DE2152" w:rsidP="00DE2152">
      <w:pPr>
        <w:pStyle w:val="ListParagraph"/>
        <w:numPr>
          <w:ilvl w:val="0"/>
          <w:numId w:val="10"/>
        </w:numPr>
        <w:spacing w:line="256" w:lineRule="auto"/>
        <w:rPr>
          <w:sz w:val="18"/>
          <w:szCs w:val="18"/>
        </w:rPr>
        <w:sectPr w:rsidR="00DE2152" w:rsidRPr="00DE5CB8" w:rsidSect="00B235F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E5CB8">
        <w:rPr>
          <w:sz w:val="18"/>
          <w:szCs w:val="18"/>
        </w:rPr>
        <w:t xml:space="preserve">In this example, the intervention </w:t>
      </w:r>
      <w:r>
        <w:rPr>
          <w:sz w:val="18"/>
          <w:szCs w:val="18"/>
        </w:rPr>
        <w:t xml:space="preserve">would </w:t>
      </w:r>
      <w:r w:rsidRPr="00DE5CB8">
        <w:rPr>
          <w:sz w:val="18"/>
          <w:szCs w:val="18"/>
        </w:rPr>
        <w:t>consist of a group of antibiotic stewardship practices used in combination to address the specific evidence-practice gap.</w:t>
      </w:r>
    </w:p>
    <w:p w14:paraId="326955BB" w14:textId="77777777" w:rsidR="00DE2152" w:rsidRPr="00CD4AAC" w:rsidRDefault="00DE2152" w:rsidP="00DE2152">
      <w:pPr>
        <w:spacing w:after="80" w:line="240" w:lineRule="auto"/>
        <w:rPr>
          <w:b/>
          <w:bCs/>
        </w:rPr>
      </w:pPr>
      <w:r w:rsidRPr="00C15960">
        <w:rPr>
          <w:b/>
          <w:bCs/>
        </w:rPr>
        <w:lastRenderedPageBreak/>
        <w:t>S</w:t>
      </w:r>
      <w:r w:rsidRPr="00CD4AAC">
        <w:rPr>
          <w:b/>
          <w:bCs/>
        </w:rPr>
        <w:t>upplemental Table 3.</w:t>
      </w:r>
      <w:r>
        <w:rPr>
          <w:b/>
          <w:bCs/>
        </w:rPr>
        <w:t xml:space="preserve"> </w:t>
      </w:r>
      <w:r w:rsidRPr="0016352A">
        <w:rPr>
          <w:b/>
          <w:bCs/>
        </w:rPr>
        <w:t xml:space="preserve">Selected </w:t>
      </w:r>
      <w:r>
        <w:rPr>
          <w:b/>
          <w:bCs/>
        </w:rPr>
        <w:t xml:space="preserve">CFIR </w:t>
      </w:r>
      <w:r w:rsidRPr="0016352A">
        <w:rPr>
          <w:b/>
          <w:bCs/>
        </w:rPr>
        <w:t xml:space="preserve">determinants of implementation applied to a hypothetical implementation-effectiveness trial in </w:t>
      </w:r>
      <w:r>
        <w:rPr>
          <w:b/>
          <w:bCs/>
        </w:rPr>
        <w:t xml:space="preserve">an </w:t>
      </w:r>
      <w:r w:rsidRPr="0016352A">
        <w:rPr>
          <w:b/>
          <w:bCs/>
        </w:rPr>
        <w:t>Emergency Department</w:t>
      </w:r>
      <w:r>
        <w:rPr>
          <w:b/>
          <w:bCs/>
        </w:rPr>
        <w:t xml:space="preserve"> network</w:t>
      </w:r>
      <w:r w:rsidRPr="0016352A">
        <w:rPr>
          <w:b/>
          <w:bCs/>
        </w:rPr>
        <w:t xml:space="preserve"> </w:t>
      </w:r>
      <w:r>
        <w:rPr>
          <w:b/>
          <w:bCs/>
        </w:rPr>
        <w:t>with the goal of reducing antibiotic use in viral ARIs</w:t>
      </w:r>
      <w:r w:rsidRPr="0016352A">
        <w:rPr>
          <w:vertAlign w:val="superscript"/>
        </w:rPr>
        <w:t>1,2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149"/>
      </w:tblGrid>
      <w:tr w:rsidR="00DE2152" w14:paraId="60B2B36A" w14:textId="77777777" w:rsidTr="005C599D">
        <w:tc>
          <w:tcPr>
            <w:tcW w:w="3116" w:type="dxa"/>
            <w:shd w:val="clear" w:color="auto" w:fill="BFBFBF" w:themeFill="background1" w:themeFillShade="BF"/>
          </w:tcPr>
          <w:p w14:paraId="0E0AC426" w14:textId="77777777" w:rsidR="00DE2152" w:rsidRPr="00CD4AAC" w:rsidRDefault="00DE2152" w:rsidP="005C599D">
            <w:pPr>
              <w:spacing w:after="80"/>
              <w:rPr>
                <w:b/>
                <w:bCs/>
                <w:sz w:val="20"/>
                <w:szCs w:val="20"/>
              </w:rPr>
            </w:pPr>
            <w:r w:rsidRPr="00CD4AAC">
              <w:rPr>
                <w:b/>
                <w:bCs/>
                <w:sz w:val="20"/>
                <w:szCs w:val="20"/>
              </w:rPr>
              <w:t>Construct</w:t>
            </w:r>
          </w:p>
        </w:tc>
        <w:tc>
          <w:tcPr>
            <w:tcW w:w="6149" w:type="dxa"/>
            <w:shd w:val="clear" w:color="auto" w:fill="BFBFBF" w:themeFill="background1" w:themeFillShade="BF"/>
          </w:tcPr>
          <w:p w14:paraId="4E1397C8" w14:textId="77777777" w:rsidR="00DE2152" w:rsidRPr="00CD4AAC" w:rsidRDefault="00DE2152" w:rsidP="005C599D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CD4AAC">
              <w:rPr>
                <w:b/>
                <w:bCs/>
                <w:sz w:val="20"/>
                <w:szCs w:val="20"/>
              </w:rPr>
              <w:t>Short Description</w:t>
            </w:r>
            <w:r>
              <w:rPr>
                <w:b/>
                <w:bCs/>
                <w:sz w:val="20"/>
                <w:szCs w:val="20"/>
              </w:rPr>
              <w:t xml:space="preserve"> in relation to the hypothetical trial</w:t>
            </w:r>
          </w:p>
        </w:tc>
      </w:tr>
      <w:tr w:rsidR="00DE2152" w14:paraId="496F9719" w14:textId="77777777" w:rsidTr="005C599D">
        <w:tc>
          <w:tcPr>
            <w:tcW w:w="3116" w:type="dxa"/>
          </w:tcPr>
          <w:p w14:paraId="4299C898" w14:textId="77777777" w:rsidR="00DE2152" w:rsidRPr="0016352A" w:rsidRDefault="00DE2152" w:rsidP="005C599D">
            <w:pPr>
              <w:spacing w:after="80"/>
              <w:rPr>
                <w:b/>
                <w:bCs/>
                <w:sz w:val="20"/>
                <w:szCs w:val="20"/>
              </w:rPr>
            </w:pPr>
            <w:r w:rsidRPr="0016352A">
              <w:rPr>
                <w:b/>
                <w:bCs/>
                <w:sz w:val="20"/>
                <w:szCs w:val="20"/>
              </w:rPr>
              <w:t>Intervention characteristics</w:t>
            </w:r>
          </w:p>
        </w:tc>
        <w:tc>
          <w:tcPr>
            <w:tcW w:w="6149" w:type="dxa"/>
          </w:tcPr>
          <w:p w14:paraId="20B135F4" w14:textId="77777777" w:rsidR="00DE2152" w:rsidRPr="00CD4AAC" w:rsidRDefault="00DE2152" w:rsidP="005C599D">
            <w:pPr>
              <w:spacing w:after="80"/>
              <w:rPr>
                <w:sz w:val="20"/>
                <w:szCs w:val="20"/>
              </w:rPr>
            </w:pPr>
          </w:p>
        </w:tc>
      </w:tr>
      <w:tr w:rsidR="00DE2152" w14:paraId="1C9F75DA" w14:textId="77777777" w:rsidTr="005C599D">
        <w:tc>
          <w:tcPr>
            <w:tcW w:w="3116" w:type="dxa"/>
          </w:tcPr>
          <w:p w14:paraId="59048288" w14:textId="77777777" w:rsidR="00DE2152" w:rsidRPr="00CD4AAC" w:rsidRDefault="00DE2152" w:rsidP="005C599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Strength and Quality</w:t>
            </w:r>
          </w:p>
        </w:tc>
        <w:tc>
          <w:tcPr>
            <w:tcW w:w="6149" w:type="dxa"/>
          </w:tcPr>
          <w:p w14:paraId="1D107D31" w14:textId="77777777" w:rsidR="00DE2152" w:rsidRPr="00CD4AAC" w:rsidRDefault="00DE2152" w:rsidP="005C599D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Clinicians’ and patients’ perceptions about the scientific evidence that supports not prescribing antibiotics for viral ARIs</w:t>
            </w:r>
          </w:p>
        </w:tc>
      </w:tr>
      <w:tr w:rsidR="00DE2152" w14:paraId="67E98D3E" w14:textId="77777777" w:rsidTr="005C599D">
        <w:tc>
          <w:tcPr>
            <w:tcW w:w="3116" w:type="dxa"/>
          </w:tcPr>
          <w:p w14:paraId="2C78F6C0" w14:textId="77777777" w:rsidR="00DE2152" w:rsidRPr="00CD4AAC" w:rsidRDefault="00DE2152" w:rsidP="005C599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Relative Advantage</w:t>
            </w:r>
          </w:p>
        </w:tc>
        <w:tc>
          <w:tcPr>
            <w:tcW w:w="6149" w:type="dxa"/>
          </w:tcPr>
          <w:p w14:paraId="379EF353" w14:textId="77777777" w:rsidR="00DE2152" w:rsidRPr="00CD4AAC" w:rsidRDefault="00DE2152" w:rsidP="005C599D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Clinicians’ and patients’ perceptions of the benefit of withholding versus prescribing antibiotics for viral ARIs</w:t>
            </w:r>
          </w:p>
        </w:tc>
      </w:tr>
      <w:tr w:rsidR="00DE2152" w14:paraId="1B75D66D" w14:textId="77777777" w:rsidTr="005C599D">
        <w:tc>
          <w:tcPr>
            <w:tcW w:w="3116" w:type="dxa"/>
          </w:tcPr>
          <w:p w14:paraId="05DC786A" w14:textId="77777777" w:rsidR="00DE2152" w:rsidRPr="0016352A" w:rsidRDefault="00DE2152" w:rsidP="005C599D">
            <w:pPr>
              <w:spacing w:after="80"/>
              <w:rPr>
                <w:b/>
                <w:bCs/>
                <w:sz w:val="20"/>
                <w:szCs w:val="20"/>
              </w:rPr>
            </w:pPr>
            <w:r w:rsidRPr="0016352A">
              <w:rPr>
                <w:b/>
                <w:bCs/>
                <w:sz w:val="20"/>
                <w:szCs w:val="20"/>
              </w:rPr>
              <w:t>Outer Setting</w:t>
            </w:r>
          </w:p>
        </w:tc>
        <w:tc>
          <w:tcPr>
            <w:tcW w:w="6149" w:type="dxa"/>
          </w:tcPr>
          <w:p w14:paraId="76043BC4" w14:textId="77777777" w:rsidR="00DE2152" w:rsidRPr="00CD4AAC" w:rsidRDefault="00DE2152" w:rsidP="005C599D">
            <w:pPr>
              <w:spacing w:after="80"/>
              <w:rPr>
                <w:sz w:val="20"/>
                <w:szCs w:val="20"/>
              </w:rPr>
            </w:pPr>
          </w:p>
        </w:tc>
      </w:tr>
      <w:tr w:rsidR="00DE2152" w14:paraId="25E5DD1C" w14:textId="77777777" w:rsidTr="005C599D">
        <w:tc>
          <w:tcPr>
            <w:tcW w:w="3116" w:type="dxa"/>
          </w:tcPr>
          <w:p w14:paraId="12AFCFC5" w14:textId="77777777" w:rsidR="00DE2152" w:rsidRPr="00CD4AAC" w:rsidRDefault="00DE2152" w:rsidP="005C599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pressure</w:t>
            </w:r>
          </w:p>
        </w:tc>
        <w:tc>
          <w:tcPr>
            <w:tcW w:w="6149" w:type="dxa"/>
          </w:tcPr>
          <w:p w14:paraId="7DC26692" w14:textId="77777777" w:rsidR="00DE2152" w:rsidRPr="00CD4AAC" w:rsidRDefault="00DE2152" w:rsidP="005C599D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Competitive pressure to prescribe antibiotics more judiciously because other peer organizations are doing so</w:t>
            </w:r>
          </w:p>
        </w:tc>
      </w:tr>
      <w:tr w:rsidR="00DE2152" w14:paraId="1ECFF0A2" w14:textId="77777777" w:rsidTr="005C599D">
        <w:tc>
          <w:tcPr>
            <w:tcW w:w="3116" w:type="dxa"/>
          </w:tcPr>
          <w:p w14:paraId="7E604E90" w14:textId="77777777" w:rsidR="00DE2152" w:rsidRPr="00CD4AAC" w:rsidRDefault="00DE2152" w:rsidP="005C599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policies and incentives</w:t>
            </w:r>
          </w:p>
        </w:tc>
        <w:tc>
          <w:tcPr>
            <w:tcW w:w="6149" w:type="dxa"/>
          </w:tcPr>
          <w:p w14:paraId="4FB2F0E2" w14:textId="77777777" w:rsidR="00DE2152" w:rsidRPr="00CD4AAC" w:rsidRDefault="00DE2152" w:rsidP="005C599D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the Joint Commission’s requirements for antibiotic stewardship in ambulatory care influence antibiotic-prescribing behaviors</w:t>
            </w:r>
          </w:p>
        </w:tc>
      </w:tr>
      <w:tr w:rsidR="00DE2152" w14:paraId="53A862D4" w14:textId="77777777" w:rsidTr="005C599D">
        <w:tc>
          <w:tcPr>
            <w:tcW w:w="3116" w:type="dxa"/>
          </w:tcPr>
          <w:p w14:paraId="2A4F4B39" w14:textId="77777777" w:rsidR="00DE2152" w:rsidRPr="0016352A" w:rsidRDefault="00DE2152" w:rsidP="005C599D">
            <w:pPr>
              <w:spacing w:after="80"/>
              <w:rPr>
                <w:b/>
                <w:bCs/>
                <w:sz w:val="20"/>
                <w:szCs w:val="20"/>
              </w:rPr>
            </w:pPr>
            <w:r w:rsidRPr="0016352A">
              <w:rPr>
                <w:b/>
                <w:bCs/>
                <w:sz w:val="20"/>
                <w:szCs w:val="20"/>
              </w:rPr>
              <w:t>Inner Setting</w:t>
            </w:r>
          </w:p>
        </w:tc>
        <w:tc>
          <w:tcPr>
            <w:tcW w:w="6149" w:type="dxa"/>
          </w:tcPr>
          <w:p w14:paraId="3F05916A" w14:textId="77777777" w:rsidR="00DE2152" w:rsidRPr="00CD4AAC" w:rsidRDefault="00DE2152" w:rsidP="005C599D">
            <w:pPr>
              <w:spacing w:after="80"/>
              <w:rPr>
                <w:sz w:val="20"/>
                <w:szCs w:val="20"/>
              </w:rPr>
            </w:pPr>
          </w:p>
        </w:tc>
      </w:tr>
      <w:tr w:rsidR="00DE2152" w14:paraId="6C3090D8" w14:textId="77777777" w:rsidTr="005C599D">
        <w:tc>
          <w:tcPr>
            <w:tcW w:w="3116" w:type="dxa"/>
          </w:tcPr>
          <w:p w14:paraId="7DE43840" w14:textId="77777777" w:rsidR="00DE2152" w:rsidRPr="00CD4AAC" w:rsidRDefault="00DE2152" w:rsidP="005C599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Culture</w:t>
            </w:r>
          </w:p>
        </w:tc>
        <w:tc>
          <w:tcPr>
            <w:tcW w:w="6149" w:type="dxa"/>
          </w:tcPr>
          <w:p w14:paraId="374EFC44" w14:textId="77777777" w:rsidR="00DE2152" w:rsidRPr="00CD4AAC" w:rsidRDefault="00DE2152" w:rsidP="005C599D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Norms and values of an organization about judiciously prescribing antibiotics </w:t>
            </w:r>
          </w:p>
        </w:tc>
      </w:tr>
      <w:tr w:rsidR="00DE2152" w14:paraId="06ABB4A6" w14:textId="77777777" w:rsidTr="005C599D">
        <w:tc>
          <w:tcPr>
            <w:tcW w:w="3116" w:type="dxa"/>
          </w:tcPr>
          <w:p w14:paraId="1E31AE00" w14:textId="77777777" w:rsidR="00DE2152" w:rsidRPr="00CD4AAC" w:rsidRDefault="00DE2152" w:rsidP="005C599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Relative priority</w:t>
            </w:r>
          </w:p>
        </w:tc>
        <w:tc>
          <w:tcPr>
            <w:tcW w:w="6149" w:type="dxa"/>
          </w:tcPr>
          <w:p w14:paraId="72ECEF78" w14:textId="77777777" w:rsidR="00DE2152" w:rsidRPr="00CD4AAC" w:rsidRDefault="00DE2152" w:rsidP="005C599D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clinicians’ shared perception of whether judiciously prescribing antibiotics is important to their organization</w:t>
            </w:r>
          </w:p>
        </w:tc>
      </w:tr>
      <w:tr w:rsidR="00DE2152" w14:paraId="10BF229B" w14:textId="77777777" w:rsidTr="005C599D">
        <w:tc>
          <w:tcPr>
            <w:tcW w:w="3116" w:type="dxa"/>
          </w:tcPr>
          <w:p w14:paraId="043E0712" w14:textId="77777777" w:rsidR="00DE2152" w:rsidRPr="0016352A" w:rsidRDefault="00DE2152" w:rsidP="005C599D">
            <w:pPr>
              <w:spacing w:after="80"/>
              <w:rPr>
                <w:b/>
                <w:bCs/>
                <w:sz w:val="20"/>
                <w:szCs w:val="20"/>
              </w:rPr>
            </w:pPr>
            <w:r w:rsidRPr="0016352A">
              <w:rPr>
                <w:b/>
                <w:bCs/>
                <w:sz w:val="20"/>
                <w:szCs w:val="20"/>
              </w:rPr>
              <w:t>Characteristics of Individuals</w:t>
            </w:r>
          </w:p>
        </w:tc>
        <w:tc>
          <w:tcPr>
            <w:tcW w:w="6149" w:type="dxa"/>
          </w:tcPr>
          <w:p w14:paraId="5AA1EAF2" w14:textId="77777777" w:rsidR="00DE2152" w:rsidRPr="00CD4AAC" w:rsidRDefault="00DE2152" w:rsidP="005C599D">
            <w:pPr>
              <w:spacing w:after="80"/>
              <w:rPr>
                <w:sz w:val="20"/>
                <w:szCs w:val="20"/>
              </w:rPr>
            </w:pPr>
          </w:p>
        </w:tc>
      </w:tr>
      <w:tr w:rsidR="00DE2152" w14:paraId="301E8A13" w14:textId="77777777" w:rsidTr="005C599D">
        <w:tc>
          <w:tcPr>
            <w:tcW w:w="3116" w:type="dxa"/>
          </w:tcPr>
          <w:p w14:paraId="0F9F3BE0" w14:textId="77777777" w:rsidR="00DE2152" w:rsidRPr="00CD4AAC" w:rsidRDefault="00DE2152" w:rsidP="005C599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Self-efficacy</w:t>
            </w:r>
          </w:p>
        </w:tc>
        <w:tc>
          <w:tcPr>
            <w:tcW w:w="6149" w:type="dxa"/>
          </w:tcPr>
          <w:p w14:paraId="6AC8B040" w14:textId="77777777" w:rsidR="00DE2152" w:rsidRPr="00CD4AAC" w:rsidRDefault="00DE2152" w:rsidP="005C599D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ED clinician’s belief in his/her own ability to withhold antibiotics for viral ARIs</w:t>
            </w:r>
          </w:p>
        </w:tc>
      </w:tr>
      <w:tr w:rsidR="00DE2152" w14:paraId="05304BBF" w14:textId="77777777" w:rsidTr="005C599D">
        <w:tc>
          <w:tcPr>
            <w:tcW w:w="3116" w:type="dxa"/>
          </w:tcPr>
          <w:p w14:paraId="1EA3DA70" w14:textId="77777777" w:rsidR="00DE2152" w:rsidRPr="00CD4AAC" w:rsidRDefault="00DE2152" w:rsidP="005C599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Stage of Change</w:t>
            </w:r>
          </w:p>
        </w:tc>
        <w:tc>
          <w:tcPr>
            <w:tcW w:w="6149" w:type="dxa"/>
          </w:tcPr>
          <w:p w14:paraId="0EFFC4DF" w14:textId="77777777" w:rsidR="00DE2152" w:rsidRPr="00CD4AAC" w:rsidRDefault="00DE2152" w:rsidP="005C599D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ED clinician’s readiness to start prescribing antibiotics more judiciously for ARIs</w:t>
            </w:r>
          </w:p>
        </w:tc>
      </w:tr>
      <w:tr w:rsidR="00DE2152" w14:paraId="60C34DCA" w14:textId="77777777" w:rsidTr="005C599D">
        <w:tc>
          <w:tcPr>
            <w:tcW w:w="3116" w:type="dxa"/>
          </w:tcPr>
          <w:p w14:paraId="28D6A2B9" w14:textId="77777777" w:rsidR="00DE2152" w:rsidRPr="0016352A" w:rsidRDefault="00DE2152" w:rsidP="005C599D">
            <w:pPr>
              <w:spacing w:after="80"/>
              <w:rPr>
                <w:b/>
                <w:bCs/>
                <w:sz w:val="20"/>
                <w:szCs w:val="20"/>
              </w:rPr>
            </w:pPr>
            <w:r w:rsidRPr="0016352A">
              <w:rPr>
                <w:b/>
                <w:bCs/>
                <w:sz w:val="20"/>
                <w:szCs w:val="20"/>
              </w:rPr>
              <w:t>Process</w:t>
            </w:r>
          </w:p>
        </w:tc>
        <w:tc>
          <w:tcPr>
            <w:tcW w:w="6149" w:type="dxa"/>
          </w:tcPr>
          <w:p w14:paraId="4D2D5FDC" w14:textId="77777777" w:rsidR="00DE2152" w:rsidRPr="00CD4AAC" w:rsidRDefault="00DE2152" w:rsidP="005C599D">
            <w:pPr>
              <w:spacing w:after="80"/>
              <w:rPr>
                <w:sz w:val="20"/>
                <w:szCs w:val="20"/>
              </w:rPr>
            </w:pPr>
          </w:p>
        </w:tc>
      </w:tr>
      <w:tr w:rsidR="00DE2152" w14:paraId="2236188E" w14:textId="77777777" w:rsidTr="005C599D">
        <w:tc>
          <w:tcPr>
            <w:tcW w:w="3116" w:type="dxa"/>
          </w:tcPr>
          <w:p w14:paraId="3F8C3A8A" w14:textId="77777777" w:rsidR="00DE2152" w:rsidRPr="00CD4AAC" w:rsidRDefault="00DE2152" w:rsidP="005C599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Opinion leaders</w:t>
            </w:r>
          </w:p>
        </w:tc>
        <w:tc>
          <w:tcPr>
            <w:tcW w:w="6149" w:type="dxa"/>
          </w:tcPr>
          <w:p w14:paraId="01AE9927" w14:textId="77777777" w:rsidR="00DE2152" w:rsidRPr="00CD4AAC" w:rsidRDefault="00DE2152" w:rsidP="005C599D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Individuals within the organization who influence the attitudes and beliefs of ED clinicians about using antibiotics more judiciously for ARIs</w:t>
            </w:r>
          </w:p>
        </w:tc>
      </w:tr>
      <w:tr w:rsidR="00DE2152" w14:paraId="0DFC6939" w14:textId="77777777" w:rsidTr="005C599D">
        <w:tc>
          <w:tcPr>
            <w:tcW w:w="3116" w:type="dxa"/>
          </w:tcPr>
          <w:p w14:paraId="1058B996" w14:textId="77777777" w:rsidR="00DE2152" w:rsidRPr="00CD4AAC" w:rsidRDefault="00DE2152" w:rsidP="005C599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Executing</w:t>
            </w:r>
          </w:p>
        </w:tc>
        <w:tc>
          <w:tcPr>
            <w:tcW w:w="6149" w:type="dxa"/>
          </w:tcPr>
          <w:p w14:paraId="36D46A3D" w14:textId="77777777" w:rsidR="00DE2152" w:rsidRPr="00CD4AAC" w:rsidRDefault="00DE2152" w:rsidP="005C599D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Whether the implementation strategies were carried out as planned</w:t>
            </w:r>
          </w:p>
        </w:tc>
      </w:tr>
    </w:tbl>
    <w:p w14:paraId="275D78FD" w14:textId="77777777" w:rsidR="00DE2152" w:rsidRDefault="00DE2152" w:rsidP="00DE2152">
      <w:pPr>
        <w:spacing w:after="80" w:line="240" w:lineRule="auto"/>
        <w:rPr>
          <w:sz w:val="14"/>
          <w:szCs w:val="14"/>
        </w:rPr>
      </w:pPr>
    </w:p>
    <w:p w14:paraId="47F74E1D" w14:textId="77777777" w:rsidR="00DE2152" w:rsidRPr="0016352A" w:rsidRDefault="00DE2152" w:rsidP="00DE2152">
      <w:pPr>
        <w:pStyle w:val="ListParagraph"/>
        <w:numPr>
          <w:ilvl w:val="0"/>
          <w:numId w:val="4"/>
        </w:numPr>
        <w:spacing w:after="80" w:line="240" w:lineRule="auto"/>
        <w:ind w:left="180" w:hanging="180"/>
        <w:rPr>
          <w:sz w:val="20"/>
          <w:szCs w:val="20"/>
        </w:rPr>
      </w:pPr>
      <w:r w:rsidRPr="0016352A">
        <w:rPr>
          <w:sz w:val="20"/>
          <w:szCs w:val="20"/>
        </w:rPr>
        <w:t>These determinants are based on the domains of the Consolidated Framework for Implementation Research</w:t>
      </w:r>
      <w:r>
        <w:rPr>
          <w:sz w:val="20"/>
          <w:szCs w:val="20"/>
        </w:rPr>
        <w:t xml:space="preserve"> (https://cfirguide.org)</w:t>
      </w:r>
      <w:r w:rsidRPr="0016352A">
        <w:rPr>
          <w:sz w:val="20"/>
          <w:szCs w:val="20"/>
        </w:rPr>
        <w:t>.</w:t>
      </w:r>
    </w:p>
    <w:p w14:paraId="757C7DF5" w14:textId="77777777" w:rsidR="00DE2152" w:rsidRPr="0016352A" w:rsidRDefault="00DE2152" w:rsidP="00DE2152">
      <w:pPr>
        <w:pStyle w:val="ListParagraph"/>
        <w:numPr>
          <w:ilvl w:val="0"/>
          <w:numId w:val="4"/>
        </w:numPr>
        <w:spacing w:after="80" w:line="240" w:lineRule="auto"/>
        <w:ind w:left="180" w:hanging="180"/>
        <w:rPr>
          <w:sz w:val="20"/>
          <w:szCs w:val="20"/>
        </w:rPr>
        <w:sectPr w:rsidR="00DE2152" w:rsidRPr="0016352A" w:rsidSect="00BD6E0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25E91E0A">
        <w:rPr>
          <w:sz w:val="20"/>
          <w:szCs w:val="20"/>
        </w:rPr>
        <w:t>Each domain could be explored through semi-structured interviews with ED clinicians, patients and other key stakeholders. These interviews could be performed during the pre-implementation period to inform the selection and design of the implementation strategies. Alternatively, the domains could be assessed during the trial itself to guide adaptations to the implementation process. A third option would be to assess these determinants after the trial is completed to help understand barriers and facilitators to the project’s success.</w:t>
      </w:r>
    </w:p>
    <w:p w14:paraId="43F90E86" w14:textId="77777777" w:rsidR="00DE2152" w:rsidRDefault="00DE2152" w:rsidP="00DE2152">
      <w:pPr>
        <w:spacing w:after="80" w:line="240" w:lineRule="auto"/>
        <w:rPr>
          <w:b/>
          <w:bCs/>
        </w:rPr>
      </w:pPr>
      <w:r>
        <w:rPr>
          <w:b/>
          <w:bCs/>
        </w:rPr>
        <w:lastRenderedPageBreak/>
        <w:t xml:space="preserve">Supplemental Table 4. </w:t>
      </w:r>
      <w:r w:rsidRPr="00B33D98">
        <w:rPr>
          <w:b/>
          <w:bCs/>
        </w:rPr>
        <w:t>Applying the RE-AIM implementation framework to a hypothetical</w:t>
      </w:r>
      <w:r>
        <w:rPr>
          <w:b/>
          <w:bCs/>
        </w:rPr>
        <w:t xml:space="preserve"> impleme</w:t>
      </w:r>
      <w:r w:rsidRPr="00B33D98">
        <w:rPr>
          <w:b/>
          <w:bCs/>
        </w:rPr>
        <w:t xml:space="preserve">ntation-effectiveness trial in </w:t>
      </w:r>
      <w:r>
        <w:rPr>
          <w:b/>
          <w:bCs/>
        </w:rPr>
        <w:t xml:space="preserve">an </w:t>
      </w:r>
      <w:r w:rsidRPr="0016352A">
        <w:rPr>
          <w:b/>
          <w:bCs/>
        </w:rPr>
        <w:t>Emergency Department</w:t>
      </w:r>
      <w:r>
        <w:rPr>
          <w:b/>
          <w:bCs/>
        </w:rPr>
        <w:t xml:space="preserve"> network</w:t>
      </w:r>
      <w:r w:rsidRPr="0016352A">
        <w:rPr>
          <w:b/>
          <w:bCs/>
        </w:rPr>
        <w:t xml:space="preserve"> </w:t>
      </w:r>
      <w:r w:rsidRPr="00B33D98">
        <w:rPr>
          <w:b/>
          <w:bCs/>
        </w:rPr>
        <w:t xml:space="preserve">with the goal </w:t>
      </w:r>
      <w:r>
        <w:rPr>
          <w:b/>
          <w:bCs/>
        </w:rPr>
        <w:t>of reducing antibiotic use in viral ARIs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795"/>
        <w:gridCol w:w="4770"/>
        <w:gridCol w:w="3870"/>
      </w:tblGrid>
      <w:tr w:rsidR="00DE2152" w14:paraId="5AD2B216" w14:textId="77777777" w:rsidTr="005C599D">
        <w:tc>
          <w:tcPr>
            <w:tcW w:w="1795" w:type="dxa"/>
            <w:shd w:val="clear" w:color="auto" w:fill="BFBFBF" w:themeFill="background1" w:themeFillShade="BF"/>
          </w:tcPr>
          <w:p w14:paraId="44AF0186" w14:textId="77777777" w:rsidR="00DE2152" w:rsidRDefault="00DE2152" w:rsidP="005C599D">
            <w:pPr>
              <w:spacing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Dimension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14:paraId="08DA392A" w14:textId="77777777" w:rsidR="00DE2152" w:rsidRDefault="00DE2152" w:rsidP="005C599D">
            <w:pPr>
              <w:spacing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Definition</w:t>
            </w:r>
            <w:r w:rsidRPr="007B7658">
              <w:rPr>
                <w:vertAlign w:val="superscript"/>
              </w:rPr>
              <w:t>1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36CFBEAD" w14:textId="77777777" w:rsidR="00DE2152" w:rsidRDefault="00DE2152" w:rsidP="005C599D">
            <w:pPr>
              <w:spacing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Measurement</w:t>
            </w:r>
          </w:p>
        </w:tc>
      </w:tr>
      <w:tr w:rsidR="00DE2152" w14:paraId="2AA60329" w14:textId="77777777" w:rsidTr="005C599D">
        <w:tc>
          <w:tcPr>
            <w:tcW w:w="1795" w:type="dxa"/>
          </w:tcPr>
          <w:p w14:paraId="6006DB85" w14:textId="77777777" w:rsidR="00DE2152" w:rsidRDefault="00DE2152" w:rsidP="005C599D">
            <w:pPr>
              <w:spacing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Reach</w:t>
            </w:r>
          </w:p>
        </w:tc>
        <w:tc>
          <w:tcPr>
            <w:tcW w:w="4770" w:type="dxa"/>
          </w:tcPr>
          <w:p w14:paraId="02205BE1" w14:textId="77777777" w:rsidR="00DE2152" w:rsidRDefault="00DE2152" w:rsidP="005C599D">
            <w:pPr>
              <w:spacing w:after="80"/>
              <w:jc w:val="center"/>
              <w:rPr>
                <w:sz w:val="20"/>
                <w:szCs w:val="20"/>
              </w:rPr>
            </w:pPr>
            <w:r w:rsidRPr="00207F4A">
              <w:rPr>
                <w:sz w:val="20"/>
                <w:szCs w:val="20"/>
              </w:rPr>
              <w:t>The absolute number, proportion and representativeness of individuals who are willing to participate in a given initiative</w:t>
            </w:r>
            <w:r>
              <w:rPr>
                <w:sz w:val="20"/>
                <w:szCs w:val="20"/>
              </w:rPr>
              <w:t xml:space="preserve"> </w:t>
            </w:r>
            <w:r w:rsidRPr="00207F4A">
              <w:rPr>
                <w:sz w:val="20"/>
                <w:szCs w:val="20"/>
              </w:rPr>
              <w:t>or program</w:t>
            </w:r>
            <w:r>
              <w:rPr>
                <w:sz w:val="20"/>
                <w:szCs w:val="20"/>
              </w:rPr>
              <w:t xml:space="preserve">, and reasons why they do or do not participate </w:t>
            </w:r>
          </w:p>
          <w:p w14:paraId="2E71830F" w14:textId="77777777" w:rsidR="00DE2152" w:rsidRPr="00207F4A" w:rsidRDefault="00DE2152" w:rsidP="005C599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actually participates or is exposed to the initiative?</w:t>
            </w:r>
          </w:p>
        </w:tc>
        <w:tc>
          <w:tcPr>
            <w:tcW w:w="3870" w:type="dxa"/>
          </w:tcPr>
          <w:p w14:paraId="53BD9265" w14:textId="77777777" w:rsidR="00DE2152" w:rsidRPr="00207F4A" w:rsidRDefault="00DE2152" w:rsidP="005C599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the</w:t>
            </w:r>
            <w:r w:rsidRPr="00207F4A">
              <w:rPr>
                <w:sz w:val="20"/>
                <w:szCs w:val="20"/>
              </w:rPr>
              <w:t xml:space="preserve"> number and proportion of ED clinicians who kept their commitment letters hung for the entire initiative and continued to acknowledge via read receipts the monthly e-mail feedback they received on the ARI metric</w:t>
            </w:r>
            <w:r>
              <w:rPr>
                <w:sz w:val="20"/>
                <w:szCs w:val="20"/>
              </w:rPr>
              <w:t>. Using baseline clinician data, describe differences in ED clinicians who participated versus did not participate.</w:t>
            </w:r>
          </w:p>
        </w:tc>
      </w:tr>
      <w:tr w:rsidR="00DE2152" w14:paraId="04521E20" w14:textId="77777777" w:rsidTr="005C599D">
        <w:tc>
          <w:tcPr>
            <w:tcW w:w="1795" w:type="dxa"/>
          </w:tcPr>
          <w:p w14:paraId="3DD406E6" w14:textId="77777777" w:rsidR="00DE2152" w:rsidRDefault="00DE2152" w:rsidP="005C599D">
            <w:pPr>
              <w:spacing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Effectiveness</w:t>
            </w:r>
          </w:p>
        </w:tc>
        <w:tc>
          <w:tcPr>
            <w:tcW w:w="4770" w:type="dxa"/>
          </w:tcPr>
          <w:p w14:paraId="0A197894" w14:textId="77777777" w:rsidR="00DE2152" w:rsidRDefault="00DE2152" w:rsidP="005C599D">
            <w:pPr>
              <w:spacing w:after="80"/>
              <w:jc w:val="center"/>
              <w:rPr>
                <w:sz w:val="20"/>
                <w:szCs w:val="20"/>
              </w:rPr>
            </w:pPr>
            <w:r w:rsidRPr="25E91E0A">
              <w:rPr>
                <w:sz w:val="20"/>
                <w:szCs w:val="20"/>
              </w:rPr>
              <w:t xml:space="preserve">The effect of </w:t>
            </w:r>
            <w:r>
              <w:rPr>
                <w:sz w:val="20"/>
                <w:szCs w:val="20"/>
              </w:rPr>
              <w:t>the</w:t>
            </w:r>
            <w:r w:rsidRPr="25E91E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initiative</w:t>
            </w:r>
            <w:r w:rsidRPr="25E91E0A">
              <w:rPr>
                <w:sz w:val="20"/>
                <w:szCs w:val="20"/>
              </w:rPr>
              <w:t xml:space="preserve"> on important individual outcomes, such as clinical events, quality of life, and economic outcomes</w:t>
            </w:r>
          </w:p>
          <w:p w14:paraId="0E338323" w14:textId="77777777" w:rsidR="00DE2152" w:rsidRPr="00207F4A" w:rsidRDefault="00DE2152" w:rsidP="005C599D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693A801F" w14:textId="77777777" w:rsidR="00DE2152" w:rsidRPr="00207F4A" w:rsidRDefault="00DE2152" w:rsidP="005C599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electronic data extracted from the medical record, measure the</w:t>
            </w:r>
            <w:r w:rsidRPr="00207F4A">
              <w:rPr>
                <w:sz w:val="20"/>
                <w:szCs w:val="20"/>
              </w:rPr>
              <w:t xml:space="preserve"> proportion of ARI visits that resulted in an antibiotic prescription</w:t>
            </w:r>
            <w:r>
              <w:rPr>
                <w:sz w:val="20"/>
                <w:szCs w:val="20"/>
              </w:rPr>
              <w:t xml:space="preserve"> as well as s</w:t>
            </w:r>
            <w:r w:rsidRPr="00207F4A">
              <w:rPr>
                <w:sz w:val="20"/>
                <w:szCs w:val="20"/>
              </w:rPr>
              <w:t>afety outcomes (e.g. return visits, hospitalization)</w:t>
            </w:r>
            <w:r>
              <w:rPr>
                <w:sz w:val="20"/>
                <w:szCs w:val="20"/>
              </w:rPr>
              <w:t>.</w:t>
            </w:r>
          </w:p>
        </w:tc>
      </w:tr>
      <w:tr w:rsidR="00DE2152" w14:paraId="27AE2B16" w14:textId="77777777" w:rsidTr="005C599D">
        <w:tc>
          <w:tcPr>
            <w:tcW w:w="1795" w:type="dxa"/>
          </w:tcPr>
          <w:p w14:paraId="5D5A6493" w14:textId="77777777" w:rsidR="00DE2152" w:rsidRDefault="00DE2152" w:rsidP="005C599D">
            <w:pPr>
              <w:spacing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Adoption</w:t>
            </w:r>
          </w:p>
        </w:tc>
        <w:tc>
          <w:tcPr>
            <w:tcW w:w="4770" w:type="dxa"/>
          </w:tcPr>
          <w:p w14:paraId="6FD14905" w14:textId="77777777" w:rsidR="00DE2152" w:rsidRDefault="00DE2152" w:rsidP="005C599D">
            <w:pPr>
              <w:spacing w:after="80"/>
              <w:jc w:val="center"/>
              <w:rPr>
                <w:sz w:val="20"/>
                <w:szCs w:val="20"/>
              </w:rPr>
            </w:pPr>
            <w:r w:rsidRPr="00207F4A">
              <w:rPr>
                <w:sz w:val="20"/>
                <w:szCs w:val="20"/>
              </w:rPr>
              <w:t xml:space="preserve">The absolute number, proportion and representativeness of settings and </w:t>
            </w:r>
            <w:r>
              <w:rPr>
                <w:sz w:val="20"/>
                <w:szCs w:val="20"/>
              </w:rPr>
              <w:t xml:space="preserve">agents </w:t>
            </w:r>
            <w:r w:rsidRPr="00207F4A">
              <w:rPr>
                <w:sz w:val="20"/>
                <w:szCs w:val="20"/>
              </w:rPr>
              <w:t xml:space="preserve">who are willing to </w:t>
            </w:r>
            <w:r>
              <w:rPr>
                <w:sz w:val="20"/>
                <w:szCs w:val="20"/>
              </w:rPr>
              <w:t>start</w:t>
            </w:r>
            <w:r w:rsidRPr="00207F4A">
              <w:rPr>
                <w:sz w:val="20"/>
                <w:szCs w:val="20"/>
              </w:rPr>
              <w:t xml:space="preserve"> a program</w:t>
            </w:r>
            <w:r>
              <w:rPr>
                <w:sz w:val="20"/>
                <w:szCs w:val="20"/>
              </w:rPr>
              <w:t xml:space="preserve"> and why they are willing to start it</w:t>
            </w:r>
          </w:p>
          <w:p w14:paraId="4AEB3B0E" w14:textId="77777777" w:rsidR="00DE2152" w:rsidRPr="00207F4A" w:rsidRDefault="00DE2152" w:rsidP="005C599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is the program applied and who applied it?</w:t>
            </w:r>
          </w:p>
        </w:tc>
        <w:tc>
          <w:tcPr>
            <w:tcW w:w="3870" w:type="dxa"/>
          </w:tcPr>
          <w:p w14:paraId="3D4553D7" w14:textId="77777777" w:rsidR="00DE2152" w:rsidRPr="00207F4A" w:rsidRDefault="00DE2152" w:rsidP="005C599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the number of unique ED sites asked to participate in the study and the number that agreed to participate in the study. Describe differences between these two groups.</w:t>
            </w:r>
            <w:r w:rsidRPr="1F900996">
              <w:rPr>
                <w:sz w:val="20"/>
                <w:szCs w:val="20"/>
              </w:rPr>
              <w:t xml:space="preserve"> </w:t>
            </w:r>
          </w:p>
        </w:tc>
      </w:tr>
      <w:tr w:rsidR="00DE2152" w14:paraId="15D65B4F" w14:textId="77777777" w:rsidTr="005C599D">
        <w:tc>
          <w:tcPr>
            <w:tcW w:w="1795" w:type="dxa"/>
          </w:tcPr>
          <w:p w14:paraId="5FB7A582" w14:textId="77777777" w:rsidR="00DE2152" w:rsidRDefault="00DE2152" w:rsidP="005C599D">
            <w:pPr>
              <w:spacing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Implementation</w:t>
            </w:r>
          </w:p>
        </w:tc>
        <w:tc>
          <w:tcPr>
            <w:tcW w:w="4770" w:type="dxa"/>
          </w:tcPr>
          <w:p w14:paraId="2355671C" w14:textId="77777777" w:rsidR="00DE2152" w:rsidRDefault="00DE2152" w:rsidP="005C599D">
            <w:pPr>
              <w:spacing w:after="80"/>
              <w:jc w:val="center"/>
              <w:rPr>
                <w:sz w:val="20"/>
                <w:szCs w:val="20"/>
              </w:rPr>
            </w:pPr>
            <w:r w:rsidRPr="00207F4A">
              <w:rPr>
                <w:sz w:val="20"/>
                <w:szCs w:val="20"/>
              </w:rPr>
              <w:t>Fidelity to the key elements of an evidence-base practice, including consistency of delivery as intended and the time and cost of the program</w:t>
            </w:r>
          </w:p>
          <w:p w14:paraId="1E6172D1" w14:textId="77777777" w:rsidR="00DE2152" w:rsidRDefault="00DE2152" w:rsidP="005C599D">
            <w:pPr>
              <w:spacing w:after="80"/>
              <w:jc w:val="center"/>
              <w:rPr>
                <w:sz w:val="20"/>
                <w:szCs w:val="20"/>
              </w:rPr>
            </w:pPr>
          </w:p>
          <w:p w14:paraId="1B7E8702" w14:textId="77777777" w:rsidR="00DE2152" w:rsidRPr="00207F4A" w:rsidRDefault="00DE2152" w:rsidP="005C599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consistently was the program delivered? How was it adapted to each setting? How much did it cost? Why did it achieve the observed result?</w:t>
            </w:r>
          </w:p>
        </w:tc>
        <w:tc>
          <w:tcPr>
            <w:tcW w:w="3870" w:type="dxa"/>
          </w:tcPr>
          <w:p w14:paraId="600E0B5A" w14:textId="77777777" w:rsidR="00DE2152" w:rsidRPr="00207F4A" w:rsidRDefault="00DE2152" w:rsidP="005C599D">
            <w:pPr>
              <w:spacing w:after="80"/>
              <w:jc w:val="center"/>
              <w:rPr>
                <w:sz w:val="20"/>
                <w:szCs w:val="20"/>
              </w:rPr>
            </w:pPr>
            <w:r w:rsidRPr="00207F4A">
              <w:rPr>
                <w:sz w:val="20"/>
                <w:szCs w:val="20"/>
              </w:rPr>
              <w:t>Measure acceptability</w:t>
            </w:r>
            <w:r>
              <w:rPr>
                <w:sz w:val="20"/>
                <w:szCs w:val="20"/>
              </w:rPr>
              <w:t xml:space="preserve"> using semi-structured interviews with ED clinicians. Assess fidelity by interviewing the project coordinator and local champions. Measure </w:t>
            </w:r>
            <w:r w:rsidRPr="00207F4A">
              <w:rPr>
                <w:sz w:val="20"/>
                <w:szCs w:val="20"/>
              </w:rPr>
              <w:t>implementation cost</w:t>
            </w:r>
            <w:r>
              <w:rPr>
                <w:sz w:val="20"/>
                <w:szCs w:val="20"/>
              </w:rPr>
              <w:t xml:space="preserve"> by having the project coordinator and local champions track the time committed to project activities on a weekly basis.</w:t>
            </w:r>
          </w:p>
        </w:tc>
      </w:tr>
      <w:tr w:rsidR="00DE2152" w14:paraId="14AB7E98" w14:textId="77777777" w:rsidTr="005C599D">
        <w:tc>
          <w:tcPr>
            <w:tcW w:w="1795" w:type="dxa"/>
          </w:tcPr>
          <w:p w14:paraId="5B79907B" w14:textId="77777777" w:rsidR="00DE2152" w:rsidRDefault="00DE2152" w:rsidP="005C599D">
            <w:pPr>
              <w:spacing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Maintenance</w:t>
            </w:r>
          </w:p>
        </w:tc>
        <w:tc>
          <w:tcPr>
            <w:tcW w:w="4770" w:type="dxa"/>
          </w:tcPr>
          <w:p w14:paraId="61A8B405" w14:textId="77777777" w:rsidR="00DE2152" w:rsidRDefault="00DE2152" w:rsidP="005C599D">
            <w:pPr>
              <w:spacing w:after="80"/>
              <w:jc w:val="center"/>
              <w:rPr>
                <w:sz w:val="20"/>
                <w:szCs w:val="20"/>
              </w:rPr>
            </w:pPr>
            <w:r w:rsidRPr="00207F4A">
              <w:rPr>
                <w:sz w:val="20"/>
                <w:szCs w:val="20"/>
              </w:rPr>
              <w:t>The extent to which a program or policy becomes institutionalized or part of the routine organizational practices and policies.</w:t>
            </w:r>
          </w:p>
          <w:p w14:paraId="200F0EE4" w14:textId="77777777" w:rsidR="00DE2152" w:rsidRDefault="00DE2152" w:rsidP="005C599D">
            <w:pPr>
              <w:spacing w:after="80"/>
              <w:jc w:val="center"/>
              <w:rPr>
                <w:sz w:val="20"/>
                <w:szCs w:val="20"/>
              </w:rPr>
            </w:pPr>
          </w:p>
          <w:p w14:paraId="7CBB09F4" w14:textId="77777777" w:rsidR="00DE2152" w:rsidRPr="0081276B" w:rsidRDefault="00DE2152" w:rsidP="005C599D">
            <w:pPr>
              <w:spacing w:after="80"/>
              <w:jc w:val="center"/>
              <w:rPr>
                <w:sz w:val="20"/>
                <w:szCs w:val="20"/>
              </w:rPr>
            </w:pPr>
            <w:r w:rsidRPr="0081276B">
              <w:rPr>
                <w:sz w:val="20"/>
                <w:szCs w:val="20"/>
              </w:rPr>
              <w:t>How long are the results of the program or policy sustained?</w:t>
            </w:r>
          </w:p>
        </w:tc>
        <w:tc>
          <w:tcPr>
            <w:tcW w:w="3870" w:type="dxa"/>
          </w:tcPr>
          <w:p w14:paraId="2E79E0A2" w14:textId="77777777" w:rsidR="00DE2152" w:rsidRPr="00207F4A" w:rsidRDefault="00DE2152" w:rsidP="005C599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 a telephone interview with each site’s local champion 6 months after the study’s conclusion to determine 1) if </w:t>
            </w:r>
            <w:r w:rsidRPr="00207F4A">
              <w:rPr>
                <w:sz w:val="20"/>
                <w:szCs w:val="20"/>
              </w:rPr>
              <w:t xml:space="preserve">clinicians </w:t>
            </w:r>
            <w:r>
              <w:rPr>
                <w:sz w:val="20"/>
                <w:szCs w:val="20"/>
              </w:rPr>
              <w:t xml:space="preserve">kept </w:t>
            </w:r>
            <w:r w:rsidRPr="00207F4A">
              <w:rPr>
                <w:sz w:val="20"/>
                <w:szCs w:val="20"/>
              </w:rPr>
              <w:t>their commitment levels hung once the organized initiative ended</w:t>
            </w:r>
            <w:r>
              <w:rPr>
                <w:sz w:val="20"/>
                <w:szCs w:val="20"/>
              </w:rPr>
              <w:t xml:space="preserve"> and 2) if sites</w:t>
            </w:r>
            <w:r w:rsidRPr="00207F4A">
              <w:rPr>
                <w:sz w:val="20"/>
                <w:szCs w:val="20"/>
              </w:rPr>
              <w:t xml:space="preserve"> develop</w:t>
            </w:r>
            <w:r>
              <w:rPr>
                <w:sz w:val="20"/>
                <w:szCs w:val="20"/>
              </w:rPr>
              <w:t>ed</w:t>
            </w:r>
            <w:r w:rsidRPr="00207F4A">
              <w:rPr>
                <w:sz w:val="20"/>
                <w:szCs w:val="20"/>
              </w:rPr>
              <w:t xml:space="preserve"> their own local process for continuing to provide clinicians feedback on their antibiotic-prescribing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2245B99" w14:textId="77777777" w:rsidR="00DE2152" w:rsidRPr="007B7658" w:rsidRDefault="00DE2152" w:rsidP="00DE2152">
      <w:pPr>
        <w:pStyle w:val="ListParagraph"/>
        <w:numPr>
          <w:ilvl w:val="0"/>
          <w:numId w:val="2"/>
        </w:numPr>
        <w:spacing w:after="80" w:line="240" w:lineRule="auto"/>
      </w:pPr>
      <w:r w:rsidRPr="007B7658">
        <w:t>All definitions are taken from https://www.re-aim.org</w:t>
      </w:r>
    </w:p>
    <w:p w14:paraId="3F923946" w14:textId="77777777" w:rsidR="00CA40C6" w:rsidRDefault="00DE2152"/>
    <w:sectPr w:rsidR="00CA40C6" w:rsidSect="00B235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OT1ef757c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D800F4" w14:paraId="11DF2FA1" w14:textId="77777777" w:rsidTr="002F01F0">
      <w:tc>
        <w:tcPr>
          <w:tcW w:w="3120" w:type="dxa"/>
        </w:tcPr>
        <w:p w14:paraId="7AD26534" w14:textId="77777777" w:rsidR="00D800F4" w:rsidRDefault="00DE2152" w:rsidP="002F01F0">
          <w:pPr>
            <w:pStyle w:val="Header"/>
            <w:ind w:left="-115"/>
          </w:pPr>
        </w:p>
      </w:tc>
      <w:tc>
        <w:tcPr>
          <w:tcW w:w="3120" w:type="dxa"/>
        </w:tcPr>
        <w:p w14:paraId="74817127" w14:textId="77777777" w:rsidR="00D800F4" w:rsidRDefault="00DE2152" w:rsidP="002F01F0">
          <w:pPr>
            <w:pStyle w:val="Header"/>
            <w:jc w:val="center"/>
          </w:pPr>
        </w:p>
      </w:tc>
      <w:tc>
        <w:tcPr>
          <w:tcW w:w="3120" w:type="dxa"/>
        </w:tcPr>
        <w:p w14:paraId="24DEC959" w14:textId="77777777" w:rsidR="00D800F4" w:rsidRDefault="00DE2152" w:rsidP="002F01F0">
          <w:pPr>
            <w:pStyle w:val="Header"/>
            <w:ind w:right="-115"/>
            <w:jc w:val="right"/>
          </w:pPr>
        </w:p>
      </w:tc>
    </w:tr>
  </w:tbl>
  <w:p w14:paraId="3A32F43A" w14:textId="77777777" w:rsidR="00D800F4" w:rsidRDefault="00DE2152" w:rsidP="002F0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D800F4" w14:paraId="61AF7C7F" w14:textId="77777777" w:rsidTr="002F01F0">
      <w:tc>
        <w:tcPr>
          <w:tcW w:w="3120" w:type="dxa"/>
        </w:tcPr>
        <w:p w14:paraId="00487676" w14:textId="77777777" w:rsidR="00D800F4" w:rsidRDefault="00DE2152" w:rsidP="002F01F0">
          <w:pPr>
            <w:pStyle w:val="Header"/>
            <w:ind w:left="-115"/>
          </w:pPr>
        </w:p>
      </w:tc>
      <w:tc>
        <w:tcPr>
          <w:tcW w:w="3120" w:type="dxa"/>
        </w:tcPr>
        <w:p w14:paraId="76F52A50" w14:textId="77777777" w:rsidR="00D800F4" w:rsidRDefault="00DE2152" w:rsidP="002F01F0">
          <w:pPr>
            <w:pStyle w:val="Header"/>
            <w:jc w:val="center"/>
          </w:pPr>
        </w:p>
      </w:tc>
      <w:tc>
        <w:tcPr>
          <w:tcW w:w="3120" w:type="dxa"/>
        </w:tcPr>
        <w:p w14:paraId="366527AA" w14:textId="77777777" w:rsidR="00D800F4" w:rsidRDefault="00DE2152" w:rsidP="002F01F0">
          <w:pPr>
            <w:pStyle w:val="Header"/>
            <w:ind w:right="-115"/>
            <w:jc w:val="right"/>
          </w:pPr>
        </w:p>
      </w:tc>
    </w:tr>
  </w:tbl>
  <w:p w14:paraId="244808E1" w14:textId="77777777" w:rsidR="00D800F4" w:rsidRDefault="00DE2152" w:rsidP="002F01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D800F4" w14:paraId="080ABC54" w14:textId="77777777" w:rsidTr="002F01F0">
      <w:tc>
        <w:tcPr>
          <w:tcW w:w="3120" w:type="dxa"/>
        </w:tcPr>
        <w:p w14:paraId="014476EA" w14:textId="77777777" w:rsidR="00D800F4" w:rsidRDefault="00DE2152" w:rsidP="002F01F0">
          <w:pPr>
            <w:pStyle w:val="Header"/>
            <w:ind w:left="-115"/>
          </w:pPr>
        </w:p>
      </w:tc>
      <w:tc>
        <w:tcPr>
          <w:tcW w:w="3120" w:type="dxa"/>
        </w:tcPr>
        <w:p w14:paraId="3A92AA47" w14:textId="77777777" w:rsidR="00D800F4" w:rsidRDefault="00DE2152" w:rsidP="002F01F0">
          <w:pPr>
            <w:pStyle w:val="Header"/>
            <w:jc w:val="center"/>
          </w:pPr>
        </w:p>
      </w:tc>
      <w:tc>
        <w:tcPr>
          <w:tcW w:w="3120" w:type="dxa"/>
        </w:tcPr>
        <w:p w14:paraId="279B3346" w14:textId="77777777" w:rsidR="00D800F4" w:rsidRDefault="00DE2152" w:rsidP="002F01F0">
          <w:pPr>
            <w:pStyle w:val="Header"/>
            <w:ind w:right="-115"/>
            <w:jc w:val="right"/>
          </w:pPr>
        </w:p>
      </w:tc>
    </w:tr>
  </w:tbl>
  <w:p w14:paraId="1EE7A953" w14:textId="77777777" w:rsidR="00D800F4" w:rsidRDefault="00DE2152" w:rsidP="002F01F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D800F4" w14:paraId="739BC703" w14:textId="77777777" w:rsidTr="002F01F0">
      <w:tc>
        <w:tcPr>
          <w:tcW w:w="3120" w:type="dxa"/>
        </w:tcPr>
        <w:p w14:paraId="14DE8F19" w14:textId="77777777" w:rsidR="00D800F4" w:rsidRDefault="00DE2152" w:rsidP="002F01F0">
          <w:pPr>
            <w:pStyle w:val="Header"/>
            <w:ind w:left="-115"/>
          </w:pPr>
        </w:p>
      </w:tc>
      <w:tc>
        <w:tcPr>
          <w:tcW w:w="3120" w:type="dxa"/>
        </w:tcPr>
        <w:p w14:paraId="39246DE0" w14:textId="77777777" w:rsidR="00D800F4" w:rsidRDefault="00DE2152" w:rsidP="002F01F0">
          <w:pPr>
            <w:pStyle w:val="Header"/>
            <w:jc w:val="center"/>
          </w:pPr>
        </w:p>
      </w:tc>
      <w:tc>
        <w:tcPr>
          <w:tcW w:w="3120" w:type="dxa"/>
        </w:tcPr>
        <w:p w14:paraId="45980244" w14:textId="77777777" w:rsidR="00D800F4" w:rsidRDefault="00DE2152" w:rsidP="002F01F0">
          <w:pPr>
            <w:pStyle w:val="Header"/>
            <w:ind w:right="-115"/>
            <w:jc w:val="right"/>
          </w:pPr>
        </w:p>
      </w:tc>
    </w:tr>
  </w:tbl>
  <w:p w14:paraId="3A2EB5E7" w14:textId="77777777" w:rsidR="00D800F4" w:rsidRDefault="00DE2152" w:rsidP="002F01F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E88"/>
    <w:multiLevelType w:val="hybridMultilevel"/>
    <w:tmpl w:val="4C96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013BB"/>
    <w:multiLevelType w:val="hybridMultilevel"/>
    <w:tmpl w:val="69207976"/>
    <w:lvl w:ilvl="0" w:tplc="1586F40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61F5"/>
    <w:multiLevelType w:val="hybridMultilevel"/>
    <w:tmpl w:val="6D90C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24DC5"/>
    <w:multiLevelType w:val="hybridMultilevel"/>
    <w:tmpl w:val="6D26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C7E57"/>
    <w:multiLevelType w:val="hybridMultilevel"/>
    <w:tmpl w:val="5238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03865"/>
    <w:multiLevelType w:val="hybridMultilevel"/>
    <w:tmpl w:val="86AE4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D7FBF"/>
    <w:multiLevelType w:val="hybridMultilevel"/>
    <w:tmpl w:val="23B41C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0EC1A45"/>
    <w:multiLevelType w:val="hybridMultilevel"/>
    <w:tmpl w:val="B46AD2A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7239562C"/>
    <w:multiLevelType w:val="hybridMultilevel"/>
    <w:tmpl w:val="24E27492"/>
    <w:lvl w:ilvl="0" w:tplc="55365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52"/>
    <w:rsid w:val="00640F0F"/>
    <w:rsid w:val="00656FE3"/>
    <w:rsid w:val="00D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5F61"/>
  <w15:chartTrackingRefBased/>
  <w15:docId w15:val="{F12D8618-23C8-4678-A371-4987E0E8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2152"/>
    <w:pPr>
      <w:ind w:left="720"/>
      <w:contextualSpacing/>
    </w:pPr>
  </w:style>
  <w:style w:type="table" w:styleId="TableGrid">
    <w:name w:val="Table Grid"/>
    <w:basedOn w:val="TableNormal"/>
    <w:uiPriority w:val="39"/>
    <w:rsid w:val="00DE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152"/>
  </w:style>
  <w:style w:type="paragraph" w:styleId="Footer">
    <w:name w:val="footer"/>
    <w:basedOn w:val="Normal"/>
    <w:link w:val="FooterChar"/>
    <w:uiPriority w:val="99"/>
    <w:unhideWhenUsed/>
    <w:rsid w:val="00DE2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10270</Characters>
  <Application>Microsoft Office Word</Application>
  <DocSecurity>0</DocSecurity>
  <Lines>85</Lines>
  <Paragraphs>24</Paragraphs>
  <ScaleCrop>false</ScaleCrop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Livorsi, Daniel J.</dc:creator>
  <cp:keywords/>
  <dc:description/>
  <cp:lastModifiedBy>Livorsi, Daniel J.</cp:lastModifiedBy>
  <cp:revision>1</cp:revision>
  <dcterms:created xsi:type="dcterms:W3CDTF">2021-10-20T20:30:00Z</dcterms:created>
  <dcterms:modified xsi:type="dcterms:W3CDTF">2021-10-20T20:30:00Z</dcterms:modified>
</cp:coreProperties>
</file>