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72" w:rsidRDefault="007D5772" w:rsidP="007D5772">
      <w:pPr>
        <w:pStyle w:val="Titre2"/>
        <w:rPr>
          <w:lang w:val="en-US"/>
        </w:rPr>
      </w:pPr>
      <w:r>
        <w:rPr>
          <w:lang w:val="en-US"/>
        </w:rPr>
        <w:t>Supplementary material:</w:t>
      </w:r>
    </w:p>
    <w:tbl>
      <w:tblPr>
        <w:tblStyle w:val="Grilledutableau"/>
        <w:tblpPr w:leftFromText="141" w:rightFromText="141" w:vertAnchor="text" w:horzAnchor="margin" w:tblpXSpec="center" w:tblpY="209"/>
        <w:tblW w:w="11761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126"/>
        <w:gridCol w:w="2127"/>
      </w:tblGrid>
      <w:tr w:rsidR="007D5772" w:rsidRPr="009161A1" w:rsidTr="00B743CB">
        <w:tc>
          <w:tcPr>
            <w:tcW w:w="5382" w:type="dxa"/>
            <w:tcBorders>
              <w:bottom w:val="double" w:sz="4" w:space="0" w:color="auto"/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b/>
                <w:lang w:val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b/>
                <w:color w:val="111111"/>
                <w:lang w:val="en-US"/>
              </w:rPr>
            </w:pPr>
            <w:r w:rsidRPr="009161A1">
              <w:rPr>
                <w:rFonts w:eastAsia="Arial" w:cstheme="minorHAnsi"/>
                <w:b/>
                <w:color w:val="111111"/>
                <w:lang w:val="en-US"/>
              </w:rPr>
              <w:t>Total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b/>
                <w:lang w:val="en-US"/>
              </w:rPr>
            </w:pPr>
            <w:r w:rsidRPr="009161A1">
              <w:rPr>
                <w:rFonts w:eastAsia="Arial" w:cstheme="minorHAnsi"/>
                <w:b/>
                <w:color w:val="111111"/>
                <w:lang w:val="en-US"/>
              </w:rPr>
              <w:t>First period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b/>
                <w:lang w:val="en-US"/>
              </w:rPr>
            </w:pPr>
            <w:r w:rsidRPr="009161A1">
              <w:rPr>
                <w:rFonts w:eastAsia="Arial" w:cstheme="minorHAnsi"/>
                <w:b/>
                <w:color w:val="111111"/>
                <w:lang w:val="en-US"/>
              </w:rPr>
              <w:t>Second period</w:t>
            </w:r>
          </w:p>
        </w:tc>
      </w:tr>
      <w:tr w:rsidR="007D5772" w:rsidRPr="009161A1" w:rsidTr="00B743CB">
        <w:tc>
          <w:tcPr>
            <w:tcW w:w="1176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b/>
                <w:i/>
                <w:color w:val="111111"/>
                <w:lang w:val="en-US"/>
              </w:rPr>
              <w:t>Patients in health care facilities</w:t>
            </w:r>
          </w:p>
        </w:tc>
      </w:tr>
      <w:tr w:rsidR="007D5772" w:rsidRPr="009161A1" w:rsidTr="00B743CB">
        <w:tc>
          <w:tcPr>
            <w:tcW w:w="5382" w:type="dxa"/>
            <w:tcBorders>
              <w:top w:val="double" w:sz="4" w:space="0" w:color="auto"/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 xml:space="preserve">Number of hospitalizations other than COVID19 in HUG, </w:t>
            </w:r>
            <w:proofErr w:type="spellStart"/>
            <w:r w:rsidRPr="009161A1">
              <w:rPr>
                <w:rFonts w:eastAsia="Arial" w:cstheme="minorHAnsi"/>
                <w:color w:val="111111"/>
                <w:lang w:val="en-US"/>
              </w:rPr>
              <w:t>LoS</w:t>
            </w:r>
            <w:proofErr w:type="spellEnd"/>
            <w:r w:rsidRPr="009161A1">
              <w:rPr>
                <w:rFonts w:eastAsia="Arial" w:cstheme="minorHAnsi"/>
                <w:color w:val="111111"/>
                <w:lang w:val="en-US"/>
              </w:rPr>
              <w:t xml:space="preserve"> &gt; 14 days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9527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3114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6413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 xml:space="preserve">Number of hospitalizations other than COVID19 in </w:t>
            </w:r>
            <w:proofErr w:type="gramStart"/>
            <w:r w:rsidRPr="009161A1">
              <w:rPr>
                <w:rFonts w:eastAsia="Arial" w:cstheme="minorHAnsi"/>
                <w:color w:val="111111"/>
                <w:lang w:val="en-US"/>
              </w:rPr>
              <w:t>the</w:t>
            </w:r>
            <w:r w:rsidRPr="009161A1">
              <w:rPr>
                <w:rFonts w:cstheme="minorHAnsi"/>
                <w:lang w:val="en-US"/>
              </w:rPr>
              <w:t xml:space="preserve">  department</w:t>
            </w:r>
            <w:proofErr w:type="gramEnd"/>
            <w:r w:rsidRPr="009161A1">
              <w:rPr>
                <w:rFonts w:cstheme="minorHAnsi"/>
                <w:lang w:val="en-US"/>
              </w:rPr>
              <w:t xml:space="preserve"> of geriatric and </w:t>
            </w:r>
            <w:proofErr w:type="spellStart"/>
            <w:r w:rsidRPr="009161A1">
              <w:rPr>
                <w:rFonts w:cstheme="minorHAnsi"/>
                <w:lang w:val="en-US"/>
              </w:rPr>
              <w:t>readaptation</w:t>
            </w:r>
            <w:proofErr w:type="spellEnd"/>
            <w:r w:rsidRPr="009161A1">
              <w:rPr>
                <w:rFonts w:cstheme="minorHAnsi"/>
                <w:lang w:val="en-US"/>
              </w:rPr>
              <w:t xml:space="preserve"> 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of HUG, </w:t>
            </w:r>
            <w:proofErr w:type="spellStart"/>
            <w:r w:rsidRPr="009161A1">
              <w:rPr>
                <w:rFonts w:eastAsia="Arial" w:cstheme="minorHAnsi"/>
                <w:color w:val="111111"/>
                <w:lang w:val="en-US"/>
              </w:rPr>
              <w:t>LoS</w:t>
            </w:r>
            <w:proofErr w:type="spellEnd"/>
            <w:r w:rsidRPr="009161A1">
              <w:rPr>
                <w:rFonts w:eastAsia="Arial" w:cstheme="minorHAnsi"/>
                <w:color w:val="111111"/>
                <w:lang w:val="en-US"/>
              </w:rPr>
              <w:t xml:space="preserve"> &gt; 14 days (%)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4102 (43.1) 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1515 (48.7) 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2587 (40.3) </w:t>
            </w:r>
          </w:p>
        </w:tc>
      </w:tr>
      <w:tr w:rsidR="007D5772" w:rsidRPr="009161A1" w:rsidTr="00B743CB">
        <w:tc>
          <w:tcPr>
            <w:tcW w:w="5382" w:type="dxa"/>
            <w:tcBorders>
              <w:bottom w:val="double" w:sz="4" w:space="0" w:color="auto"/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>Number of female (%)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4872 (51.1)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1590 (51.1)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3282 (51.2) </w:t>
            </w:r>
          </w:p>
        </w:tc>
      </w:tr>
      <w:tr w:rsidR="007D5772" w:rsidRPr="009161A1" w:rsidTr="00B743CB">
        <w:tc>
          <w:tcPr>
            <w:tcW w:w="1176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cstheme="minorHAnsi"/>
                <w:b/>
                <w:lang w:val="en-US"/>
              </w:rPr>
              <w:t>Definite healthcare-associated COVID19 cases (HACC)</w:t>
            </w:r>
          </w:p>
        </w:tc>
      </w:tr>
      <w:tr w:rsidR="007D5772" w:rsidRPr="009161A1" w:rsidTr="00B743CB">
        <w:tc>
          <w:tcPr>
            <w:tcW w:w="5382" w:type="dxa"/>
            <w:tcBorders>
              <w:top w:val="double" w:sz="4" w:space="0" w:color="auto"/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2308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515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1793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>Definite Age (median [IQR])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86.4 [78.2, 91.5]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87.1 [80.4, 91.4]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86.2 [77.6, 91.6]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>Number of female (%)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1531 (66.4) 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336 (65.2) 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1195 (66.7) 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 xml:space="preserve">Percentage of </w:t>
            </w:r>
            <w:r w:rsidRPr="009161A1">
              <w:rPr>
                <w:rFonts w:cstheme="minorHAnsi"/>
                <w:lang w:val="en-GB"/>
              </w:rPr>
              <w:t xml:space="preserve"> 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Definite </w:t>
            </w:r>
            <w:r w:rsidRPr="009161A1">
              <w:rPr>
                <w:rFonts w:cstheme="minorHAnsi"/>
                <w:lang w:val="en-US"/>
              </w:rPr>
              <w:t xml:space="preserve">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compared to the total COVID cases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4.04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8.21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>3.52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Definite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 in nursing homes </w:t>
            </w:r>
            <w:r w:rsidRPr="009161A1">
              <w:rPr>
                <w:rFonts w:eastAsia="Arial" w:cstheme="minorHAnsi"/>
                <w:color w:val="111111"/>
                <w:lang w:val="en-US"/>
              </w:rPr>
              <w:br/>
              <w:t>(% of the HACC)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1897 (82.2) 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404 (78.4) 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1493 (83.3) 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Definite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 in</w:t>
            </w:r>
            <w:r w:rsidRPr="009161A1">
              <w:rPr>
                <w:rFonts w:cstheme="minorHAnsi"/>
                <w:lang w:val="en-US"/>
              </w:rPr>
              <w:t xml:space="preserve"> the department of geriatric and </w:t>
            </w:r>
            <w:proofErr w:type="spellStart"/>
            <w:r w:rsidRPr="009161A1">
              <w:rPr>
                <w:rFonts w:cstheme="minorHAnsi"/>
                <w:lang w:val="en-US"/>
              </w:rPr>
              <w:t>readaptation</w:t>
            </w:r>
            <w:proofErr w:type="spellEnd"/>
            <w:r w:rsidRPr="009161A1">
              <w:rPr>
                <w:rFonts w:eastAsia="Arial" w:cstheme="minorHAnsi"/>
                <w:color w:val="111111"/>
                <w:lang w:val="en-US"/>
              </w:rPr>
              <w:t xml:space="preserve"> of HUG (% of  the HACC 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GB"/>
              </w:rPr>
            </w:pPr>
            <w:r w:rsidRPr="009161A1">
              <w:rPr>
                <w:rFonts w:eastAsia="Arial" w:cstheme="minorHAnsi"/>
                <w:color w:val="000000"/>
                <w:lang w:val="en-GB"/>
              </w:rPr>
              <w:t xml:space="preserve"> </w:t>
            </w:r>
            <w:r w:rsidRPr="009161A1">
              <w:rPr>
                <w:rFonts w:eastAsia="Arial" w:cstheme="minorHAnsi"/>
                <w:color w:val="000000"/>
              </w:rPr>
              <w:t xml:space="preserve">358 (15.5) 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102 (19.8) 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256 (14.3) 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Definite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 in other HUG departments</w:t>
            </w:r>
            <w:r w:rsidRPr="009161A1">
              <w:rPr>
                <w:rFonts w:eastAsia="Arial" w:cstheme="minorHAnsi"/>
                <w:color w:val="111111"/>
                <w:lang w:val="en-US"/>
              </w:rPr>
              <w:br/>
              <w:t>(% of  the HACC 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  <w:lang w:val="en-GB"/>
              </w:rPr>
              <w:t xml:space="preserve">  </w:t>
            </w:r>
            <w:r w:rsidRPr="009161A1">
              <w:rPr>
                <w:rFonts w:eastAsia="Arial" w:cstheme="minorHAnsi"/>
                <w:color w:val="000000"/>
              </w:rPr>
              <w:t xml:space="preserve">53 (2.3) 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  9 (1.7) 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</w:rPr>
            </w:pPr>
            <w:r w:rsidRPr="009161A1">
              <w:rPr>
                <w:rFonts w:eastAsia="Arial" w:cstheme="minorHAnsi"/>
                <w:color w:val="000000"/>
              </w:rPr>
              <w:t xml:space="preserve">  44 (2.5) 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Definite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 in</w:t>
            </w:r>
            <w:r w:rsidRPr="009161A1">
              <w:rPr>
                <w:rFonts w:cstheme="minorHAnsi"/>
                <w:lang w:val="en-US"/>
              </w:rPr>
              <w:t xml:space="preserve"> geriatrics and rehabilitation wards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of HUG per 100 non COVID19 hospitalizations (</w:t>
            </w:r>
            <w:proofErr w:type="spellStart"/>
            <w:r w:rsidRPr="009161A1">
              <w:rPr>
                <w:rFonts w:eastAsia="Arial" w:cstheme="minorHAnsi"/>
                <w:color w:val="111111"/>
                <w:lang w:val="en-US"/>
              </w:rPr>
              <w:t>LoS</w:t>
            </w:r>
            <w:proofErr w:type="spellEnd"/>
            <w:r w:rsidRPr="009161A1">
              <w:rPr>
                <w:rFonts w:eastAsia="Arial" w:cstheme="minorHAnsi"/>
                <w:color w:val="111111"/>
                <w:lang w:val="en-US"/>
              </w:rPr>
              <w:t xml:space="preserve"> &gt; </w:t>
            </w:r>
            <w:r>
              <w:rPr>
                <w:rFonts w:eastAsia="Arial" w:cstheme="minorHAnsi"/>
                <w:color w:val="111111"/>
                <w:lang w:val="en-US"/>
              </w:rPr>
              <w:t>14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days) 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8.73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6.73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111111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9.9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Definite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 in</w:t>
            </w:r>
            <w:r w:rsidRPr="009161A1">
              <w:rPr>
                <w:rFonts w:cstheme="minorHAnsi"/>
                <w:lang w:val="en-US"/>
              </w:rPr>
              <w:t xml:space="preserve"> other wards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of HUG per 100 non COVID19 hospitalizations (</w:t>
            </w:r>
            <w:proofErr w:type="spellStart"/>
            <w:r w:rsidRPr="009161A1">
              <w:rPr>
                <w:rFonts w:eastAsia="Arial" w:cstheme="minorHAnsi"/>
                <w:color w:val="111111"/>
                <w:lang w:val="en-US"/>
              </w:rPr>
              <w:t>LoS</w:t>
            </w:r>
            <w:proofErr w:type="spellEnd"/>
            <w:r w:rsidRPr="009161A1">
              <w:rPr>
                <w:rFonts w:eastAsia="Arial" w:cstheme="minorHAnsi"/>
                <w:color w:val="111111"/>
                <w:lang w:val="en-US"/>
              </w:rPr>
              <w:t xml:space="preserve"> &gt;</w:t>
            </w:r>
            <w:r>
              <w:rPr>
                <w:rFonts w:eastAsia="Arial" w:cstheme="minorHAnsi"/>
                <w:color w:val="111111"/>
                <w:lang w:val="en-US"/>
              </w:rPr>
              <w:t xml:space="preserve"> 14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days)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000000"/>
              </w:rPr>
            </w:pPr>
            <w:r w:rsidRPr="009161A1">
              <w:rPr>
                <w:rFonts w:eastAsia="Arial" w:cstheme="minorHAnsi"/>
                <w:color w:val="000000"/>
              </w:rPr>
              <w:t>0.98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000000"/>
              </w:rPr>
            </w:pPr>
            <w:r w:rsidRPr="009161A1">
              <w:rPr>
                <w:rFonts w:eastAsia="Arial" w:cstheme="minorHAnsi"/>
                <w:color w:val="000000"/>
              </w:rPr>
              <w:t>0.56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000000"/>
              </w:rPr>
            </w:pPr>
            <w:r w:rsidRPr="009161A1">
              <w:rPr>
                <w:rFonts w:eastAsia="Arial" w:cstheme="minorHAnsi"/>
                <w:color w:val="000000"/>
              </w:rPr>
              <w:t>1.15</w:t>
            </w:r>
          </w:p>
        </w:tc>
      </w:tr>
      <w:tr w:rsidR="007D5772" w:rsidRPr="009161A1" w:rsidTr="00B743CB">
        <w:tc>
          <w:tcPr>
            <w:tcW w:w="5382" w:type="dxa"/>
            <w:tcBorders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cstheme="minorHAnsi"/>
                <w:lang w:val="en-US"/>
              </w:rPr>
              <w:t>Definite HACC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 cases in nursing homes per 100 stay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000000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>46.3</w:t>
            </w:r>
          </w:p>
        </w:tc>
        <w:tc>
          <w:tcPr>
            <w:tcW w:w="2126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000000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>9.9</w:t>
            </w:r>
          </w:p>
        </w:tc>
        <w:tc>
          <w:tcPr>
            <w:tcW w:w="2127" w:type="dxa"/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eastAsia="Arial" w:cstheme="minorHAnsi"/>
                <w:color w:val="000000"/>
                <w:lang w:val="en-GB"/>
              </w:rPr>
            </w:pPr>
            <w:r w:rsidRPr="009161A1">
              <w:rPr>
                <w:rFonts w:eastAsia="Arial" w:cstheme="minorHAnsi"/>
                <w:color w:val="000000"/>
              </w:rPr>
              <w:t>36.4</w:t>
            </w:r>
          </w:p>
        </w:tc>
      </w:tr>
      <w:tr w:rsidR="007D5772" w:rsidRPr="009161A1" w:rsidTr="00B743CB">
        <w:tc>
          <w:tcPr>
            <w:tcW w:w="5382" w:type="dxa"/>
            <w:tcBorders>
              <w:bottom w:val="double" w:sz="4" w:space="0" w:color="auto"/>
              <w:right w:val="double" w:sz="4" w:space="0" w:color="auto"/>
            </w:tcBorders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111111"/>
                <w:lang w:val="en-US"/>
              </w:rPr>
              <w:t xml:space="preserve">deaths related with </w:t>
            </w:r>
            <w:r w:rsidRPr="009161A1">
              <w:rPr>
                <w:rFonts w:cstheme="minorHAnsi"/>
                <w:lang w:val="en-GB"/>
              </w:rPr>
              <w:t xml:space="preserve"> 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definite </w:t>
            </w:r>
            <w:r w:rsidRPr="009161A1">
              <w:rPr>
                <w:rFonts w:cstheme="minorHAnsi"/>
                <w:lang w:val="en-US"/>
              </w:rPr>
              <w:t xml:space="preserve">healthcare-associated </w:t>
            </w:r>
            <w:r w:rsidRPr="009161A1">
              <w:rPr>
                <w:rFonts w:eastAsia="Arial" w:cstheme="minorHAnsi"/>
                <w:color w:val="111111"/>
                <w:lang w:val="en-US"/>
              </w:rPr>
              <w:t xml:space="preserve">COVID19 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429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170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D5772" w:rsidRPr="009161A1" w:rsidRDefault="007D5772" w:rsidP="007D5772">
            <w:pPr>
              <w:spacing w:before="40" w:after="40" w:line="360" w:lineRule="auto"/>
              <w:ind w:left="100" w:right="100"/>
              <w:jc w:val="right"/>
              <w:rPr>
                <w:rFonts w:cstheme="minorHAnsi"/>
                <w:lang w:val="en-US"/>
              </w:rPr>
            </w:pPr>
            <w:r w:rsidRPr="009161A1">
              <w:rPr>
                <w:rFonts w:eastAsia="Arial" w:cstheme="minorHAnsi"/>
                <w:color w:val="000000"/>
              </w:rPr>
              <w:t>259</w:t>
            </w:r>
          </w:p>
        </w:tc>
      </w:tr>
    </w:tbl>
    <w:p w:rsidR="00CC2336" w:rsidRPr="007D5772" w:rsidRDefault="007D5772" w:rsidP="007D5772">
      <w:pPr>
        <w:rPr>
          <w:lang w:val="en-US"/>
        </w:rPr>
      </w:pPr>
      <w:r>
        <w:rPr>
          <w:lang w:val="en-GB"/>
        </w:rPr>
        <w:lastRenderedPageBreak/>
        <w:t xml:space="preserve">Supplementary </w:t>
      </w:r>
      <w:r w:rsidR="00AE513D">
        <w:rPr>
          <w:rFonts w:eastAsia="Arial" w:cstheme="minorHAnsi"/>
          <w:color w:val="000000"/>
          <w:lang w:val="en-GB"/>
        </w:rPr>
        <w:t>Table S1</w:t>
      </w:r>
      <w:r>
        <w:rPr>
          <w:lang w:val="en-GB"/>
        </w:rPr>
        <w:t xml:space="preserve">: </w:t>
      </w:r>
      <w:r w:rsidRPr="007D5772">
        <w:rPr>
          <w:lang w:val="en-GB"/>
        </w:rPr>
        <w:t>N</w:t>
      </w:r>
      <w:r w:rsidRPr="007D5772">
        <w:rPr>
          <w:lang w:val="en-US"/>
        </w:rPr>
        <w:t>umber of hospitalizations of len</w:t>
      </w:r>
      <w:r>
        <w:rPr>
          <w:lang w:val="en-US"/>
        </w:rPr>
        <w:t>gth of stay (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>) greater than 14</w:t>
      </w:r>
      <w:r w:rsidRPr="007D5772">
        <w:rPr>
          <w:lang w:val="en-US"/>
        </w:rPr>
        <w:t xml:space="preserve"> days and not related to COVID19 in the University Hospit</w:t>
      </w:r>
      <w:bookmarkStart w:id="0" w:name="_GoBack"/>
      <w:bookmarkEnd w:id="0"/>
      <w:r w:rsidRPr="007D5772">
        <w:rPr>
          <w:lang w:val="en-US"/>
        </w:rPr>
        <w:t>als of Geneva (H</w:t>
      </w:r>
      <w:r>
        <w:rPr>
          <w:lang w:val="en-US"/>
        </w:rPr>
        <w:t xml:space="preserve">UG), statistics concerning the </w:t>
      </w:r>
      <w:r w:rsidRPr="007D5772">
        <w:rPr>
          <w:lang w:val="en-US"/>
        </w:rPr>
        <w:t xml:space="preserve"> definite healthcare-associated COVID19 cases  in the state of Geneva during the COVID19 pandemic two periods (first period: 26th of February and July 1st 2020; second period: July 2nd 2020 to April 1st 2021)</w:t>
      </w:r>
    </w:p>
    <w:sectPr w:rsidR="00CC2336" w:rsidRPr="007D5772" w:rsidSect="007D577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2"/>
    <w:rsid w:val="001B7E2E"/>
    <w:rsid w:val="007D5772"/>
    <w:rsid w:val="00AE513D"/>
    <w:rsid w:val="00D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35DA09-80AF-46BD-9162-94D49CA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7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5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7D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7D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1540</Characters>
  <Application>Microsoft Office Word</Application>
  <DocSecurity>0</DocSecurity>
  <Lines>12</Lines>
  <Paragraphs>3</Paragraphs>
  <ScaleCrop>false</ScaleCrop>
  <Company>Hôpitaux Universitaires de Genève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MONGIN Denis</dc:creator>
  <cp:keywords/>
  <dc:description/>
  <cp:lastModifiedBy>MONGIN Denis</cp:lastModifiedBy>
  <cp:revision>2</cp:revision>
  <dcterms:created xsi:type="dcterms:W3CDTF">2021-09-21T14:04:00Z</dcterms:created>
  <dcterms:modified xsi:type="dcterms:W3CDTF">2021-09-21T14:06:00Z</dcterms:modified>
</cp:coreProperties>
</file>