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1A763" w14:textId="77777777" w:rsidR="00CD3B09" w:rsidRPr="00F16784" w:rsidRDefault="00CD3B09" w:rsidP="00CD3B09">
      <w:pPr>
        <w:spacing w:line="480" w:lineRule="auto"/>
        <w:rPr>
          <w:rFonts w:asciiTheme="majorBidi" w:hAnsiTheme="majorBidi" w:cstheme="majorBidi"/>
          <w:b/>
        </w:rPr>
      </w:pPr>
      <w:r w:rsidRPr="00F16784">
        <w:rPr>
          <w:rFonts w:asciiTheme="majorBidi" w:hAnsiTheme="majorBidi" w:cstheme="majorBidi"/>
          <w:b/>
        </w:rPr>
        <w:t>Supplementary Table 1</w:t>
      </w:r>
      <w:r w:rsidRPr="00F16784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 xml:space="preserve">International Classification of Diseases (ICD) Codes for Bacterial Pneumonia and </w:t>
      </w:r>
      <w:r w:rsidRPr="00F16784">
        <w:rPr>
          <w:rFonts w:asciiTheme="majorBidi" w:hAnsiTheme="majorBidi" w:cstheme="majorBidi"/>
        </w:rPr>
        <w:t>C</w:t>
      </w:r>
      <w:r>
        <w:rPr>
          <w:rFonts w:asciiTheme="majorBidi" w:hAnsiTheme="majorBidi" w:cstheme="majorBidi"/>
        </w:rPr>
        <w:t>urrent Procedural Terminology (CPT) C</w:t>
      </w:r>
      <w:r w:rsidRPr="00F16784">
        <w:rPr>
          <w:rFonts w:asciiTheme="majorBidi" w:hAnsiTheme="majorBidi" w:cstheme="majorBidi"/>
        </w:rPr>
        <w:t xml:space="preserve">odes for </w:t>
      </w:r>
      <w:r>
        <w:rPr>
          <w:rFonts w:asciiTheme="majorBidi" w:hAnsiTheme="majorBidi" w:cstheme="majorBidi"/>
        </w:rPr>
        <w:t>C</w:t>
      </w:r>
      <w:r w:rsidRPr="00F16784">
        <w:rPr>
          <w:rFonts w:asciiTheme="majorBidi" w:hAnsiTheme="majorBidi" w:cstheme="majorBidi"/>
        </w:rPr>
        <w:t xml:space="preserve">hest </w:t>
      </w:r>
      <w:r>
        <w:rPr>
          <w:rFonts w:asciiTheme="majorBidi" w:hAnsiTheme="majorBidi" w:cstheme="majorBidi"/>
        </w:rPr>
        <w:t>Imaging</w:t>
      </w:r>
      <w:r w:rsidRPr="00F16784">
        <w:rPr>
          <w:rFonts w:asciiTheme="majorBidi" w:hAnsiTheme="majorBidi" w:cstheme="majorBidi"/>
        </w:rPr>
        <w:t xml:space="preserve"> </w:t>
      </w:r>
    </w:p>
    <w:tbl>
      <w:tblPr>
        <w:tblW w:w="7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3420"/>
      </w:tblGrid>
      <w:tr w:rsidR="00CD3B09" w:rsidRPr="00F16784" w14:paraId="5BA3543A" w14:textId="77777777" w:rsidTr="00CE5033">
        <w:trPr>
          <w:trHeight w:val="300"/>
        </w:trPr>
        <w:tc>
          <w:tcPr>
            <w:tcW w:w="7285" w:type="dxa"/>
            <w:gridSpan w:val="2"/>
            <w:shd w:val="clear" w:color="auto" w:fill="auto"/>
            <w:noWrap/>
            <w:vAlign w:val="center"/>
          </w:tcPr>
          <w:p w14:paraId="358F75B4" w14:textId="77777777" w:rsidR="00CD3B09" w:rsidRPr="00093834" w:rsidRDefault="00CD3B09" w:rsidP="00CE503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09383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Inclusion Criteria</w:t>
            </w:r>
          </w:p>
        </w:tc>
      </w:tr>
      <w:tr w:rsidR="00CD3B09" w:rsidRPr="00F16784" w14:paraId="6ACCF8C0" w14:textId="77777777" w:rsidTr="00CE5033">
        <w:trPr>
          <w:trHeight w:val="300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23E32D1C" w14:textId="77777777" w:rsidR="00CD3B09" w:rsidRPr="00F16784" w:rsidRDefault="00CD3B09" w:rsidP="00CE5033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ICD-9 Codes</w:t>
            </w:r>
          </w:p>
        </w:tc>
        <w:tc>
          <w:tcPr>
            <w:tcW w:w="3420" w:type="dxa"/>
            <w:vAlign w:val="center"/>
          </w:tcPr>
          <w:p w14:paraId="5D463E32" w14:textId="77777777" w:rsidR="00CD3B09" w:rsidRPr="007A5011" w:rsidRDefault="00CD3B09" w:rsidP="00CE5033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7A501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48</w:t>
            </w: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</w:t>
            </w:r>
            <w:r w:rsidRPr="007A501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-486, 997.31</w:t>
            </w:r>
          </w:p>
        </w:tc>
      </w:tr>
      <w:tr w:rsidR="00CD3B09" w:rsidRPr="00F16784" w14:paraId="19E011E1" w14:textId="77777777" w:rsidTr="00CE5033">
        <w:trPr>
          <w:trHeight w:val="300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546FCFDD" w14:textId="77777777" w:rsidR="00CD3B09" w:rsidRPr="00F16784" w:rsidRDefault="00CD3B09" w:rsidP="00CE5033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ICD-10 Codes</w:t>
            </w:r>
          </w:p>
        </w:tc>
        <w:tc>
          <w:tcPr>
            <w:tcW w:w="3420" w:type="dxa"/>
            <w:vAlign w:val="center"/>
          </w:tcPr>
          <w:p w14:paraId="608643B3" w14:textId="77777777" w:rsidR="00CD3B09" w:rsidRPr="007A5011" w:rsidRDefault="00CD3B09" w:rsidP="00CE5033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proofErr w:type="spellStart"/>
            <w:r w:rsidRPr="007A501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J13-J18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J95.851</w:t>
            </w:r>
            <w:proofErr w:type="spellEnd"/>
          </w:p>
        </w:tc>
      </w:tr>
      <w:tr w:rsidR="00CD3B09" w:rsidRPr="00F16784" w14:paraId="5B4B54DA" w14:textId="77777777" w:rsidTr="00CE5033">
        <w:trPr>
          <w:trHeight w:val="300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441AB523" w14:textId="77777777" w:rsidR="00CD3B09" w:rsidRPr="00F16784" w:rsidRDefault="00CD3B09" w:rsidP="00CE5033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CPT Codes for Chest X-rays (2018 and prior)</w:t>
            </w:r>
          </w:p>
        </w:tc>
        <w:tc>
          <w:tcPr>
            <w:tcW w:w="3420" w:type="dxa"/>
            <w:vAlign w:val="center"/>
          </w:tcPr>
          <w:p w14:paraId="4FA3D5BB" w14:textId="77777777" w:rsidR="00CD3B09" w:rsidRPr="007A5011" w:rsidRDefault="00CD3B09" w:rsidP="00CE5033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7A5011">
              <w:rPr>
                <w:color w:val="000000" w:themeColor="text1"/>
                <w:sz w:val="18"/>
                <w:szCs w:val="18"/>
              </w:rPr>
              <w:t>71010</w:t>
            </w:r>
          </w:p>
        </w:tc>
      </w:tr>
      <w:tr w:rsidR="00CD3B09" w:rsidRPr="00F16784" w14:paraId="085625E3" w14:textId="77777777" w:rsidTr="00CE5033">
        <w:trPr>
          <w:trHeight w:val="300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74031AF0" w14:textId="77777777" w:rsidR="00CD3B09" w:rsidRPr="00F16784" w:rsidRDefault="00CD3B09" w:rsidP="00CE5033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362D7109" w14:textId="77777777" w:rsidR="00CD3B09" w:rsidRPr="007A5011" w:rsidRDefault="00CD3B09" w:rsidP="00CE5033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7A5011">
              <w:rPr>
                <w:color w:val="000000" w:themeColor="text1"/>
                <w:sz w:val="18"/>
                <w:szCs w:val="18"/>
              </w:rPr>
              <w:t>71015</w:t>
            </w:r>
          </w:p>
        </w:tc>
      </w:tr>
      <w:tr w:rsidR="00CD3B09" w:rsidRPr="00F16784" w14:paraId="06B0B542" w14:textId="77777777" w:rsidTr="00CE5033">
        <w:trPr>
          <w:trHeight w:val="300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6BF8311B" w14:textId="77777777" w:rsidR="00CD3B09" w:rsidRPr="00F16784" w:rsidRDefault="00CD3B09" w:rsidP="00CE5033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2B80C921" w14:textId="77777777" w:rsidR="00CD3B09" w:rsidRPr="007A5011" w:rsidRDefault="00CD3B09" w:rsidP="00CE5033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7A5011">
              <w:rPr>
                <w:color w:val="000000" w:themeColor="text1"/>
                <w:sz w:val="18"/>
                <w:szCs w:val="18"/>
              </w:rPr>
              <w:t>71020</w:t>
            </w:r>
          </w:p>
        </w:tc>
      </w:tr>
      <w:tr w:rsidR="00CD3B09" w:rsidRPr="00F16784" w14:paraId="6BCFA51F" w14:textId="77777777" w:rsidTr="00CE5033">
        <w:trPr>
          <w:trHeight w:val="300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44265648" w14:textId="77777777" w:rsidR="00CD3B09" w:rsidRPr="00F16784" w:rsidRDefault="00CD3B09" w:rsidP="00CE5033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0DC8CF91" w14:textId="77777777" w:rsidR="00CD3B09" w:rsidRPr="00F16784" w:rsidRDefault="00CD3B09" w:rsidP="00CE5033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71021</w:t>
            </w:r>
          </w:p>
        </w:tc>
      </w:tr>
      <w:tr w:rsidR="00CD3B09" w:rsidRPr="00F16784" w14:paraId="7D1653FA" w14:textId="77777777" w:rsidTr="00CE5033">
        <w:trPr>
          <w:trHeight w:val="300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17FE7FFD" w14:textId="77777777" w:rsidR="00CD3B09" w:rsidRPr="00F16784" w:rsidRDefault="00CD3B09" w:rsidP="00CE5033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1980CBC7" w14:textId="77777777" w:rsidR="00CD3B09" w:rsidRPr="00F16784" w:rsidRDefault="00CD3B09" w:rsidP="00CE5033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71022</w:t>
            </w:r>
          </w:p>
        </w:tc>
      </w:tr>
      <w:tr w:rsidR="00CD3B09" w:rsidRPr="00F16784" w14:paraId="353BF47B" w14:textId="77777777" w:rsidTr="00CE5033">
        <w:trPr>
          <w:trHeight w:val="300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5CA090FC" w14:textId="77777777" w:rsidR="00CD3B09" w:rsidRPr="00F16784" w:rsidRDefault="00CD3B09" w:rsidP="00CE5033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16E6F46F" w14:textId="77777777" w:rsidR="00CD3B09" w:rsidRPr="00F16784" w:rsidRDefault="00CD3B09" w:rsidP="00CE5033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71023</w:t>
            </w:r>
          </w:p>
        </w:tc>
      </w:tr>
      <w:tr w:rsidR="00CD3B09" w:rsidRPr="00F16784" w14:paraId="514E0635" w14:textId="77777777" w:rsidTr="00CE5033">
        <w:trPr>
          <w:trHeight w:val="300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581EE853" w14:textId="77777777" w:rsidR="00CD3B09" w:rsidRPr="00F16784" w:rsidRDefault="00CD3B09" w:rsidP="00CE5033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34C3A998" w14:textId="77777777" w:rsidR="00CD3B09" w:rsidRPr="00F16784" w:rsidRDefault="00CD3B09" w:rsidP="00CE5033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71030</w:t>
            </w:r>
          </w:p>
        </w:tc>
      </w:tr>
      <w:tr w:rsidR="00CD3B09" w:rsidRPr="00F16784" w14:paraId="1A64B24D" w14:textId="77777777" w:rsidTr="00CE5033">
        <w:trPr>
          <w:trHeight w:val="300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3950FEDD" w14:textId="77777777" w:rsidR="00CD3B09" w:rsidRPr="00F16784" w:rsidRDefault="00CD3B09" w:rsidP="00CE5033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734E356E" w14:textId="77777777" w:rsidR="00CD3B09" w:rsidRPr="00F16784" w:rsidRDefault="00CD3B09" w:rsidP="00CE5033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71034</w:t>
            </w:r>
          </w:p>
        </w:tc>
      </w:tr>
      <w:tr w:rsidR="00CD3B09" w:rsidRPr="00F16784" w14:paraId="6DDF23CC" w14:textId="77777777" w:rsidTr="00CE5033">
        <w:trPr>
          <w:trHeight w:val="300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2418F8D5" w14:textId="77777777" w:rsidR="00CD3B09" w:rsidRPr="00F16784" w:rsidRDefault="00CD3B09" w:rsidP="00CE5033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6D0EDA71" w14:textId="77777777" w:rsidR="00CD3B09" w:rsidRPr="00F16784" w:rsidRDefault="00CD3B09" w:rsidP="00CE5033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71035</w:t>
            </w:r>
          </w:p>
        </w:tc>
      </w:tr>
      <w:tr w:rsidR="00CD3B09" w:rsidRPr="00F16784" w14:paraId="20829A87" w14:textId="77777777" w:rsidTr="00CE5033">
        <w:trPr>
          <w:trHeight w:val="300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246D47F7" w14:textId="77777777" w:rsidR="00CD3B09" w:rsidRPr="00F16784" w:rsidRDefault="00CD3B09" w:rsidP="00CE5033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CPT Codes for Chest X-rays (≥ 2019)</w:t>
            </w:r>
          </w:p>
        </w:tc>
        <w:tc>
          <w:tcPr>
            <w:tcW w:w="3420" w:type="dxa"/>
            <w:vAlign w:val="center"/>
          </w:tcPr>
          <w:p w14:paraId="0F6E9624" w14:textId="77777777" w:rsidR="00CD3B09" w:rsidRPr="007A5011" w:rsidRDefault="00CD3B09" w:rsidP="00CE5033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7A501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71045</w:t>
            </w:r>
          </w:p>
        </w:tc>
      </w:tr>
      <w:tr w:rsidR="00CD3B09" w:rsidRPr="00F16784" w14:paraId="6C2FB71E" w14:textId="77777777" w:rsidTr="00CE5033">
        <w:trPr>
          <w:trHeight w:val="300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4D6EF067" w14:textId="77777777" w:rsidR="00CD3B09" w:rsidRPr="00F16784" w:rsidRDefault="00CD3B09" w:rsidP="00CE5033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34098492" w14:textId="77777777" w:rsidR="00CD3B09" w:rsidRPr="007A5011" w:rsidRDefault="00CD3B09" w:rsidP="00CE5033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7A501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71046</w:t>
            </w:r>
          </w:p>
        </w:tc>
      </w:tr>
      <w:tr w:rsidR="00CD3B09" w:rsidRPr="00F16784" w14:paraId="4DF8E460" w14:textId="77777777" w:rsidTr="00CE5033">
        <w:trPr>
          <w:trHeight w:val="300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7D90F12E" w14:textId="77777777" w:rsidR="00CD3B09" w:rsidRPr="00F16784" w:rsidRDefault="00CD3B09" w:rsidP="00CE5033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3C817882" w14:textId="77777777" w:rsidR="00CD3B09" w:rsidRPr="007A5011" w:rsidRDefault="00CD3B09" w:rsidP="00CE5033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7A501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71047</w:t>
            </w:r>
          </w:p>
        </w:tc>
      </w:tr>
      <w:tr w:rsidR="00CD3B09" w:rsidRPr="00F16784" w14:paraId="07ADCD6A" w14:textId="77777777" w:rsidTr="00CE5033">
        <w:trPr>
          <w:trHeight w:val="300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605E05D9" w14:textId="77777777" w:rsidR="00CD3B09" w:rsidRPr="00F16784" w:rsidRDefault="00CD3B09" w:rsidP="00CE5033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121340E8" w14:textId="77777777" w:rsidR="00CD3B09" w:rsidRPr="007A5011" w:rsidRDefault="00CD3B09" w:rsidP="00CE5033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7A501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71048</w:t>
            </w:r>
          </w:p>
        </w:tc>
      </w:tr>
      <w:tr w:rsidR="00CD3B09" w:rsidRPr="00F16784" w14:paraId="7A2DECFC" w14:textId="77777777" w:rsidTr="00CE5033">
        <w:trPr>
          <w:trHeight w:val="300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31AE19C6" w14:textId="77777777" w:rsidR="00CD3B09" w:rsidRPr="00F16784" w:rsidRDefault="00CD3B09" w:rsidP="00CE5033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CPT Codes for chest CT scans</w:t>
            </w:r>
          </w:p>
        </w:tc>
        <w:tc>
          <w:tcPr>
            <w:tcW w:w="3420" w:type="dxa"/>
            <w:vAlign w:val="center"/>
          </w:tcPr>
          <w:p w14:paraId="7F1F9898" w14:textId="77777777" w:rsidR="00CD3B09" w:rsidRPr="007A5011" w:rsidRDefault="00CD3B09" w:rsidP="00CE5033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7A501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71250</w:t>
            </w:r>
          </w:p>
        </w:tc>
      </w:tr>
      <w:tr w:rsidR="00CD3B09" w:rsidRPr="00F16784" w14:paraId="0197D098" w14:textId="77777777" w:rsidTr="00CE5033">
        <w:trPr>
          <w:trHeight w:val="300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4EE983CB" w14:textId="77777777" w:rsidR="00CD3B09" w:rsidRPr="00F16784" w:rsidRDefault="00CD3B09" w:rsidP="00CE5033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6F71F383" w14:textId="77777777" w:rsidR="00CD3B09" w:rsidRPr="007A5011" w:rsidRDefault="00CD3B09" w:rsidP="00CE5033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7A501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71260 </w:t>
            </w:r>
          </w:p>
        </w:tc>
      </w:tr>
      <w:tr w:rsidR="00CD3B09" w:rsidRPr="00F16784" w14:paraId="460B3989" w14:textId="77777777" w:rsidTr="00CE5033">
        <w:trPr>
          <w:trHeight w:val="300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382A0F31" w14:textId="77777777" w:rsidR="00CD3B09" w:rsidRPr="00F16784" w:rsidRDefault="00CD3B09" w:rsidP="00CE5033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40959894" w14:textId="77777777" w:rsidR="00CD3B09" w:rsidRPr="007A5011" w:rsidRDefault="00CD3B09" w:rsidP="00CE5033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7A501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71270</w:t>
            </w:r>
          </w:p>
        </w:tc>
      </w:tr>
    </w:tbl>
    <w:p w14:paraId="37AB1975" w14:textId="77777777" w:rsidR="00CD3B09" w:rsidRDefault="00CD3B09" w:rsidP="00CD3B09">
      <w:pPr>
        <w:spacing w:line="480" w:lineRule="auto"/>
        <w:rPr>
          <w:rFonts w:asciiTheme="majorBidi" w:hAnsiTheme="majorBidi" w:cstheme="majorBidi"/>
          <w:b/>
        </w:rPr>
      </w:pPr>
    </w:p>
    <w:tbl>
      <w:tblPr>
        <w:tblW w:w="7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3420"/>
      </w:tblGrid>
      <w:tr w:rsidR="00CD3B09" w:rsidRPr="00F16784" w14:paraId="23B23135" w14:textId="77777777" w:rsidTr="00CE5033">
        <w:trPr>
          <w:trHeight w:val="300"/>
        </w:trPr>
        <w:tc>
          <w:tcPr>
            <w:tcW w:w="7285" w:type="dxa"/>
            <w:gridSpan w:val="2"/>
            <w:shd w:val="clear" w:color="auto" w:fill="auto"/>
            <w:noWrap/>
            <w:vAlign w:val="center"/>
          </w:tcPr>
          <w:p w14:paraId="39FC6B6E" w14:textId="77777777" w:rsidR="00CD3B09" w:rsidRPr="00093834" w:rsidRDefault="00CD3B09" w:rsidP="00CE503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Exclusion </w:t>
            </w:r>
            <w:r w:rsidRPr="0009383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Criteria</w:t>
            </w:r>
          </w:p>
        </w:tc>
      </w:tr>
      <w:tr w:rsidR="00CD3B09" w:rsidRPr="00F16784" w14:paraId="449061DF" w14:textId="77777777" w:rsidTr="00CE5033">
        <w:trPr>
          <w:trHeight w:val="300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0616745B" w14:textId="77777777" w:rsidR="00CD3B09" w:rsidRPr="00F16784" w:rsidRDefault="00CD3B09" w:rsidP="00CE5033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ICD-9 Codes</w:t>
            </w:r>
          </w:p>
        </w:tc>
        <w:tc>
          <w:tcPr>
            <w:tcW w:w="3420" w:type="dxa"/>
            <w:vAlign w:val="center"/>
          </w:tcPr>
          <w:p w14:paraId="267A8015" w14:textId="77777777" w:rsidR="00CD3B09" w:rsidRPr="007A5011" w:rsidRDefault="00CD3B09" w:rsidP="00CE5033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480, 487, 488</w:t>
            </w:r>
          </w:p>
        </w:tc>
      </w:tr>
      <w:tr w:rsidR="00CD3B09" w:rsidRPr="00F16784" w14:paraId="29BDB901" w14:textId="77777777" w:rsidTr="00CE5033">
        <w:trPr>
          <w:trHeight w:val="300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72078359" w14:textId="77777777" w:rsidR="00CD3B09" w:rsidRPr="00F16784" w:rsidRDefault="00CD3B09" w:rsidP="00CE5033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ICD-10 Codes</w:t>
            </w:r>
          </w:p>
        </w:tc>
        <w:tc>
          <w:tcPr>
            <w:tcW w:w="3420" w:type="dxa"/>
            <w:vAlign w:val="center"/>
          </w:tcPr>
          <w:p w14:paraId="2546D748" w14:textId="77777777" w:rsidR="00CD3B09" w:rsidRPr="007A5011" w:rsidRDefault="00CD3B09" w:rsidP="00CE5033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J09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-12</w:t>
            </w:r>
          </w:p>
        </w:tc>
      </w:tr>
    </w:tbl>
    <w:p w14:paraId="6E6F18A7" w14:textId="77777777" w:rsidR="00CD3B09" w:rsidRDefault="00CD3B09" w:rsidP="00CD3B09">
      <w:pPr>
        <w:spacing w:line="480" w:lineRule="auto"/>
        <w:rPr>
          <w:rFonts w:asciiTheme="majorBidi" w:hAnsiTheme="majorBidi" w:cstheme="majorBidi"/>
          <w:b/>
        </w:rPr>
      </w:pPr>
    </w:p>
    <w:p w14:paraId="3711AED6" w14:textId="77777777" w:rsidR="00CD3B09" w:rsidRDefault="00CD3B09" w:rsidP="00CD3B09">
      <w:pPr>
        <w:spacing w:line="480" w:lineRule="auto"/>
        <w:rPr>
          <w:rFonts w:asciiTheme="majorBidi" w:hAnsiTheme="majorBidi" w:cstheme="majorBidi"/>
          <w:b/>
        </w:rPr>
      </w:pPr>
    </w:p>
    <w:p w14:paraId="3C6D1E6F" w14:textId="77777777" w:rsidR="00CD3B09" w:rsidRDefault="00CD3B09" w:rsidP="00CD3B09">
      <w:pPr>
        <w:spacing w:line="480" w:lineRule="auto"/>
        <w:rPr>
          <w:rFonts w:asciiTheme="majorBidi" w:hAnsiTheme="majorBidi" w:cstheme="majorBidi"/>
          <w:b/>
        </w:rPr>
      </w:pPr>
    </w:p>
    <w:p w14:paraId="4135683C" w14:textId="77777777" w:rsidR="00CD3B09" w:rsidRDefault="00CD3B09" w:rsidP="00CD3B09">
      <w:pPr>
        <w:spacing w:line="480" w:lineRule="auto"/>
        <w:rPr>
          <w:rFonts w:asciiTheme="majorBidi" w:hAnsiTheme="majorBidi" w:cstheme="majorBidi"/>
          <w:b/>
        </w:rPr>
      </w:pPr>
    </w:p>
    <w:p w14:paraId="38EC8C74" w14:textId="77777777" w:rsidR="00CD3B09" w:rsidRDefault="00CD3B09" w:rsidP="00CD3B09">
      <w:pPr>
        <w:spacing w:line="480" w:lineRule="auto"/>
        <w:rPr>
          <w:rFonts w:asciiTheme="majorBidi" w:hAnsiTheme="majorBidi" w:cstheme="majorBidi"/>
          <w:b/>
        </w:rPr>
        <w:sectPr w:rsidR="00CD3B09" w:rsidSect="00055575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FD9A23" w14:textId="3AC13AFB" w:rsidR="00ED78B2" w:rsidRDefault="00ED78B2" w:rsidP="00ED78B2">
      <w:pPr>
        <w:spacing w:after="160" w:line="360" w:lineRule="auto"/>
        <w:rPr>
          <w:rFonts w:asciiTheme="majorBidi" w:hAnsiTheme="majorBidi" w:cstheme="majorBidi"/>
          <w:b/>
          <w:color w:val="000000" w:themeColor="text1"/>
        </w:rPr>
      </w:pPr>
      <w:r w:rsidRPr="00ED78B2">
        <w:rPr>
          <w:rFonts w:asciiTheme="majorBidi" w:hAnsiTheme="majorBidi" w:cstheme="majorBidi"/>
          <w:b/>
          <w:color w:val="000000" w:themeColor="text1"/>
        </w:rPr>
        <w:lastRenderedPageBreak/>
        <w:t>Supplementary Figure 1.</w:t>
      </w:r>
      <w:r w:rsidRPr="00ED78B2">
        <w:rPr>
          <w:rFonts w:asciiTheme="majorBidi" w:hAnsiTheme="majorBidi" w:cstheme="majorBidi"/>
          <w:bCs/>
          <w:color w:val="000000" w:themeColor="text1"/>
        </w:rPr>
        <w:t xml:space="preserve">  </w:t>
      </w:r>
    </w:p>
    <w:p w14:paraId="0E3D0C52" w14:textId="694C308C" w:rsidR="00ED78B2" w:rsidRDefault="00ED78B2" w:rsidP="00ED78B2">
      <w:pPr>
        <w:spacing w:after="160" w:line="360" w:lineRule="auto"/>
        <w:rPr>
          <w:rFonts w:asciiTheme="majorBidi" w:hAnsiTheme="majorBidi" w:cstheme="majorBidi"/>
          <w:b/>
          <w:color w:val="000000" w:themeColor="text1"/>
        </w:rPr>
      </w:pPr>
      <w:r>
        <w:rPr>
          <w:rFonts w:asciiTheme="majorBidi" w:hAnsiTheme="majorBidi" w:cstheme="majorBidi"/>
          <w:b/>
          <w:noProof/>
          <w:color w:val="000000" w:themeColor="text1"/>
        </w:rPr>
        <w:drawing>
          <wp:inline distT="0" distB="0" distL="0" distR="0" wp14:anchorId="32D25D81" wp14:editId="22F47710">
            <wp:extent cx="8139659" cy="4100266"/>
            <wp:effectExtent l="0" t="0" r="1270" b="1905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1977" cy="413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10FC8" w14:textId="236253FE" w:rsidR="00CF62D6" w:rsidRPr="00ED78B2" w:rsidRDefault="004A7988" w:rsidP="00ED78B2">
      <w:pPr>
        <w:spacing w:after="160" w:line="360" w:lineRule="auto"/>
        <w:rPr>
          <w:rFonts w:asciiTheme="majorBidi" w:hAnsiTheme="majorBidi" w:cstheme="majorBidi"/>
          <w:b/>
          <w:color w:val="000000" w:themeColor="text1"/>
        </w:rPr>
      </w:pPr>
      <w:r w:rsidRPr="00ED78B2">
        <w:rPr>
          <w:rFonts w:asciiTheme="majorBidi" w:hAnsiTheme="majorBidi" w:cstheme="majorBidi"/>
          <w:bCs/>
          <w:color w:val="000000" w:themeColor="text1"/>
        </w:rPr>
        <w:t xml:space="preserve">Flow diagram of the application of inclusion and exclusion criteria to identify patients with hospital-acquired pneumonia (HAP) or ventilator-associated pneumonia (VAP) that comprised the cohort that </w:t>
      </w:r>
      <w:proofErr w:type="gramStart"/>
      <w:r w:rsidRPr="00ED78B2">
        <w:rPr>
          <w:rFonts w:asciiTheme="majorBidi" w:hAnsiTheme="majorBidi" w:cstheme="majorBidi"/>
          <w:bCs/>
          <w:color w:val="000000" w:themeColor="text1"/>
        </w:rPr>
        <w:t>was stratified</w:t>
      </w:r>
      <w:proofErr w:type="gramEnd"/>
      <w:r w:rsidRPr="00ED78B2">
        <w:rPr>
          <w:rFonts w:asciiTheme="majorBidi" w:hAnsiTheme="majorBidi" w:cstheme="majorBidi"/>
          <w:bCs/>
          <w:color w:val="000000" w:themeColor="text1"/>
        </w:rPr>
        <w:t xml:space="preserve"> by microbiological culture results and then analyzed.</w:t>
      </w:r>
      <w:r w:rsidR="00021BAA" w:rsidRPr="00ED78B2">
        <w:rPr>
          <w:rFonts w:asciiTheme="majorBidi" w:hAnsiTheme="majorBidi" w:cstheme="majorBidi"/>
          <w:bCs/>
          <w:color w:val="000000" w:themeColor="text1"/>
        </w:rPr>
        <w:t xml:space="preserve">  </w:t>
      </w:r>
      <w:r w:rsidR="00021BAA" w:rsidRPr="00ED78B2">
        <w:rPr>
          <w:rFonts w:asciiTheme="majorBidi" w:hAnsiTheme="majorBidi" w:cstheme="majorBidi"/>
          <w:bCs/>
          <w:color w:val="000000" w:themeColor="text1"/>
          <w:vertAlign w:val="superscript"/>
        </w:rPr>
        <w:t xml:space="preserve">a </w:t>
      </w:r>
      <w:r w:rsidR="00021BAA" w:rsidRPr="00ED78B2">
        <w:rPr>
          <w:rFonts w:asciiTheme="majorBidi" w:hAnsiTheme="majorBidi" w:cstheme="majorBidi"/>
          <w:bCs/>
          <w:color w:val="000000" w:themeColor="text1"/>
        </w:rPr>
        <w:t xml:space="preserve">Represents the total number of patients excluded in each exclusion step. For each major exclusion criteria, patients may have met multiple sub-criteria for exclusion.  </w:t>
      </w:r>
      <w:proofErr w:type="spellStart"/>
      <w:r w:rsidR="00021BAA" w:rsidRPr="00ED78B2">
        <w:rPr>
          <w:rFonts w:asciiTheme="majorBidi" w:hAnsiTheme="majorBidi" w:cstheme="majorBidi"/>
          <w:bCs/>
          <w:color w:val="000000" w:themeColor="text1"/>
          <w:vertAlign w:val="superscript"/>
        </w:rPr>
        <w:t>b</w:t>
      </w:r>
      <w:r w:rsidR="00021BAA" w:rsidRPr="00ED78B2">
        <w:rPr>
          <w:rFonts w:asciiTheme="majorBidi" w:hAnsiTheme="majorBidi" w:cstheme="majorBidi"/>
          <w:bCs/>
          <w:color w:val="000000" w:themeColor="text1"/>
        </w:rPr>
        <w:t>Six</w:t>
      </w:r>
      <w:proofErr w:type="spellEnd"/>
      <w:r w:rsidR="00021BAA" w:rsidRPr="00ED78B2">
        <w:rPr>
          <w:rFonts w:asciiTheme="majorBidi" w:hAnsiTheme="majorBidi" w:cstheme="majorBidi"/>
          <w:bCs/>
          <w:color w:val="000000" w:themeColor="text1"/>
        </w:rPr>
        <w:t xml:space="preserve"> patients </w:t>
      </w:r>
      <w:proofErr w:type="gramStart"/>
      <w:r w:rsidR="00021BAA" w:rsidRPr="00ED78B2">
        <w:rPr>
          <w:rFonts w:asciiTheme="majorBidi" w:hAnsiTheme="majorBidi" w:cstheme="majorBidi"/>
          <w:bCs/>
          <w:color w:val="000000" w:themeColor="text1"/>
        </w:rPr>
        <w:t>were excluded</w:t>
      </w:r>
      <w:proofErr w:type="gramEnd"/>
      <w:r w:rsidR="00021BAA" w:rsidRPr="00ED78B2">
        <w:rPr>
          <w:rFonts w:asciiTheme="majorBidi" w:hAnsiTheme="majorBidi" w:cstheme="majorBidi"/>
          <w:bCs/>
          <w:color w:val="000000" w:themeColor="text1"/>
        </w:rPr>
        <w:t xml:space="preserve"> from the final analysis because they had both respiratory pathogens and normal flora/negative growth recovered from the same case.</w:t>
      </w:r>
    </w:p>
    <w:p w14:paraId="17B2D424" w14:textId="77777777" w:rsidR="00CD3B09" w:rsidRDefault="00CD3B09" w:rsidP="00ED78B2">
      <w:pPr>
        <w:spacing w:line="360" w:lineRule="auto"/>
        <w:rPr>
          <w:rFonts w:asciiTheme="majorBidi" w:hAnsiTheme="majorBidi" w:cstheme="majorBidi"/>
          <w:b/>
          <w:color w:val="000000" w:themeColor="text1"/>
        </w:rPr>
        <w:sectPr w:rsidR="00CD3B09" w:rsidSect="00ED78B2">
          <w:footerReference w:type="default" r:id="rId10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93DE67A" w14:textId="238A9CEC" w:rsidR="00ED78B2" w:rsidRDefault="00E44CC0" w:rsidP="00ED78B2">
      <w:pPr>
        <w:spacing w:line="360" w:lineRule="auto"/>
        <w:rPr>
          <w:rFonts w:asciiTheme="majorBidi" w:hAnsiTheme="majorBidi" w:cstheme="majorBidi"/>
          <w:bCs/>
          <w:color w:val="000000" w:themeColor="text1"/>
        </w:rPr>
      </w:pPr>
      <w:r w:rsidRPr="00ED78B2">
        <w:rPr>
          <w:rFonts w:asciiTheme="majorBidi" w:hAnsiTheme="majorBidi" w:cstheme="majorBidi"/>
          <w:b/>
          <w:color w:val="000000" w:themeColor="text1"/>
        </w:rPr>
        <w:lastRenderedPageBreak/>
        <w:t xml:space="preserve">Supplementary </w:t>
      </w:r>
      <w:r w:rsidR="00BE064C" w:rsidRPr="00ED78B2">
        <w:rPr>
          <w:rFonts w:asciiTheme="majorBidi" w:hAnsiTheme="majorBidi" w:cstheme="majorBidi"/>
          <w:b/>
          <w:color w:val="000000" w:themeColor="text1"/>
        </w:rPr>
        <w:t>Figure 2</w:t>
      </w:r>
      <w:r w:rsidR="00BE064C" w:rsidRPr="00ED78B2">
        <w:rPr>
          <w:rFonts w:asciiTheme="majorBidi" w:hAnsiTheme="majorBidi" w:cstheme="majorBidi"/>
          <w:bCs/>
          <w:color w:val="000000" w:themeColor="text1"/>
        </w:rPr>
        <w:t xml:space="preserve">.  </w:t>
      </w:r>
    </w:p>
    <w:p w14:paraId="3727EE1D" w14:textId="77777777" w:rsidR="00ED78B2" w:rsidRDefault="00ED78B2" w:rsidP="00ED78B2">
      <w:pPr>
        <w:spacing w:line="360" w:lineRule="auto"/>
        <w:rPr>
          <w:rFonts w:asciiTheme="majorBidi" w:hAnsiTheme="majorBidi" w:cstheme="majorBidi"/>
          <w:bCs/>
          <w:color w:val="000000" w:themeColor="text1"/>
        </w:rPr>
      </w:pPr>
    </w:p>
    <w:p w14:paraId="3645A806" w14:textId="62406B15" w:rsidR="00ED78B2" w:rsidRDefault="00ED78B2" w:rsidP="00ED78B2">
      <w:pPr>
        <w:spacing w:line="360" w:lineRule="auto"/>
        <w:rPr>
          <w:rFonts w:asciiTheme="majorBidi" w:hAnsiTheme="majorBidi" w:cstheme="majorBidi"/>
          <w:bCs/>
          <w:color w:val="000000" w:themeColor="text1"/>
        </w:rPr>
      </w:pPr>
      <w:r>
        <w:rPr>
          <w:rFonts w:asciiTheme="majorBidi" w:hAnsiTheme="majorBidi" w:cstheme="majorBidi"/>
          <w:bCs/>
          <w:noProof/>
          <w:color w:val="000000" w:themeColor="text1"/>
        </w:rPr>
        <w:drawing>
          <wp:inline distT="0" distB="0" distL="0" distR="0" wp14:anchorId="5C58F47F" wp14:editId="6C3F6CF2">
            <wp:extent cx="4191000" cy="3429000"/>
            <wp:effectExtent l="0" t="0" r="0" b="0"/>
            <wp:docPr id="2" name="Picture 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abl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445A4" w14:textId="77777777" w:rsidR="00ED78B2" w:rsidRDefault="00ED78B2" w:rsidP="00ED78B2">
      <w:pPr>
        <w:spacing w:line="360" w:lineRule="auto"/>
        <w:rPr>
          <w:rFonts w:asciiTheme="majorBidi" w:hAnsiTheme="majorBidi" w:cstheme="majorBidi"/>
          <w:bCs/>
          <w:color w:val="000000" w:themeColor="text1"/>
        </w:rPr>
      </w:pPr>
    </w:p>
    <w:p w14:paraId="5BEF3321" w14:textId="78A7D7F2" w:rsidR="00CF62D6" w:rsidRPr="00ED78B2" w:rsidRDefault="00BE064C" w:rsidP="00ED78B2">
      <w:pPr>
        <w:spacing w:line="360" w:lineRule="auto"/>
        <w:rPr>
          <w:rFonts w:asciiTheme="majorBidi" w:hAnsiTheme="majorBidi" w:cstheme="majorBidi"/>
          <w:bCs/>
          <w:color w:val="000000" w:themeColor="text1"/>
        </w:rPr>
      </w:pPr>
      <w:r w:rsidRPr="00ED78B2">
        <w:rPr>
          <w:rFonts w:asciiTheme="majorBidi" w:hAnsiTheme="majorBidi" w:cstheme="majorBidi"/>
          <w:color w:val="000000" w:themeColor="text1"/>
        </w:rPr>
        <w:t xml:space="preserve">Kaplan Meier curves of time to death following hospital-acquired pneumonia and ventilatory-associated pneumonia comparing among patients with respiratory cultures that yielded microbiological results (black line) compared to those with culture results that </w:t>
      </w:r>
      <w:proofErr w:type="gramStart"/>
      <w:r w:rsidRPr="00ED78B2">
        <w:rPr>
          <w:rFonts w:asciiTheme="majorBidi" w:hAnsiTheme="majorBidi" w:cstheme="majorBidi"/>
          <w:color w:val="000000" w:themeColor="text1"/>
        </w:rPr>
        <w:t>were reported</w:t>
      </w:r>
      <w:proofErr w:type="gramEnd"/>
      <w:r w:rsidRPr="00ED78B2">
        <w:rPr>
          <w:rFonts w:asciiTheme="majorBidi" w:hAnsiTheme="majorBidi" w:cstheme="majorBidi"/>
          <w:color w:val="000000" w:themeColor="text1"/>
        </w:rPr>
        <w:t xml:space="preserve"> as normal respiratory flora or no growth (grey line).  </w:t>
      </w:r>
    </w:p>
    <w:p w14:paraId="17AC6D18" w14:textId="77777777" w:rsidR="00CF62D6" w:rsidRPr="00ED78B2" w:rsidRDefault="00CF62D6" w:rsidP="00ED78B2">
      <w:pPr>
        <w:spacing w:line="360" w:lineRule="auto"/>
        <w:rPr>
          <w:rFonts w:asciiTheme="majorBidi" w:hAnsiTheme="majorBidi" w:cstheme="majorBidi"/>
          <w:color w:val="000000" w:themeColor="text1"/>
        </w:rPr>
      </w:pPr>
    </w:p>
    <w:p w14:paraId="6E82623A" w14:textId="77777777" w:rsidR="00ED78B2" w:rsidRDefault="00ED78B2">
      <w:pPr>
        <w:spacing w:after="160" w:line="259" w:lineRule="auto"/>
        <w:rPr>
          <w:rFonts w:asciiTheme="majorBidi" w:hAnsiTheme="majorBidi" w:cstheme="majorBidi"/>
          <w:b/>
          <w:color w:val="000000" w:themeColor="text1"/>
        </w:rPr>
      </w:pPr>
      <w:r>
        <w:rPr>
          <w:rFonts w:asciiTheme="majorBidi" w:hAnsiTheme="majorBidi" w:cstheme="majorBidi"/>
          <w:b/>
          <w:color w:val="000000" w:themeColor="text1"/>
        </w:rPr>
        <w:br w:type="page"/>
      </w:r>
    </w:p>
    <w:p w14:paraId="23F75EDB" w14:textId="5D36FBB3" w:rsidR="00ED78B2" w:rsidRDefault="00E44CC0" w:rsidP="00ED78B2">
      <w:pPr>
        <w:spacing w:line="360" w:lineRule="auto"/>
        <w:rPr>
          <w:rFonts w:asciiTheme="majorBidi" w:hAnsiTheme="majorBidi" w:cstheme="majorBidi"/>
          <w:b/>
          <w:color w:val="000000" w:themeColor="text1"/>
        </w:rPr>
      </w:pPr>
      <w:r w:rsidRPr="00ED78B2">
        <w:rPr>
          <w:rFonts w:asciiTheme="majorBidi" w:hAnsiTheme="majorBidi" w:cstheme="majorBidi"/>
          <w:b/>
          <w:color w:val="000000" w:themeColor="text1"/>
        </w:rPr>
        <w:lastRenderedPageBreak/>
        <w:t xml:space="preserve">Supplementary </w:t>
      </w:r>
      <w:r w:rsidR="004C718F" w:rsidRPr="00ED78B2">
        <w:rPr>
          <w:rFonts w:asciiTheme="majorBidi" w:hAnsiTheme="majorBidi" w:cstheme="majorBidi"/>
          <w:b/>
          <w:color w:val="000000" w:themeColor="text1"/>
        </w:rPr>
        <w:t>Figure 3</w:t>
      </w:r>
      <w:r w:rsidR="00E87E55" w:rsidRPr="00ED78B2">
        <w:rPr>
          <w:rFonts w:asciiTheme="majorBidi" w:hAnsiTheme="majorBidi" w:cstheme="majorBidi"/>
          <w:b/>
          <w:color w:val="000000" w:themeColor="text1"/>
        </w:rPr>
        <w:t xml:space="preserve">.  </w:t>
      </w:r>
    </w:p>
    <w:p w14:paraId="2162F0D9" w14:textId="77777777" w:rsidR="00CD3B09" w:rsidRDefault="00CD3B09" w:rsidP="00ED78B2">
      <w:pPr>
        <w:spacing w:line="360" w:lineRule="auto"/>
        <w:rPr>
          <w:rFonts w:asciiTheme="majorBidi" w:hAnsiTheme="majorBidi" w:cstheme="majorBidi"/>
          <w:b/>
          <w:color w:val="000000" w:themeColor="text1"/>
        </w:rPr>
      </w:pPr>
    </w:p>
    <w:p w14:paraId="50DF43F1" w14:textId="52514053" w:rsidR="00ED78B2" w:rsidRDefault="00ED78B2" w:rsidP="00ED78B2">
      <w:pPr>
        <w:spacing w:line="360" w:lineRule="auto"/>
        <w:rPr>
          <w:rFonts w:asciiTheme="majorBidi" w:hAnsiTheme="majorBidi" w:cstheme="majorBidi"/>
          <w:b/>
          <w:color w:val="000000" w:themeColor="text1"/>
        </w:rPr>
      </w:pPr>
      <w:r>
        <w:rPr>
          <w:rFonts w:asciiTheme="majorBidi" w:hAnsiTheme="majorBidi" w:cstheme="majorBidi"/>
          <w:b/>
          <w:noProof/>
          <w:color w:val="000000" w:themeColor="text1"/>
        </w:rPr>
        <w:drawing>
          <wp:inline distT="0" distB="0" distL="0" distR="0" wp14:anchorId="16EADB26" wp14:editId="22F634F5">
            <wp:extent cx="5428103" cy="4054839"/>
            <wp:effectExtent l="0" t="0" r="0" b="0"/>
            <wp:docPr id="1" name="Picture 1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ar char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190" cy="4084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2BDDE" w14:textId="34617344" w:rsidR="004C718F" w:rsidRDefault="00E87E55" w:rsidP="00ED78B2">
      <w:pPr>
        <w:spacing w:line="360" w:lineRule="auto"/>
        <w:rPr>
          <w:rFonts w:asciiTheme="majorBidi" w:hAnsiTheme="majorBidi" w:cstheme="majorBidi"/>
          <w:color w:val="000000" w:themeColor="text1"/>
        </w:rPr>
      </w:pPr>
      <w:r w:rsidRPr="00ED78B2">
        <w:rPr>
          <w:rFonts w:asciiTheme="majorBidi" w:hAnsiTheme="majorBidi" w:cstheme="majorBidi"/>
          <w:color w:val="000000" w:themeColor="text1"/>
        </w:rPr>
        <w:t xml:space="preserve">Changes in antibiotic classes prescribed to patients with hospital-acquired or ventilator-associated pneumonia. The y-axis indicates the proportion of patients receiving different classes of antibiotics on day of sample collection (Day 0) through Day 7 after sample collection.  Black bars indicate patients with cultures positive for a respiratory pathogen; grey bays indicate patients with respiratory cultures recorded as normal flora, no growth, or negative. </w:t>
      </w:r>
      <w:r w:rsidR="00A1561C" w:rsidRPr="00ED78B2">
        <w:rPr>
          <w:rFonts w:asciiTheme="majorBidi" w:hAnsiTheme="majorBidi" w:cstheme="majorBidi"/>
          <w:color w:val="000000" w:themeColor="text1"/>
        </w:rPr>
        <w:t xml:space="preserve">Due to the small percentage of patients on any of these agents, we did not assess for statistically significant difference between those with positive and negative respiratory cultures.  </w:t>
      </w:r>
      <w:r w:rsidR="00103D1D" w:rsidRPr="00ED78B2">
        <w:rPr>
          <w:rFonts w:asciiTheme="majorBidi" w:hAnsiTheme="majorBidi" w:cstheme="majorBidi"/>
          <w:color w:val="000000" w:themeColor="text1"/>
        </w:rPr>
        <w:t xml:space="preserve">MRSA, methicillin-resistant </w:t>
      </w:r>
      <w:r w:rsidR="00103D1D" w:rsidRPr="00ED78B2">
        <w:rPr>
          <w:rFonts w:asciiTheme="majorBidi" w:hAnsiTheme="majorBidi" w:cstheme="majorBidi"/>
          <w:i/>
          <w:iCs/>
          <w:color w:val="000000" w:themeColor="text1"/>
        </w:rPr>
        <w:t>Staphylococcus aureus</w:t>
      </w:r>
      <w:r w:rsidR="00103D1D" w:rsidRPr="00ED78B2">
        <w:rPr>
          <w:rFonts w:asciiTheme="majorBidi" w:hAnsiTheme="majorBidi" w:cstheme="majorBidi"/>
          <w:color w:val="000000" w:themeColor="text1"/>
        </w:rPr>
        <w:t xml:space="preserve">; </w:t>
      </w:r>
      <w:proofErr w:type="spellStart"/>
      <w:r w:rsidR="006368D1" w:rsidRPr="00ED78B2">
        <w:rPr>
          <w:rFonts w:asciiTheme="majorBidi" w:hAnsiTheme="majorBidi" w:cstheme="majorBidi"/>
          <w:color w:val="000000" w:themeColor="text1"/>
        </w:rPr>
        <w:t>TMP</w:t>
      </w:r>
      <w:proofErr w:type="spellEnd"/>
      <w:r w:rsidR="006368D1" w:rsidRPr="00ED78B2">
        <w:rPr>
          <w:rFonts w:asciiTheme="majorBidi" w:hAnsiTheme="majorBidi" w:cstheme="majorBidi"/>
          <w:color w:val="000000" w:themeColor="text1"/>
        </w:rPr>
        <w:t>/</w:t>
      </w:r>
      <w:proofErr w:type="spellStart"/>
      <w:r w:rsidR="006368D1" w:rsidRPr="00ED78B2">
        <w:rPr>
          <w:rFonts w:asciiTheme="majorBidi" w:hAnsiTheme="majorBidi" w:cstheme="majorBidi"/>
          <w:color w:val="000000" w:themeColor="text1"/>
        </w:rPr>
        <w:t>SMX</w:t>
      </w:r>
      <w:proofErr w:type="spellEnd"/>
      <w:r w:rsidR="00103D1D" w:rsidRPr="00ED78B2">
        <w:rPr>
          <w:rFonts w:asciiTheme="majorBidi" w:hAnsiTheme="majorBidi" w:cstheme="majorBidi"/>
          <w:color w:val="000000" w:themeColor="text1"/>
        </w:rPr>
        <w:t>, trimethoprim/sulfamethoxazole.</w:t>
      </w:r>
    </w:p>
    <w:p w14:paraId="198FCFF9" w14:textId="3D2A35E2" w:rsidR="00CD3B09" w:rsidRDefault="00CD3B09" w:rsidP="00ED78B2">
      <w:pPr>
        <w:spacing w:line="360" w:lineRule="auto"/>
        <w:rPr>
          <w:rFonts w:asciiTheme="majorBidi" w:hAnsiTheme="majorBidi" w:cstheme="majorBidi"/>
          <w:color w:val="000000" w:themeColor="text1"/>
        </w:rPr>
      </w:pPr>
    </w:p>
    <w:p w14:paraId="70508CD0" w14:textId="77777777" w:rsidR="00CD3B09" w:rsidRDefault="00CD3B09" w:rsidP="00CD3B09">
      <w:pPr>
        <w:spacing w:line="480" w:lineRule="auto"/>
        <w:rPr>
          <w:rFonts w:asciiTheme="majorBidi" w:hAnsiTheme="majorBidi" w:cstheme="majorBidi"/>
          <w:b/>
        </w:rPr>
        <w:sectPr w:rsidR="00CD3B09" w:rsidSect="00CD3B0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FF570F" w14:textId="42812AB7" w:rsidR="00CD3B09" w:rsidRDefault="00CD3B09" w:rsidP="00CD3B09">
      <w:pPr>
        <w:spacing w:line="480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/>
        </w:rPr>
        <w:lastRenderedPageBreak/>
        <w:t>Supplementary Table 2.</w:t>
      </w:r>
    </w:p>
    <w:tbl>
      <w:tblPr>
        <w:tblW w:w="13410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1980"/>
        <w:gridCol w:w="1170"/>
        <w:gridCol w:w="90"/>
        <w:gridCol w:w="1192"/>
        <w:gridCol w:w="79"/>
        <w:gridCol w:w="1204"/>
        <w:gridCol w:w="67"/>
        <w:gridCol w:w="1215"/>
        <w:gridCol w:w="56"/>
        <w:gridCol w:w="1227"/>
        <w:gridCol w:w="45"/>
        <w:gridCol w:w="1237"/>
        <w:gridCol w:w="34"/>
        <w:gridCol w:w="1249"/>
        <w:gridCol w:w="22"/>
        <w:gridCol w:w="1260"/>
        <w:gridCol w:w="11"/>
        <w:gridCol w:w="1272"/>
      </w:tblGrid>
      <w:tr w:rsidR="00CD3B09" w:rsidRPr="007C1F5C" w14:paraId="28D7AAB3" w14:textId="77777777" w:rsidTr="00CE5033">
        <w:trPr>
          <w:trHeight w:val="580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BBA36E" w14:textId="77777777" w:rsidR="00CD3B09" w:rsidRPr="005A4229" w:rsidRDefault="00CD3B09" w:rsidP="00CE503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vertAlign w:val="superscript"/>
                <w:lang w:eastAsia="zh-CN"/>
              </w:rPr>
            </w:pPr>
            <w:r w:rsidRPr="005A422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Antibiotic </w:t>
            </w:r>
            <w:proofErr w:type="spellStart"/>
            <w:r w:rsidRPr="005A422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zh-CN"/>
              </w:rPr>
              <w:t>Class</w:t>
            </w:r>
            <w:r w:rsidRPr="005A422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vertAlign w:val="superscript"/>
                <w:lang w:eastAsia="zh-CN"/>
              </w:rPr>
              <w:t>a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7989A7" w14:textId="77777777" w:rsidR="00CD3B09" w:rsidRPr="005A4229" w:rsidRDefault="00CD3B09" w:rsidP="00CE503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5A422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zh-CN"/>
              </w:rPr>
              <w:t>Respiratory Culture Results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A2AB94" w14:textId="77777777" w:rsidR="00CD3B09" w:rsidRPr="005A4229" w:rsidRDefault="00CD3B09" w:rsidP="00CE503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5A422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zh-CN"/>
              </w:rPr>
              <w:t>Day 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9D136D" w14:textId="77777777" w:rsidR="00CD3B09" w:rsidRPr="005A4229" w:rsidRDefault="00CD3B09" w:rsidP="00CE503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5A422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zh-CN"/>
              </w:rPr>
              <w:t>Day 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FEFB17" w14:textId="77777777" w:rsidR="00CD3B09" w:rsidRPr="005A4229" w:rsidRDefault="00CD3B09" w:rsidP="00CE503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5A422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zh-CN"/>
              </w:rPr>
              <w:t>Day 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F36790" w14:textId="77777777" w:rsidR="00CD3B09" w:rsidRPr="005A4229" w:rsidRDefault="00CD3B09" w:rsidP="00CE503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5A422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zh-CN"/>
              </w:rPr>
              <w:t>Day 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D8E0B8" w14:textId="77777777" w:rsidR="00CD3B09" w:rsidRPr="005A4229" w:rsidRDefault="00CD3B09" w:rsidP="00CE503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5A422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zh-CN"/>
              </w:rPr>
              <w:t>Day 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31D1C7" w14:textId="77777777" w:rsidR="00CD3B09" w:rsidRPr="007C1F5C" w:rsidRDefault="00CD3B09" w:rsidP="00CE503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C1F5C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zh-CN"/>
              </w:rPr>
              <w:t>Day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7C1F5C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499E87" w14:textId="77777777" w:rsidR="00CD3B09" w:rsidRPr="007C1F5C" w:rsidRDefault="00CD3B09" w:rsidP="00CE503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C1F5C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zh-CN"/>
              </w:rPr>
              <w:t>Day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7C1F5C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5375B5" w14:textId="77777777" w:rsidR="00CD3B09" w:rsidRPr="007C1F5C" w:rsidRDefault="00CD3B09" w:rsidP="00CE503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C1F5C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zh-CN"/>
              </w:rPr>
              <w:t>Day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7C1F5C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zh-CN"/>
              </w:rPr>
              <w:t>7</w:t>
            </w:r>
          </w:p>
        </w:tc>
      </w:tr>
      <w:tr w:rsidR="00CD3B09" w:rsidRPr="007C1F5C" w14:paraId="1A95EE82" w14:textId="77777777" w:rsidTr="00CE5033">
        <w:trPr>
          <w:trHeight w:val="432"/>
        </w:trPr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BC57EF" w14:textId="77777777" w:rsidR="00CD3B09" w:rsidRPr="005A4229" w:rsidRDefault="00CD3B09" w:rsidP="00CE5033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5A4229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  <w:t>Vancomycin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673E4" w14:textId="77777777" w:rsidR="00CD3B09" w:rsidRPr="005A4229" w:rsidRDefault="00CD3B09" w:rsidP="00CE5033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5A4229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  <w:t>Positive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8ECA2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1740 (59%)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AF7F7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1746 (59%)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794E5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1539 (52%)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8110C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1228 (42%)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2DCF1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b/>
                <w:bCs/>
                <w:sz w:val="20"/>
                <w:szCs w:val="20"/>
              </w:rPr>
              <w:t>955 (32%)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2CC76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b/>
                <w:bCs/>
                <w:sz w:val="20"/>
                <w:szCs w:val="20"/>
              </w:rPr>
              <w:t>835 (28%)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AAC93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744 (25%)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B57D8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673 (23%)</w:t>
            </w:r>
          </w:p>
        </w:tc>
      </w:tr>
      <w:tr w:rsidR="00CD3B09" w:rsidRPr="007C1F5C" w14:paraId="5D46BB1F" w14:textId="77777777" w:rsidTr="00CE5033">
        <w:trPr>
          <w:trHeight w:val="432"/>
        </w:trPr>
        <w:tc>
          <w:tcPr>
            <w:tcW w:w="19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BC094" w14:textId="77777777" w:rsidR="00CD3B09" w:rsidRPr="005A4229" w:rsidRDefault="00CD3B09" w:rsidP="00CE5033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47AEF4" w14:textId="77777777" w:rsidR="00CD3B09" w:rsidRPr="005A4229" w:rsidRDefault="00CD3B09" w:rsidP="00CE5033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5A4229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  <w:t>Negative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0FA187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1249 (59%)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2B49E8D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1252 (59%)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63326EA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1122 (53%)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68D8D8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960 (45%)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853AE48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b/>
                <w:bCs/>
                <w:sz w:val="20"/>
                <w:szCs w:val="20"/>
              </w:rPr>
              <w:t>820 (38%)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51FBDD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b/>
                <w:bCs/>
                <w:sz w:val="20"/>
                <w:szCs w:val="20"/>
              </w:rPr>
              <w:t>707 (33%)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D3822EE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590 (28%)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A0CF8A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476 (22%)</w:t>
            </w:r>
          </w:p>
        </w:tc>
      </w:tr>
      <w:tr w:rsidR="00CD3B09" w:rsidRPr="007C1F5C" w14:paraId="2725E70C" w14:textId="77777777" w:rsidTr="00CE5033">
        <w:trPr>
          <w:trHeight w:val="432"/>
        </w:trPr>
        <w:tc>
          <w:tcPr>
            <w:tcW w:w="19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8573DE" w14:textId="77777777" w:rsidR="00CD3B09" w:rsidRPr="005A4229" w:rsidRDefault="00CD3B09" w:rsidP="00CE5033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5A4229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  <w:t>Beta-Lactam/Beta-Lactamase Inhibitors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B032A" w14:textId="77777777" w:rsidR="00CD3B09" w:rsidRPr="005A4229" w:rsidRDefault="00CD3B09" w:rsidP="00CE5033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5A4229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  <w:t>Positive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50AF2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b/>
                <w:bCs/>
                <w:sz w:val="20"/>
                <w:szCs w:val="20"/>
              </w:rPr>
              <w:t>1528 (52%)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1B197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b/>
                <w:bCs/>
                <w:sz w:val="20"/>
                <w:szCs w:val="20"/>
              </w:rPr>
              <w:t>1632 (55%)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6D93A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b/>
                <w:bCs/>
                <w:sz w:val="20"/>
                <w:szCs w:val="20"/>
              </w:rPr>
              <w:t>1558 (53%)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86B26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1357 (46%)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36BFE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1116 (38%)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2CB49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956 (32%)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D8B75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831 (28%)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BDC78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686 (23%)</w:t>
            </w:r>
          </w:p>
        </w:tc>
      </w:tr>
      <w:tr w:rsidR="00CD3B09" w:rsidRPr="007C1F5C" w14:paraId="76CCAA8D" w14:textId="77777777" w:rsidTr="00CE5033">
        <w:trPr>
          <w:trHeight w:val="432"/>
        </w:trPr>
        <w:tc>
          <w:tcPr>
            <w:tcW w:w="19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D9012" w14:textId="77777777" w:rsidR="00CD3B09" w:rsidRPr="005A4229" w:rsidRDefault="00CD3B09" w:rsidP="00CE5033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2D0524" w14:textId="77777777" w:rsidR="00CD3B09" w:rsidRPr="005A4229" w:rsidRDefault="00CD3B09" w:rsidP="00CE5033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5A4229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  <w:t>Negative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2B00A2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b/>
                <w:bCs/>
                <w:sz w:val="20"/>
                <w:szCs w:val="20"/>
              </w:rPr>
              <w:t>949 (44%)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3C4166E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b/>
                <w:bCs/>
                <w:sz w:val="20"/>
                <w:szCs w:val="20"/>
              </w:rPr>
              <w:t>986 (46%)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49D29B0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b/>
                <w:bCs/>
                <w:sz w:val="20"/>
                <w:szCs w:val="20"/>
              </w:rPr>
              <w:t>964 (45%)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5539D3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910 (43%)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983B47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829 (39%)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26F4BA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744 (35%)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C8746A2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618 (29%)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CAD7E23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484 (23%)</w:t>
            </w:r>
          </w:p>
        </w:tc>
      </w:tr>
      <w:tr w:rsidR="00CD3B09" w:rsidRPr="007C1F5C" w14:paraId="23C6B5B1" w14:textId="77777777" w:rsidTr="00CE5033">
        <w:trPr>
          <w:trHeight w:val="432"/>
        </w:trPr>
        <w:tc>
          <w:tcPr>
            <w:tcW w:w="19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B7D903" w14:textId="77777777" w:rsidR="00CD3B09" w:rsidRPr="005A4229" w:rsidRDefault="00CD3B09" w:rsidP="00CE5033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5A4229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  <w:t>Extended Spectrum Cephalosporins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D103F" w14:textId="77777777" w:rsidR="00CD3B09" w:rsidRPr="005A4229" w:rsidRDefault="00CD3B09" w:rsidP="00CE5033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5A4229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  <w:t>Positive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517A7" w14:textId="77777777" w:rsidR="00CD3B09" w:rsidRPr="00F86EE0" w:rsidRDefault="00CD3B09" w:rsidP="00CE503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F86EE0">
              <w:rPr>
                <w:b/>
                <w:bCs/>
                <w:sz w:val="20"/>
                <w:szCs w:val="20"/>
              </w:rPr>
              <w:t>726 (25%)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9488B" w14:textId="77777777" w:rsidR="00CD3B09" w:rsidRPr="00F86EE0" w:rsidRDefault="00CD3B09" w:rsidP="00CE503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F86EE0">
              <w:rPr>
                <w:b/>
                <w:bCs/>
                <w:sz w:val="20"/>
                <w:szCs w:val="20"/>
              </w:rPr>
              <w:t>785 (27%)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0E565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831 (28%)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D38EB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862 (29%)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D786B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830 (28%)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1940A" w14:textId="77777777" w:rsidR="00CD3B09" w:rsidRPr="00F86EE0" w:rsidRDefault="00CD3B09" w:rsidP="00CE503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432FF"/>
                <w:sz w:val="20"/>
                <w:szCs w:val="20"/>
                <w:lang w:eastAsia="zh-CN"/>
              </w:rPr>
            </w:pPr>
            <w:r w:rsidRPr="00F86EE0">
              <w:rPr>
                <w:b/>
                <w:bCs/>
                <w:sz w:val="20"/>
                <w:szCs w:val="20"/>
              </w:rPr>
              <w:t>786 (27%)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8FE14" w14:textId="77777777" w:rsidR="00CD3B09" w:rsidRPr="00F86EE0" w:rsidRDefault="00CD3B09" w:rsidP="00CE503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432FF"/>
                <w:sz w:val="20"/>
                <w:szCs w:val="20"/>
                <w:lang w:eastAsia="zh-CN"/>
              </w:rPr>
            </w:pPr>
            <w:r w:rsidRPr="00F86EE0">
              <w:rPr>
                <w:b/>
                <w:bCs/>
                <w:sz w:val="20"/>
                <w:szCs w:val="20"/>
              </w:rPr>
              <w:t>674 (23%)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812D0" w14:textId="77777777" w:rsidR="00CD3B09" w:rsidRPr="00F86EE0" w:rsidRDefault="00CD3B09" w:rsidP="00CE503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432FF"/>
                <w:sz w:val="20"/>
                <w:szCs w:val="20"/>
                <w:lang w:eastAsia="zh-CN"/>
              </w:rPr>
            </w:pPr>
            <w:r w:rsidRPr="00F86EE0">
              <w:rPr>
                <w:b/>
                <w:bCs/>
                <w:sz w:val="20"/>
                <w:szCs w:val="20"/>
              </w:rPr>
              <w:t>572 (19%)</w:t>
            </w:r>
          </w:p>
        </w:tc>
      </w:tr>
      <w:tr w:rsidR="00CD3B09" w:rsidRPr="007C1F5C" w14:paraId="78674B1D" w14:textId="77777777" w:rsidTr="00CE5033">
        <w:trPr>
          <w:trHeight w:val="432"/>
        </w:trPr>
        <w:tc>
          <w:tcPr>
            <w:tcW w:w="19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51228" w14:textId="77777777" w:rsidR="00CD3B09" w:rsidRPr="005A4229" w:rsidRDefault="00CD3B09" w:rsidP="00CE5033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064D9E" w14:textId="77777777" w:rsidR="00CD3B09" w:rsidRPr="005A4229" w:rsidRDefault="00CD3B09" w:rsidP="00CE5033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5A4229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  <w:t>Negative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DC6C02" w14:textId="77777777" w:rsidR="00CD3B09" w:rsidRPr="00F86EE0" w:rsidRDefault="00CD3B09" w:rsidP="00CE503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F86EE0">
              <w:rPr>
                <w:b/>
                <w:bCs/>
                <w:sz w:val="20"/>
                <w:szCs w:val="20"/>
              </w:rPr>
              <w:t>691 (32%)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32858C0" w14:textId="77777777" w:rsidR="00CD3B09" w:rsidRPr="00F86EE0" w:rsidRDefault="00CD3B09" w:rsidP="00CE503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F86EE0">
              <w:rPr>
                <w:b/>
                <w:bCs/>
                <w:sz w:val="20"/>
                <w:szCs w:val="20"/>
              </w:rPr>
              <w:t>682 (32%)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DE19749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647 (30%)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75CE0B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575 (27%)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C6E6606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523 (25%)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24CA87C" w14:textId="77777777" w:rsidR="00CD3B09" w:rsidRPr="00F86EE0" w:rsidRDefault="00CD3B09" w:rsidP="00CE503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432FF"/>
                <w:sz w:val="20"/>
                <w:szCs w:val="20"/>
                <w:lang w:eastAsia="zh-CN"/>
              </w:rPr>
            </w:pPr>
            <w:r w:rsidRPr="00F86EE0">
              <w:rPr>
                <w:b/>
                <w:bCs/>
                <w:sz w:val="20"/>
                <w:szCs w:val="20"/>
              </w:rPr>
              <w:t>426 (20%)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1E84848" w14:textId="77777777" w:rsidR="00CD3B09" w:rsidRPr="00F86EE0" w:rsidRDefault="00CD3B09" w:rsidP="00CE503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432FF"/>
                <w:sz w:val="20"/>
                <w:szCs w:val="20"/>
                <w:lang w:eastAsia="zh-CN"/>
              </w:rPr>
            </w:pPr>
            <w:r w:rsidRPr="00F86EE0">
              <w:rPr>
                <w:b/>
                <w:bCs/>
                <w:sz w:val="20"/>
                <w:szCs w:val="20"/>
              </w:rPr>
              <w:t>367 (17%)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729C494" w14:textId="77777777" w:rsidR="00CD3B09" w:rsidRPr="00F86EE0" w:rsidRDefault="00CD3B09" w:rsidP="00CE503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432FF"/>
                <w:sz w:val="20"/>
                <w:szCs w:val="20"/>
                <w:lang w:eastAsia="zh-CN"/>
              </w:rPr>
            </w:pPr>
            <w:r w:rsidRPr="00F86EE0">
              <w:rPr>
                <w:b/>
                <w:bCs/>
                <w:sz w:val="20"/>
                <w:szCs w:val="20"/>
              </w:rPr>
              <w:t>301 (14%)</w:t>
            </w:r>
          </w:p>
        </w:tc>
      </w:tr>
      <w:tr w:rsidR="00CD3B09" w:rsidRPr="007C1F5C" w14:paraId="0AE94EA6" w14:textId="77777777" w:rsidTr="00CE5033">
        <w:trPr>
          <w:trHeight w:val="432"/>
        </w:trPr>
        <w:tc>
          <w:tcPr>
            <w:tcW w:w="19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B98036" w14:textId="77777777" w:rsidR="00CD3B09" w:rsidRPr="005A4229" w:rsidRDefault="00CD3B09" w:rsidP="00CE5033">
            <w:pPr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5A4229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0"/>
                <w:szCs w:val="20"/>
                <w:lang w:eastAsia="zh-CN"/>
              </w:rPr>
              <w:t>No Antibiotics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86804" w14:textId="77777777" w:rsidR="00CD3B09" w:rsidRPr="005A4229" w:rsidRDefault="00CD3B09" w:rsidP="00CE5033">
            <w:pPr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5A4229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0"/>
                <w:szCs w:val="20"/>
                <w:lang w:eastAsia="zh-CN"/>
              </w:rPr>
              <w:t>Positive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B3778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i/>
                <w:iCs/>
                <w:sz w:val="20"/>
                <w:szCs w:val="20"/>
              </w:rPr>
              <w:t>394 (13%)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BE484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i/>
                <w:iCs/>
                <w:sz w:val="20"/>
                <w:szCs w:val="20"/>
              </w:rPr>
              <w:t>209 (7%)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A6157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i/>
                <w:iCs/>
                <w:sz w:val="20"/>
                <w:szCs w:val="20"/>
              </w:rPr>
              <w:t>239 (8%)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501B9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b/>
                <w:bCs/>
                <w:i/>
                <w:iCs/>
                <w:sz w:val="20"/>
                <w:szCs w:val="20"/>
              </w:rPr>
              <w:t>290 (10%)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FFC1C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b/>
                <w:bCs/>
                <w:i/>
                <w:iCs/>
                <w:sz w:val="20"/>
                <w:szCs w:val="20"/>
              </w:rPr>
              <w:t>354 (12%)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79935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b/>
                <w:bCs/>
                <w:i/>
                <w:iCs/>
                <w:sz w:val="20"/>
                <w:szCs w:val="20"/>
              </w:rPr>
              <w:t>446 (15%)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D7AB1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b/>
                <w:bCs/>
                <w:i/>
                <w:iCs/>
                <w:sz w:val="20"/>
                <w:szCs w:val="20"/>
              </w:rPr>
              <w:t>653 (22%)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8BCA1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b/>
                <w:bCs/>
                <w:i/>
                <w:iCs/>
                <w:sz w:val="20"/>
                <w:szCs w:val="20"/>
              </w:rPr>
              <w:t>919 (31%)</w:t>
            </w:r>
          </w:p>
        </w:tc>
      </w:tr>
      <w:tr w:rsidR="00CD3B09" w:rsidRPr="007C1F5C" w14:paraId="717EFBB5" w14:textId="77777777" w:rsidTr="00CE5033">
        <w:trPr>
          <w:trHeight w:val="432"/>
        </w:trPr>
        <w:tc>
          <w:tcPr>
            <w:tcW w:w="19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E7D5" w14:textId="77777777" w:rsidR="00CD3B09" w:rsidRPr="005A4229" w:rsidRDefault="00CD3B09" w:rsidP="00CE5033">
            <w:pPr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D1CB2B2" w14:textId="77777777" w:rsidR="00CD3B09" w:rsidRPr="005A4229" w:rsidRDefault="00CD3B09" w:rsidP="00CE5033">
            <w:pPr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5A4229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0"/>
                <w:szCs w:val="20"/>
                <w:lang w:eastAsia="zh-CN"/>
              </w:rPr>
              <w:t>Negative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0001C0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i/>
                <w:iCs/>
                <w:sz w:val="20"/>
                <w:szCs w:val="20"/>
              </w:rPr>
              <w:t>250 (12%)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4FE73D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i/>
                <w:iCs/>
                <w:sz w:val="20"/>
                <w:szCs w:val="20"/>
              </w:rPr>
              <w:t>179 (8%)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66C362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i/>
                <w:iCs/>
                <w:sz w:val="20"/>
                <w:szCs w:val="20"/>
              </w:rPr>
              <w:t>221 (10%)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627799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b/>
                <w:bCs/>
                <w:i/>
                <w:iCs/>
                <w:sz w:val="20"/>
                <w:szCs w:val="20"/>
              </w:rPr>
              <w:t>291 (14%)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92D8C2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b/>
                <w:bCs/>
                <w:i/>
                <w:iCs/>
                <w:sz w:val="20"/>
                <w:szCs w:val="20"/>
              </w:rPr>
              <w:t>350 (16%)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9282D0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b/>
                <w:bCs/>
                <w:i/>
                <w:iCs/>
                <w:sz w:val="20"/>
                <w:szCs w:val="20"/>
              </w:rPr>
              <w:t>477 (22%)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B13477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b/>
                <w:bCs/>
                <w:i/>
                <w:iCs/>
                <w:sz w:val="20"/>
                <w:szCs w:val="20"/>
              </w:rPr>
              <w:t>672 (31%)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3676F9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b/>
                <w:bCs/>
                <w:i/>
                <w:iCs/>
                <w:sz w:val="20"/>
                <w:szCs w:val="20"/>
              </w:rPr>
              <w:t>885 (41%)</w:t>
            </w:r>
          </w:p>
        </w:tc>
      </w:tr>
      <w:tr w:rsidR="00CD3B09" w:rsidRPr="007C1F5C" w14:paraId="355E8FE0" w14:textId="77777777" w:rsidTr="00CE5033">
        <w:trPr>
          <w:trHeight w:val="432"/>
        </w:trPr>
        <w:tc>
          <w:tcPr>
            <w:tcW w:w="19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8B3302" w14:textId="77777777" w:rsidR="00CD3B09" w:rsidRPr="005A4229" w:rsidRDefault="00CD3B09" w:rsidP="00CE5033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5A4229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  <w:t>Fluoroquinolones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0AF11" w14:textId="77777777" w:rsidR="00CD3B09" w:rsidRPr="005A4229" w:rsidRDefault="00CD3B09" w:rsidP="00CE5033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5A4229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  <w:t>Positive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8E2C4" w14:textId="77777777" w:rsidR="00CD3B09" w:rsidRPr="00F86EE0" w:rsidRDefault="00CD3B09" w:rsidP="00CE503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F86EE0">
              <w:rPr>
                <w:b/>
                <w:bCs/>
                <w:sz w:val="20"/>
                <w:szCs w:val="20"/>
              </w:rPr>
              <w:t>316 (11%)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02689" w14:textId="77777777" w:rsidR="00CD3B09" w:rsidRPr="00F86EE0" w:rsidRDefault="00CD3B09" w:rsidP="00CE503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F86EE0">
              <w:rPr>
                <w:b/>
                <w:bCs/>
                <w:sz w:val="20"/>
                <w:szCs w:val="20"/>
              </w:rPr>
              <w:t>321 (11%)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32B7D" w14:textId="77777777" w:rsidR="00CD3B09" w:rsidRPr="00F86EE0" w:rsidRDefault="00CD3B09" w:rsidP="00CE503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F86EE0">
              <w:rPr>
                <w:b/>
                <w:bCs/>
                <w:sz w:val="20"/>
                <w:szCs w:val="20"/>
              </w:rPr>
              <w:t>344 (12%)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82C75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381 (13%)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E5A5E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402 (14%)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DCE80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414 (14%)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7ABD7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398 (13%)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81872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351 (12%)</w:t>
            </w:r>
          </w:p>
        </w:tc>
      </w:tr>
      <w:tr w:rsidR="00CD3B09" w:rsidRPr="007C1F5C" w14:paraId="438E11A6" w14:textId="77777777" w:rsidTr="00CE5033">
        <w:trPr>
          <w:trHeight w:val="432"/>
        </w:trPr>
        <w:tc>
          <w:tcPr>
            <w:tcW w:w="19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262A3" w14:textId="77777777" w:rsidR="00CD3B09" w:rsidRPr="005A4229" w:rsidRDefault="00CD3B09" w:rsidP="00CE5033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74ECE06" w14:textId="77777777" w:rsidR="00CD3B09" w:rsidRPr="005A4229" w:rsidRDefault="00CD3B09" w:rsidP="00CE5033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5A4229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  <w:t>Negative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42889C" w14:textId="77777777" w:rsidR="00CD3B09" w:rsidRPr="00F86EE0" w:rsidRDefault="00CD3B09" w:rsidP="00CE503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F86EE0">
              <w:rPr>
                <w:b/>
                <w:bCs/>
                <w:sz w:val="20"/>
                <w:szCs w:val="20"/>
              </w:rPr>
              <w:t>342 (16%)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7F86A3" w14:textId="77777777" w:rsidR="00CD3B09" w:rsidRPr="00F86EE0" w:rsidRDefault="00CD3B09" w:rsidP="00CE503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F86EE0">
              <w:rPr>
                <w:b/>
                <w:bCs/>
                <w:sz w:val="20"/>
                <w:szCs w:val="20"/>
              </w:rPr>
              <w:t>320 (15%)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B5CFD5F" w14:textId="77777777" w:rsidR="00CD3B09" w:rsidRPr="00F86EE0" w:rsidRDefault="00CD3B09" w:rsidP="00CE503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F86EE0">
              <w:rPr>
                <w:b/>
                <w:bCs/>
                <w:sz w:val="20"/>
                <w:szCs w:val="20"/>
              </w:rPr>
              <w:t>334 (16%)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970FD66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312 (15%)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EB634BA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309 (14%)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F11BB62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300 (14%)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64E6329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272 (13%)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3EFD74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206 (10%)</w:t>
            </w:r>
          </w:p>
        </w:tc>
      </w:tr>
      <w:tr w:rsidR="00CD3B09" w:rsidRPr="007C1F5C" w14:paraId="1547492E" w14:textId="77777777" w:rsidTr="00CE5033">
        <w:trPr>
          <w:trHeight w:val="432"/>
        </w:trPr>
        <w:tc>
          <w:tcPr>
            <w:tcW w:w="19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47E439" w14:textId="77777777" w:rsidR="00CD3B09" w:rsidRPr="005A4229" w:rsidRDefault="00CD3B09" w:rsidP="00CE5033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5A4229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  <w:t>Carbapenems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B2D29" w14:textId="77777777" w:rsidR="00CD3B09" w:rsidRPr="005A4229" w:rsidRDefault="00CD3B09" w:rsidP="00CE5033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5A4229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  <w:t>Positive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03831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278 (9%)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86F6A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331 (11%)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71784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380 (13%)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DECE8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408 (14%)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664D6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389 (13%)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73698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379 (13%)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61852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359 (12%)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FD6FC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342 (12%)</w:t>
            </w:r>
          </w:p>
        </w:tc>
      </w:tr>
      <w:tr w:rsidR="00CD3B09" w:rsidRPr="007C1F5C" w14:paraId="4CA8E0F1" w14:textId="77777777" w:rsidTr="00CE5033">
        <w:trPr>
          <w:trHeight w:val="432"/>
        </w:trPr>
        <w:tc>
          <w:tcPr>
            <w:tcW w:w="19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F3610" w14:textId="77777777" w:rsidR="00CD3B09" w:rsidRPr="005A4229" w:rsidRDefault="00CD3B09" w:rsidP="00CE5033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59E12D" w14:textId="77777777" w:rsidR="00CD3B09" w:rsidRPr="005A4229" w:rsidRDefault="00CD3B09" w:rsidP="00CE5033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5A4229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  <w:t>Negative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5203B69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198 (9%)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941099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224 (10%)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4D952C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250 (12%)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A609FC9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262 (12%)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DEC3F3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273 (13%)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8102AA1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270 (13%)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F4024F3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269 (13%)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AD65C8A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242 (11%)</w:t>
            </w:r>
          </w:p>
        </w:tc>
      </w:tr>
      <w:tr w:rsidR="00CD3B09" w:rsidRPr="007C1F5C" w14:paraId="4AAC32E6" w14:textId="77777777" w:rsidTr="00CE5033">
        <w:trPr>
          <w:trHeight w:val="432"/>
        </w:trPr>
        <w:tc>
          <w:tcPr>
            <w:tcW w:w="19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CA49FB" w14:textId="77777777" w:rsidR="00CD3B09" w:rsidRPr="005A4229" w:rsidRDefault="00CD3B09" w:rsidP="00CE5033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5A4229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  <w:t>Metronidazole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4E026" w14:textId="77777777" w:rsidR="00CD3B09" w:rsidRPr="005A4229" w:rsidRDefault="00CD3B09" w:rsidP="00CE5033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5A4229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  <w:t>Positive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7F3F6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289 (10%)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6FC41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331 (11%)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84C4A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316 (11%)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38454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297 (10%)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8755D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279 (9%)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B4B85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251 (9%)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D2C3F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236 (8%)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73B55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217 (7%)</w:t>
            </w:r>
          </w:p>
        </w:tc>
      </w:tr>
      <w:tr w:rsidR="00CD3B09" w:rsidRPr="007C1F5C" w14:paraId="24A4CB6C" w14:textId="77777777" w:rsidTr="00CE5033">
        <w:trPr>
          <w:trHeight w:val="432"/>
        </w:trPr>
        <w:tc>
          <w:tcPr>
            <w:tcW w:w="19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987AE" w14:textId="77777777" w:rsidR="00CD3B09" w:rsidRPr="005A4229" w:rsidRDefault="00CD3B09" w:rsidP="00CE5033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3470E28" w14:textId="77777777" w:rsidR="00CD3B09" w:rsidRPr="005A4229" w:rsidRDefault="00CD3B09" w:rsidP="00CE5033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5A4229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  <w:t>Negative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F6D63F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207 (10%)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385EDD4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226 (11%)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01A7AD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235 (11%)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8A3A2A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225 (11%)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E63E71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219 (10%)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6F63F14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193 (9%)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DECDC9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170 (8%)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1898AF5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152 (7%)</w:t>
            </w:r>
          </w:p>
        </w:tc>
      </w:tr>
      <w:tr w:rsidR="00CD3B09" w:rsidRPr="007C1F5C" w14:paraId="1A8B04A9" w14:textId="77777777" w:rsidTr="00CE5033">
        <w:trPr>
          <w:trHeight w:val="432"/>
        </w:trPr>
        <w:tc>
          <w:tcPr>
            <w:tcW w:w="19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1CAFB8" w14:textId="77777777" w:rsidR="00CD3B09" w:rsidRPr="005A4229" w:rsidRDefault="00CD3B09" w:rsidP="00CE5033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5A4229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  <w:t>Macrolides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E1C9B" w14:textId="77777777" w:rsidR="00CD3B09" w:rsidRPr="005A4229" w:rsidRDefault="00CD3B09" w:rsidP="00CE5033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5A4229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  <w:t>Positive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C3C53" w14:textId="77777777" w:rsidR="00CD3B09" w:rsidRPr="00F86EE0" w:rsidRDefault="00CD3B09" w:rsidP="00CE503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F86EE0">
              <w:rPr>
                <w:b/>
                <w:bCs/>
                <w:sz w:val="20"/>
                <w:szCs w:val="20"/>
              </w:rPr>
              <w:t>254 (9%)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32A12" w14:textId="77777777" w:rsidR="00CD3B09" w:rsidRPr="00F86EE0" w:rsidRDefault="00CD3B09" w:rsidP="00CE503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F86EE0">
              <w:rPr>
                <w:b/>
                <w:bCs/>
                <w:sz w:val="20"/>
                <w:szCs w:val="20"/>
              </w:rPr>
              <w:t>239 (8%)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1E05C" w14:textId="77777777" w:rsidR="00CD3B09" w:rsidRPr="00F86EE0" w:rsidRDefault="00CD3B09" w:rsidP="00CE503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F86EE0">
              <w:rPr>
                <w:b/>
                <w:bCs/>
                <w:sz w:val="20"/>
                <w:szCs w:val="20"/>
              </w:rPr>
              <w:t>198 (7%)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911DF" w14:textId="77777777" w:rsidR="00CD3B09" w:rsidRPr="00F86EE0" w:rsidRDefault="00CD3B09" w:rsidP="00CE503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F86EE0">
              <w:rPr>
                <w:b/>
                <w:bCs/>
                <w:sz w:val="20"/>
                <w:szCs w:val="20"/>
              </w:rPr>
              <w:t>152 (5%)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F79CB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116 (4%)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03C28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91 (3%)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0BB73" w14:textId="77777777" w:rsidR="00CD3B09" w:rsidRPr="00F86EE0" w:rsidRDefault="00CD3B09" w:rsidP="00CE503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432FF"/>
                <w:sz w:val="20"/>
                <w:szCs w:val="20"/>
                <w:lang w:eastAsia="zh-CN"/>
              </w:rPr>
            </w:pPr>
            <w:r w:rsidRPr="00F86EE0">
              <w:rPr>
                <w:b/>
                <w:bCs/>
                <w:sz w:val="20"/>
                <w:szCs w:val="20"/>
              </w:rPr>
              <w:t>69 (2%)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3FA6D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64 (2%)</w:t>
            </w:r>
          </w:p>
        </w:tc>
      </w:tr>
      <w:tr w:rsidR="00CD3B09" w:rsidRPr="007C1F5C" w14:paraId="25D7417E" w14:textId="77777777" w:rsidTr="00CE5033">
        <w:trPr>
          <w:trHeight w:val="432"/>
        </w:trPr>
        <w:tc>
          <w:tcPr>
            <w:tcW w:w="19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E91CC" w14:textId="77777777" w:rsidR="00CD3B09" w:rsidRPr="005A4229" w:rsidRDefault="00CD3B09" w:rsidP="00CE5033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6C271D" w14:textId="77777777" w:rsidR="00CD3B09" w:rsidRPr="005A4229" w:rsidRDefault="00CD3B09" w:rsidP="00CE5033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5A4229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  <w:t>Negative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1253B81" w14:textId="77777777" w:rsidR="00CD3B09" w:rsidRPr="00F86EE0" w:rsidRDefault="00CD3B09" w:rsidP="00CE503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F86EE0">
              <w:rPr>
                <w:b/>
                <w:bCs/>
                <w:sz w:val="20"/>
                <w:szCs w:val="20"/>
              </w:rPr>
              <w:t>259 (12%)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68B801" w14:textId="77777777" w:rsidR="00CD3B09" w:rsidRPr="00F86EE0" w:rsidRDefault="00CD3B09" w:rsidP="00CE503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F86EE0">
              <w:rPr>
                <w:b/>
                <w:bCs/>
                <w:sz w:val="20"/>
                <w:szCs w:val="20"/>
              </w:rPr>
              <w:t>235 (11%)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67C6D2" w14:textId="77777777" w:rsidR="00CD3B09" w:rsidRPr="00F86EE0" w:rsidRDefault="00CD3B09" w:rsidP="00CE503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F86EE0">
              <w:rPr>
                <w:b/>
                <w:bCs/>
                <w:sz w:val="20"/>
                <w:szCs w:val="20"/>
              </w:rPr>
              <w:t>200 (9%)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433290" w14:textId="77777777" w:rsidR="00CD3B09" w:rsidRPr="00F86EE0" w:rsidRDefault="00CD3B09" w:rsidP="00CE503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F86EE0">
              <w:rPr>
                <w:b/>
                <w:bCs/>
                <w:sz w:val="20"/>
                <w:szCs w:val="20"/>
              </w:rPr>
              <w:t>163 (8%)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CF7BB12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124 (6%)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6D06594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100 (5%)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D58F8B" w14:textId="77777777" w:rsidR="00CD3B09" w:rsidRPr="00F86EE0" w:rsidRDefault="00CD3B09" w:rsidP="00CE503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432FF"/>
                <w:sz w:val="20"/>
                <w:szCs w:val="20"/>
                <w:lang w:eastAsia="zh-CN"/>
              </w:rPr>
            </w:pPr>
            <w:r w:rsidRPr="00F86EE0">
              <w:rPr>
                <w:b/>
                <w:bCs/>
                <w:sz w:val="20"/>
                <w:szCs w:val="20"/>
              </w:rPr>
              <w:t>85 (4%)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2F0AADA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66 (3%)</w:t>
            </w:r>
          </w:p>
        </w:tc>
      </w:tr>
      <w:tr w:rsidR="00CD3B09" w:rsidRPr="007C1F5C" w14:paraId="1FA33140" w14:textId="77777777" w:rsidTr="00CE5033">
        <w:trPr>
          <w:trHeight w:val="432"/>
        </w:trPr>
        <w:tc>
          <w:tcPr>
            <w:tcW w:w="19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F83F83" w14:textId="77777777" w:rsidR="00CD3B09" w:rsidRPr="005A4229" w:rsidRDefault="00CD3B09" w:rsidP="00CE5033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5A4229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  <w:t>Other anti-MRSA agents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95C08" w14:textId="77777777" w:rsidR="00CD3B09" w:rsidRPr="005A4229" w:rsidRDefault="00CD3B09" w:rsidP="00CE5033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5A4229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  <w:t>Positive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C77C5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89 (3%)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BAABD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104 (4%)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1FD43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119 (4%)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DBCB2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132 (4%)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CCBD6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124 (4%)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49C0C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122 (4%)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340E3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120 (4%)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D3E14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118 (4%)</w:t>
            </w:r>
          </w:p>
        </w:tc>
      </w:tr>
      <w:tr w:rsidR="00CD3B09" w:rsidRPr="007C1F5C" w14:paraId="18253A19" w14:textId="77777777" w:rsidTr="00CE5033">
        <w:trPr>
          <w:trHeight w:val="432"/>
        </w:trPr>
        <w:tc>
          <w:tcPr>
            <w:tcW w:w="19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2FA1" w14:textId="77777777" w:rsidR="00CD3B09" w:rsidRPr="005A4229" w:rsidRDefault="00CD3B09" w:rsidP="00CE5033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62119FE" w14:textId="77777777" w:rsidR="00CD3B09" w:rsidRPr="005A4229" w:rsidRDefault="00CD3B09" w:rsidP="00CE5033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5A4229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  <w:t>Negative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EEEEB54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41 (2%)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EC6EF5A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46 (2%)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D91083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51 (2%)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5B29A3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55 (3%)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E5926F6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54 (3%)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387B0D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56 (3%)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D59573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57 (3%)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D33857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52 (2%)</w:t>
            </w:r>
          </w:p>
        </w:tc>
      </w:tr>
      <w:tr w:rsidR="00CD3B09" w:rsidRPr="007C1F5C" w14:paraId="12E012F1" w14:textId="77777777" w:rsidTr="00CE5033">
        <w:trPr>
          <w:trHeight w:val="432"/>
        </w:trPr>
        <w:tc>
          <w:tcPr>
            <w:tcW w:w="19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329869" w14:textId="77777777" w:rsidR="00CD3B09" w:rsidRPr="005A4229" w:rsidRDefault="00CD3B09" w:rsidP="00CE5033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5A4229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  <w:lastRenderedPageBreak/>
              <w:t>Tetracyclines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DF15A" w14:textId="77777777" w:rsidR="00CD3B09" w:rsidRPr="005A4229" w:rsidRDefault="00CD3B09" w:rsidP="00CE5033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5A4229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  <w:t>Positive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0D12E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76 (3%)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59021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70 (2%)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7013A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69 (2%)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6FF19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75 (3%)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54F55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74 (3%)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11CE9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72 (2%)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EF6DB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62 (2%)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0EBB9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48 (2%)</w:t>
            </w:r>
          </w:p>
        </w:tc>
      </w:tr>
      <w:tr w:rsidR="00CD3B09" w:rsidRPr="007C1F5C" w14:paraId="790AD249" w14:textId="77777777" w:rsidTr="00CE5033">
        <w:trPr>
          <w:trHeight w:val="432"/>
        </w:trPr>
        <w:tc>
          <w:tcPr>
            <w:tcW w:w="19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36F42" w14:textId="77777777" w:rsidR="00CD3B09" w:rsidRPr="005A4229" w:rsidRDefault="00CD3B09" w:rsidP="00CE5033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100A4B" w14:textId="77777777" w:rsidR="00CD3B09" w:rsidRPr="005A4229" w:rsidRDefault="00CD3B09" w:rsidP="00CE5033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5A4229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  <w:t>Negative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167DED9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72 (3%)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8DD118E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72 (3%)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3F775EB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75 (4%)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773591D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79 (4%)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F2E95D6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80 (4%)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9370697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77 (4%)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F048C26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72 (3%)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81579C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61 (3%)</w:t>
            </w:r>
          </w:p>
        </w:tc>
      </w:tr>
      <w:tr w:rsidR="00CD3B09" w:rsidRPr="007C1F5C" w14:paraId="56DF3C99" w14:textId="77777777" w:rsidTr="00CE5033">
        <w:trPr>
          <w:trHeight w:val="432"/>
        </w:trPr>
        <w:tc>
          <w:tcPr>
            <w:tcW w:w="19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3239D3" w14:textId="77777777" w:rsidR="00CD3B09" w:rsidRPr="005A4229" w:rsidRDefault="00CD3B09" w:rsidP="00CE5033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5A4229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  <w:t>1</w:t>
            </w:r>
            <w:r w:rsidRPr="005A4229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  <w:lang w:eastAsia="zh-CN"/>
              </w:rPr>
              <w:t>st</w:t>
            </w:r>
            <w:r w:rsidRPr="005A4229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  <w:t>/2</w:t>
            </w:r>
            <w:r w:rsidRPr="005A4229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vertAlign w:val="superscript"/>
                <w:lang w:eastAsia="zh-CN"/>
              </w:rPr>
              <w:t>nd</w:t>
            </w:r>
            <w:r w:rsidRPr="005A4229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  <w:t xml:space="preserve"> Generation Cephalosporins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11E82" w14:textId="77777777" w:rsidR="00CD3B09" w:rsidRPr="005A4229" w:rsidRDefault="00CD3B09" w:rsidP="00CE5033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5A4229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  <w:t>Positive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C2650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54 (2%)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690AB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36 (1%)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8E683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49 (2%)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FE2C3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78 (3%)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B555E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95 (3%)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6BACF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106 (4%)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971DC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95 (3%)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1FCE3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90 (3%)</w:t>
            </w:r>
          </w:p>
        </w:tc>
      </w:tr>
      <w:tr w:rsidR="00CD3B09" w:rsidRPr="007C1F5C" w14:paraId="5D637730" w14:textId="77777777" w:rsidTr="00CE5033">
        <w:trPr>
          <w:trHeight w:val="432"/>
        </w:trPr>
        <w:tc>
          <w:tcPr>
            <w:tcW w:w="19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492E5" w14:textId="77777777" w:rsidR="00CD3B09" w:rsidRPr="005A4229" w:rsidRDefault="00CD3B09" w:rsidP="00CE5033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F2448D1" w14:textId="77777777" w:rsidR="00CD3B09" w:rsidRPr="005A4229" w:rsidRDefault="00CD3B09" w:rsidP="00CE5033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5A4229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  <w:t>Negative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E0A236F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50 (2%)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FE4B4A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18 (1%)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9B3A5C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14 (1%)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91ACB84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21 (1%)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FE569B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19 (1%)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4D2F01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22 (1%)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F112A20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25 (1%)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8A1C10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27 (1%)</w:t>
            </w:r>
          </w:p>
        </w:tc>
      </w:tr>
      <w:tr w:rsidR="00CD3B09" w:rsidRPr="007C1F5C" w14:paraId="78D6ADA7" w14:textId="77777777" w:rsidTr="00CE5033">
        <w:trPr>
          <w:trHeight w:val="432"/>
        </w:trPr>
        <w:tc>
          <w:tcPr>
            <w:tcW w:w="19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E0636C" w14:textId="77777777" w:rsidR="00CD3B09" w:rsidRPr="005A4229" w:rsidRDefault="00CD3B09" w:rsidP="00CE5033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5A4229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  <w:t>Sulfamethoxazole/Trimethoprim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31127" w14:textId="77777777" w:rsidR="00CD3B09" w:rsidRPr="005A4229" w:rsidRDefault="00CD3B09" w:rsidP="00CE5033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5A4229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  <w:t>Positive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60D16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35 (1%)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0F203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35 (1%)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141F1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50 (2%)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BA71E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61 (2%)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731BE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74 (3%)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C2C00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79 (3%)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0DE14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71 (2%)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49C8D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65 (2%)</w:t>
            </w:r>
          </w:p>
        </w:tc>
      </w:tr>
      <w:tr w:rsidR="00CD3B09" w:rsidRPr="007C1F5C" w14:paraId="328C75B0" w14:textId="77777777" w:rsidTr="00CE5033">
        <w:trPr>
          <w:trHeight w:val="432"/>
        </w:trPr>
        <w:tc>
          <w:tcPr>
            <w:tcW w:w="19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0D71A" w14:textId="77777777" w:rsidR="00CD3B09" w:rsidRPr="005A4229" w:rsidRDefault="00CD3B09" w:rsidP="00CE5033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CD8EEF8" w14:textId="77777777" w:rsidR="00CD3B09" w:rsidRPr="005A4229" w:rsidRDefault="00CD3B09" w:rsidP="00CE5033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5A4229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  <w:t>Negative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954507F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38 (2%)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2A0FF04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44 (2%)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63FF10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39 (2%)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83CF502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44 (2%)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9032A7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42 (2%)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F42435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47 (2%)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C1DE28B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42 (2%)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188A771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43 (2%)</w:t>
            </w:r>
          </w:p>
        </w:tc>
      </w:tr>
      <w:tr w:rsidR="00CD3B09" w:rsidRPr="007C1F5C" w14:paraId="1470DEEC" w14:textId="77777777" w:rsidTr="00CE5033">
        <w:trPr>
          <w:trHeight w:val="432"/>
        </w:trPr>
        <w:tc>
          <w:tcPr>
            <w:tcW w:w="19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8BC065" w14:textId="77777777" w:rsidR="00CD3B09" w:rsidRPr="005A4229" w:rsidRDefault="00CD3B09" w:rsidP="00CE5033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proofErr w:type="spellStart"/>
            <w:r w:rsidRPr="005A4229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  <w:t>Penicillins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0CC43" w14:textId="77777777" w:rsidR="00CD3B09" w:rsidRPr="005A4229" w:rsidRDefault="00CD3B09" w:rsidP="00CE5033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5A4229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  <w:t>Positive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923EC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28 (1%)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3D8B2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30 (1%)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CF4D6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42 (1%)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99D38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58 (2%)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14143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72 (2%)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191F6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77 (3%)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9766A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72 (2%)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0977F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69 (2%)</w:t>
            </w:r>
          </w:p>
        </w:tc>
      </w:tr>
      <w:tr w:rsidR="00CD3B09" w:rsidRPr="007C1F5C" w14:paraId="6AE7D942" w14:textId="77777777" w:rsidTr="00CE5033">
        <w:trPr>
          <w:trHeight w:val="432"/>
        </w:trPr>
        <w:tc>
          <w:tcPr>
            <w:tcW w:w="19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4B9E8" w14:textId="77777777" w:rsidR="00CD3B09" w:rsidRPr="005A4229" w:rsidRDefault="00CD3B09" w:rsidP="00CE5033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FCDFA3" w14:textId="77777777" w:rsidR="00CD3B09" w:rsidRPr="005A4229" w:rsidRDefault="00CD3B09" w:rsidP="00CE5033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5A4229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  <w:t>Negative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1C2857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20 (1%)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34446F4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12 (1%)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D62E512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15 (1%)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FAA2B3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24 (1%)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B40B1F4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25 (1%)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F79A1B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25 (1%)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DFEE0E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23 (1%)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DBC4675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22 (1%)</w:t>
            </w:r>
          </w:p>
        </w:tc>
      </w:tr>
      <w:tr w:rsidR="00CD3B09" w:rsidRPr="007C1F5C" w14:paraId="34DE0363" w14:textId="77777777" w:rsidTr="00CE5033">
        <w:trPr>
          <w:trHeight w:val="432"/>
        </w:trPr>
        <w:tc>
          <w:tcPr>
            <w:tcW w:w="19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86A266" w14:textId="77777777" w:rsidR="00CD3B09" w:rsidRPr="005A4229" w:rsidRDefault="00CD3B09" w:rsidP="00CE5033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5A4229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  <w:t>Clindamycin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112C6" w14:textId="77777777" w:rsidR="00CD3B09" w:rsidRPr="005A4229" w:rsidRDefault="00CD3B09" w:rsidP="00CE5033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5A4229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  <w:t>Positive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A091A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47 (2%)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BF5C0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39 (1%)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F8F48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44 (1%)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89067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41 (1%)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891B1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36 (1%)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9F7B6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28 (1%)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0D4BC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20 (1%)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E2568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15 (1%)</w:t>
            </w:r>
          </w:p>
        </w:tc>
      </w:tr>
      <w:tr w:rsidR="00CD3B09" w:rsidRPr="007C1F5C" w14:paraId="3E86E38D" w14:textId="77777777" w:rsidTr="00CE5033">
        <w:trPr>
          <w:trHeight w:val="432"/>
        </w:trPr>
        <w:tc>
          <w:tcPr>
            <w:tcW w:w="19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4C980" w14:textId="77777777" w:rsidR="00CD3B09" w:rsidRPr="005A4229" w:rsidRDefault="00CD3B09" w:rsidP="00CE5033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82319DA" w14:textId="77777777" w:rsidR="00CD3B09" w:rsidRPr="005A4229" w:rsidRDefault="00CD3B09" w:rsidP="00CE5033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5A4229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  <w:t>Negative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A39EAE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32 (1%)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10B54EC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30 (1%)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AC5C82A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27 (1%)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9CB259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22 (1%)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672D7EC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17 (1%)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ED25F8A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17 (1%)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7A7ECB3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14 (1%)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307860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10 (0%)</w:t>
            </w:r>
          </w:p>
        </w:tc>
      </w:tr>
      <w:tr w:rsidR="00CD3B09" w:rsidRPr="007C1F5C" w14:paraId="42121BB2" w14:textId="77777777" w:rsidTr="00CE5033">
        <w:trPr>
          <w:trHeight w:val="432"/>
        </w:trPr>
        <w:tc>
          <w:tcPr>
            <w:tcW w:w="19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D4688B" w14:textId="77777777" w:rsidR="00CD3B09" w:rsidRPr="005A4229" w:rsidRDefault="00CD3B09" w:rsidP="00CE5033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5A4229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  <w:t>Aminoglycosides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B91EA" w14:textId="77777777" w:rsidR="00CD3B09" w:rsidRPr="005A4229" w:rsidRDefault="00CD3B09" w:rsidP="00CE5033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5A4229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  <w:t>Positive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96352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42 (1%)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42C2A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50 (2%)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F05E6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45 (2%)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21CB3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44 (1%)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3D831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45 (2%)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9AF7B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37 (1%)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E0029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31 (1%)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9161C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21 (1%)</w:t>
            </w:r>
          </w:p>
        </w:tc>
      </w:tr>
      <w:tr w:rsidR="00CD3B09" w:rsidRPr="007C1F5C" w14:paraId="77DDADC8" w14:textId="77777777" w:rsidTr="00CE5033">
        <w:trPr>
          <w:trHeight w:val="432"/>
        </w:trPr>
        <w:tc>
          <w:tcPr>
            <w:tcW w:w="19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D4851" w14:textId="77777777" w:rsidR="00CD3B09" w:rsidRPr="005A4229" w:rsidRDefault="00CD3B09" w:rsidP="00CE5033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78C1E4C" w14:textId="77777777" w:rsidR="00CD3B09" w:rsidRPr="005A4229" w:rsidRDefault="00CD3B09" w:rsidP="00CE5033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5A4229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  <w:t>Negative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731F68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24 (1%)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888B6E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19 (1%)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D59F313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15 (1%)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ECED9F9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17 (1%)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8CF689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11 (1%)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ADA876A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14 (1%)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89B656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12 (1%)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A24FBD2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11 (1%)</w:t>
            </w:r>
          </w:p>
        </w:tc>
      </w:tr>
      <w:tr w:rsidR="00CD3B09" w:rsidRPr="007C1F5C" w14:paraId="58D956B1" w14:textId="77777777" w:rsidTr="00CE5033">
        <w:trPr>
          <w:trHeight w:val="432"/>
        </w:trPr>
        <w:tc>
          <w:tcPr>
            <w:tcW w:w="19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60D3A9" w14:textId="77777777" w:rsidR="00CD3B09" w:rsidRPr="005A4229" w:rsidRDefault="00CD3B09" w:rsidP="00CE5033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5A4229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  <w:t>Other Antibiotics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4B391" w14:textId="77777777" w:rsidR="00CD3B09" w:rsidRPr="005A4229" w:rsidRDefault="00CD3B09" w:rsidP="00CE5033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5A4229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  <w:t>Positive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98BDB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16 (1%)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723A7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18 (1%)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FA85E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21 (1%)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AEACE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23 (1%)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E8D57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29 (1%)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13EC4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34 (1%)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197DB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32 (1%)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B7E4F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33 (1%)</w:t>
            </w:r>
          </w:p>
        </w:tc>
      </w:tr>
      <w:tr w:rsidR="00CD3B09" w:rsidRPr="007C1F5C" w14:paraId="21221FAC" w14:textId="77777777" w:rsidTr="00CE5033">
        <w:trPr>
          <w:trHeight w:val="432"/>
        </w:trPr>
        <w:tc>
          <w:tcPr>
            <w:tcW w:w="19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DFB4C5" w14:textId="77777777" w:rsidR="00CD3B09" w:rsidRPr="005A4229" w:rsidRDefault="00CD3B09" w:rsidP="00CE5033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526B5B2" w14:textId="77777777" w:rsidR="00CD3B09" w:rsidRPr="005A4229" w:rsidRDefault="00CD3B09" w:rsidP="00CE5033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5A4229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  <w:t>Negative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915361F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8 (0%)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DCA0F8A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8 (0%)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BC2F787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7 (0%)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19EBA14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10 (0%)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1556869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11 (1%)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4934123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12 (1%)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036B002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12 (1%)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D0B2F4B" w14:textId="77777777" w:rsidR="00CD3B09" w:rsidRPr="00401D40" w:rsidRDefault="00CD3B09" w:rsidP="00CE5033">
            <w:pPr>
              <w:jc w:val="center"/>
              <w:rPr>
                <w:rFonts w:asciiTheme="majorBidi" w:eastAsia="Times New Roman" w:hAnsiTheme="majorBidi" w:cstheme="majorBidi"/>
                <w:color w:val="0432FF"/>
                <w:sz w:val="20"/>
                <w:szCs w:val="20"/>
                <w:lang w:eastAsia="zh-CN"/>
              </w:rPr>
            </w:pPr>
            <w:r w:rsidRPr="00401D40">
              <w:rPr>
                <w:sz w:val="20"/>
                <w:szCs w:val="20"/>
              </w:rPr>
              <w:t>12 (1%)</w:t>
            </w:r>
          </w:p>
        </w:tc>
      </w:tr>
    </w:tbl>
    <w:p w14:paraId="1762024F" w14:textId="3092945F" w:rsidR="00CD3B09" w:rsidRPr="00CD3B09" w:rsidRDefault="00CD3B09" w:rsidP="00CD3B09">
      <w:pPr>
        <w:spacing w:line="480" w:lineRule="auto"/>
        <w:rPr>
          <w:rFonts w:eastAsia="Times New Roman"/>
          <w:lang w:eastAsia="zh-CN"/>
        </w:rPr>
      </w:pPr>
      <w:proofErr w:type="spellStart"/>
      <w:r>
        <w:rPr>
          <w:rFonts w:asciiTheme="majorBidi" w:hAnsiTheme="majorBidi" w:cstheme="majorBidi"/>
          <w:bCs/>
          <w:vertAlign w:val="superscript"/>
        </w:rPr>
        <w:t>a</w:t>
      </w:r>
      <w:r>
        <w:rPr>
          <w:rFonts w:asciiTheme="majorBidi" w:hAnsiTheme="majorBidi" w:cstheme="majorBidi"/>
          <w:bCs/>
        </w:rPr>
        <w:t>BL</w:t>
      </w:r>
      <w:proofErr w:type="spellEnd"/>
      <w:r>
        <w:rPr>
          <w:rFonts w:asciiTheme="majorBidi" w:hAnsiTheme="majorBidi" w:cstheme="majorBidi"/>
          <w:bCs/>
        </w:rPr>
        <w:t>/</w:t>
      </w:r>
      <w:proofErr w:type="spellStart"/>
      <w:r>
        <w:rPr>
          <w:rFonts w:asciiTheme="majorBidi" w:hAnsiTheme="majorBidi" w:cstheme="majorBidi"/>
          <w:bCs/>
        </w:rPr>
        <w:t>BLI</w:t>
      </w:r>
      <w:proofErr w:type="spellEnd"/>
      <w:r>
        <w:rPr>
          <w:rFonts w:asciiTheme="majorBidi" w:hAnsiTheme="majorBidi" w:cstheme="majorBidi"/>
          <w:bCs/>
        </w:rPr>
        <w:t xml:space="preserve"> (beta-lactam/beta-</w:t>
      </w:r>
      <w:r w:rsidRPr="00D81234">
        <w:rPr>
          <w:rFonts w:asciiTheme="majorBidi" w:hAnsiTheme="majorBidi" w:cstheme="majorBidi"/>
          <w:bCs/>
        </w:rPr>
        <w:t>lactamase inhibitors) includes piperacillin/tazobactam, ampicillin/sulbactam, and amoxicillin/clavulanate.  Extended Spectrum Cephalosporins include</w:t>
      </w:r>
      <w:r>
        <w:rPr>
          <w:rFonts w:asciiTheme="majorBidi" w:hAnsiTheme="majorBidi" w:cstheme="majorBidi"/>
          <w:bCs/>
        </w:rPr>
        <w:t>s</w:t>
      </w:r>
      <w:r w:rsidRPr="00D81234">
        <w:rPr>
          <w:rFonts w:asciiTheme="majorBidi" w:hAnsiTheme="majorBidi" w:cstheme="majorBidi"/>
          <w:bCs/>
        </w:rPr>
        <w:t xml:space="preserve"> </w:t>
      </w:r>
      <w:r w:rsidRPr="00D81234">
        <w:rPr>
          <w:rFonts w:eastAsia="Times New Roman"/>
          <w:lang w:eastAsia="zh-CN"/>
        </w:rPr>
        <w:t xml:space="preserve">cefdinir, cefepime, cefotaxime, </w:t>
      </w:r>
      <w:proofErr w:type="spellStart"/>
      <w:r w:rsidRPr="00D81234">
        <w:rPr>
          <w:rFonts w:eastAsia="Times New Roman"/>
          <w:lang w:eastAsia="zh-CN"/>
        </w:rPr>
        <w:t>cefpoxodime</w:t>
      </w:r>
      <w:proofErr w:type="spellEnd"/>
      <w:r w:rsidRPr="00D81234">
        <w:rPr>
          <w:rFonts w:eastAsia="Times New Roman"/>
          <w:lang w:eastAsia="zh-CN"/>
        </w:rPr>
        <w:t xml:space="preserve">, </w:t>
      </w:r>
      <w:proofErr w:type="spellStart"/>
      <w:r w:rsidRPr="00D81234">
        <w:rPr>
          <w:rFonts w:eastAsia="Times New Roman"/>
          <w:lang w:eastAsia="zh-CN"/>
        </w:rPr>
        <w:t>ceftaroline</w:t>
      </w:r>
      <w:proofErr w:type="spellEnd"/>
      <w:r w:rsidRPr="00D81234">
        <w:rPr>
          <w:rFonts w:eastAsia="Times New Roman"/>
          <w:lang w:eastAsia="zh-CN"/>
        </w:rPr>
        <w:t xml:space="preserve">, ceftazidime, ceftriaxone, aztreonam, and </w:t>
      </w:r>
      <w:proofErr w:type="spellStart"/>
      <w:r w:rsidRPr="00D81234">
        <w:rPr>
          <w:rFonts w:eastAsia="Times New Roman"/>
          <w:lang w:eastAsia="zh-CN"/>
        </w:rPr>
        <w:t>ceftaroline</w:t>
      </w:r>
      <w:proofErr w:type="spellEnd"/>
      <w:r w:rsidRPr="00D81234">
        <w:rPr>
          <w:rFonts w:eastAsia="Times New Roman"/>
          <w:lang w:eastAsia="zh-CN"/>
        </w:rPr>
        <w:t xml:space="preserve">. </w:t>
      </w:r>
      <w:r w:rsidRPr="00D81234">
        <w:rPr>
          <w:rFonts w:asciiTheme="majorBidi" w:hAnsiTheme="majorBidi" w:cstheme="majorBidi"/>
          <w:bCs/>
        </w:rPr>
        <w:t>Other anti-MRSA (methicillin</w:t>
      </w:r>
      <w:r>
        <w:rPr>
          <w:rFonts w:asciiTheme="majorBidi" w:hAnsiTheme="majorBidi" w:cstheme="majorBidi"/>
          <w:bCs/>
        </w:rPr>
        <w:t xml:space="preserve">-resistant </w:t>
      </w:r>
      <w:r>
        <w:rPr>
          <w:rFonts w:asciiTheme="majorBidi" w:hAnsiTheme="majorBidi" w:cstheme="majorBidi"/>
          <w:bCs/>
          <w:i/>
          <w:iCs/>
        </w:rPr>
        <w:t>Staphylococcus aureus</w:t>
      </w:r>
      <w:r>
        <w:rPr>
          <w:rFonts w:asciiTheme="majorBidi" w:hAnsiTheme="majorBidi" w:cstheme="majorBidi"/>
          <w:bCs/>
        </w:rPr>
        <w:t xml:space="preserve">) agents include daptomycin, dalbavancin, and </w:t>
      </w:r>
      <w:r w:rsidRPr="00D81234">
        <w:rPr>
          <w:rFonts w:asciiTheme="majorBidi" w:hAnsiTheme="majorBidi" w:cstheme="majorBidi"/>
          <w:bCs/>
        </w:rPr>
        <w:t>linezolid. Other Antibiotics includes cef</w:t>
      </w:r>
      <w:r w:rsidRPr="00D81234">
        <w:rPr>
          <w:rFonts w:eastAsia="Times New Roman"/>
          <w:lang w:eastAsia="zh-CN"/>
        </w:rPr>
        <w:t xml:space="preserve">tazidime/avibactam, </w:t>
      </w:r>
      <w:proofErr w:type="spellStart"/>
      <w:r w:rsidRPr="00D81234">
        <w:rPr>
          <w:rFonts w:eastAsia="Times New Roman"/>
          <w:lang w:eastAsia="zh-CN"/>
        </w:rPr>
        <w:t>ceftolozane</w:t>
      </w:r>
      <w:proofErr w:type="spellEnd"/>
      <w:r w:rsidRPr="00D81234">
        <w:rPr>
          <w:rFonts w:eastAsia="Times New Roman"/>
          <w:lang w:eastAsia="zh-CN"/>
        </w:rPr>
        <w:t xml:space="preserve">/tazobactam, colistin, dapsone, polymyxin, rifampin, rifaximin </w:t>
      </w:r>
      <w:r w:rsidRPr="00D81234">
        <w:rPr>
          <w:rFonts w:asciiTheme="majorBidi" w:hAnsiTheme="majorBidi" w:cstheme="majorBidi"/>
          <w:bCs/>
        </w:rPr>
        <w:t>and nitrofurantoin.</w:t>
      </w:r>
      <w:r>
        <w:rPr>
          <w:rFonts w:asciiTheme="majorBidi" w:hAnsiTheme="majorBidi" w:cstheme="majorBidi"/>
          <w:bCs/>
        </w:rPr>
        <w:t xml:space="preserve">  </w:t>
      </w:r>
    </w:p>
    <w:sectPr w:rsidR="00CD3B09" w:rsidRPr="00CD3B09" w:rsidSect="00CD3B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80B11" w14:textId="77777777" w:rsidR="005B0573" w:rsidRDefault="005B0573" w:rsidP="004361C5">
      <w:r>
        <w:separator/>
      </w:r>
    </w:p>
  </w:endnote>
  <w:endnote w:type="continuationSeparator" w:id="0">
    <w:p w14:paraId="5E47C632" w14:textId="77777777" w:rsidR="005B0573" w:rsidRDefault="005B0573" w:rsidP="0043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0715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8E409E" w14:textId="77777777" w:rsidR="00CD3B09" w:rsidRDefault="00CD3B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1551B449" w14:textId="77777777" w:rsidR="00CD3B09" w:rsidRDefault="00CD3B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7219627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14:paraId="56459A2D" w14:textId="5EE9474E" w:rsidR="00CE08F9" w:rsidRPr="00FA401D" w:rsidRDefault="00CE08F9" w:rsidP="00FA401D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FA401D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FA401D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FA401D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Pr="00FA401D">
          <w:rPr>
            <w:rFonts w:asciiTheme="majorBidi" w:hAnsiTheme="majorBidi" w:cstheme="majorBidi"/>
            <w:noProof/>
            <w:sz w:val="24"/>
            <w:szCs w:val="24"/>
          </w:rPr>
          <w:t>18</w:t>
        </w:r>
        <w:r w:rsidRPr="00FA401D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14:paraId="72C16191" w14:textId="77777777" w:rsidR="00CE08F9" w:rsidRDefault="00CE08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BB275" w14:textId="77777777" w:rsidR="005B0573" w:rsidRDefault="005B0573" w:rsidP="004361C5">
      <w:r>
        <w:separator/>
      </w:r>
    </w:p>
  </w:footnote>
  <w:footnote w:type="continuationSeparator" w:id="0">
    <w:p w14:paraId="2875E558" w14:textId="77777777" w:rsidR="005B0573" w:rsidRDefault="005B0573" w:rsidP="00436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83C60"/>
    <w:multiLevelType w:val="multilevel"/>
    <w:tmpl w:val="F946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C242BA"/>
    <w:multiLevelType w:val="hybridMultilevel"/>
    <w:tmpl w:val="4B707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F73E6"/>
    <w:multiLevelType w:val="hybridMultilevel"/>
    <w:tmpl w:val="652A8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808"/>
    <w:rsid w:val="00000643"/>
    <w:rsid w:val="00001311"/>
    <w:rsid w:val="00001979"/>
    <w:rsid w:val="000031FF"/>
    <w:rsid w:val="00004652"/>
    <w:rsid w:val="00013CD5"/>
    <w:rsid w:val="0002111E"/>
    <w:rsid w:val="00021BAA"/>
    <w:rsid w:val="000231A1"/>
    <w:rsid w:val="0002335A"/>
    <w:rsid w:val="000261A5"/>
    <w:rsid w:val="0002650E"/>
    <w:rsid w:val="00032976"/>
    <w:rsid w:val="00033743"/>
    <w:rsid w:val="00033C26"/>
    <w:rsid w:val="00034BDB"/>
    <w:rsid w:val="00041A96"/>
    <w:rsid w:val="00042A65"/>
    <w:rsid w:val="00045EA9"/>
    <w:rsid w:val="000463D2"/>
    <w:rsid w:val="000466F8"/>
    <w:rsid w:val="00050351"/>
    <w:rsid w:val="000508CB"/>
    <w:rsid w:val="000513E5"/>
    <w:rsid w:val="0005222D"/>
    <w:rsid w:val="00055DB9"/>
    <w:rsid w:val="00056475"/>
    <w:rsid w:val="00060D47"/>
    <w:rsid w:val="00062DA3"/>
    <w:rsid w:val="00063131"/>
    <w:rsid w:val="00064EBF"/>
    <w:rsid w:val="00065B34"/>
    <w:rsid w:val="00067FEF"/>
    <w:rsid w:val="00074D6A"/>
    <w:rsid w:val="00080431"/>
    <w:rsid w:val="00080A9E"/>
    <w:rsid w:val="00080AE7"/>
    <w:rsid w:val="000818DA"/>
    <w:rsid w:val="00081B2A"/>
    <w:rsid w:val="000836C6"/>
    <w:rsid w:val="000847A5"/>
    <w:rsid w:val="00084BF2"/>
    <w:rsid w:val="00085D8D"/>
    <w:rsid w:val="00090B3A"/>
    <w:rsid w:val="00092012"/>
    <w:rsid w:val="00092C50"/>
    <w:rsid w:val="00093CDB"/>
    <w:rsid w:val="00093EA8"/>
    <w:rsid w:val="0009541F"/>
    <w:rsid w:val="0009589F"/>
    <w:rsid w:val="00096399"/>
    <w:rsid w:val="00096644"/>
    <w:rsid w:val="00096A86"/>
    <w:rsid w:val="000A0594"/>
    <w:rsid w:val="000A3DEB"/>
    <w:rsid w:val="000A5FF0"/>
    <w:rsid w:val="000A60B9"/>
    <w:rsid w:val="000A6362"/>
    <w:rsid w:val="000A73E6"/>
    <w:rsid w:val="000B113B"/>
    <w:rsid w:val="000B1C33"/>
    <w:rsid w:val="000B1DF3"/>
    <w:rsid w:val="000B2870"/>
    <w:rsid w:val="000B339C"/>
    <w:rsid w:val="000B3785"/>
    <w:rsid w:val="000C194D"/>
    <w:rsid w:val="000C2039"/>
    <w:rsid w:val="000C3667"/>
    <w:rsid w:val="000C3B10"/>
    <w:rsid w:val="000C6A25"/>
    <w:rsid w:val="000C73E9"/>
    <w:rsid w:val="000D0146"/>
    <w:rsid w:val="000D0548"/>
    <w:rsid w:val="000D3600"/>
    <w:rsid w:val="000E0EFE"/>
    <w:rsid w:val="000E35D8"/>
    <w:rsid w:val="000E39E4"/>
    <w:rsid w:val="000E3C80"/>
    <w:rsid w:val="000E50B8"/>
    <w:rsid w:val="000E556F"/>
    <w:rsid w:val="000F09FD"/>
    <w:rsid w:val="000F0DB1"/>
    <w:rsid w:val="000F138C"/>
    <w:rsid w:val="000F3BBC"/>
    <w:rsid w:val="000F4CE2"/>
    <w:rsid w:val="000F5374"/>
    <w:rsid w:val="000F5AEB"/>
    <w:rsid w:val="001009BA"/>
    <w:rsid w:val="00103D1D"/>
    <w:rsid w:val="00104826"/>
    <w:rsid w:val="00105A68"/>
    <w:rsid w:val="00111630"/>
    <w:rsid w:val="0011230C"/>
    <w:rsid w:val="0011495B"/>
    <w:rsid w:val="00114E04"/>
    <w:rsid w:val="001151DE"/>
    <w:rsid w:val="00115FD1"/>
    <w:rsid w:val="00121179"/>
    <w:rsid w:val="001229B2"/>
    <w:rsid w:val="001235FB"/>
    <w:rsid w:val="00124239"/>
    <w:rsid w:val="00124622"/>
    <w:rsid w:val="00124B6D"/>
    <w:rsid w:val="001262EC"/>
    <w:rsid w:val="0012655D"/>
    <w:rsid w:val="0012743B"/>
    <w:rsid w:val="00127973"/>
    <w:rsid w:val="00130245"/>
    <w:rsid w:val="001302D0"/>
    <w:rsid w:val="0013498C"/>
    <w:rsid w:val="00134AAF"/>
    <w:rsid w:val="00137BC8"/>
    <w:rsid w:val="0014014D"/>
    <w:rsid w:val="001420CA"/>
    <w:rsid w:val="001431C8"/>
    <w:rsid w:val="00143EE9"/>
    <w:rsid w:val="0014467D"/>
    <w:rsid w:val="0014511B"/>
    <w:rsid w:val="0014525F"/>
    <w:rsid w:val="0014675F"/>
    <w:rsid w:val="00150DC6"/>
    <w:rsid w:val="00150EC7"/>
    <w:rsid w:val="00152806"/>
    <w:rsid w:val="0015406B"/>
    <w:rsid w:val="00157A09"/>
    <w:rsid w:val="00160ED0"/>
    <w:rsid w:val="00161804"/>
    <w:rsid w:val="00162204"/>
    <w:rsid w:val="00162219"/>
    <w:rsid w:val="00164246"/>
    <w:rsid w:val="0017048C"/>
    <w:rsid w:val="0017197E"/>
    <w:rsid w:val="001739CD"/>
    <w:rsid w:val="00173E24"/>
    <w:rsid w:val="00173EB6"/>
    <w:rsid w:val="001743C6"/>
    <w:rsid w:val="00176F1B"/>
    <w:rsid w:val="00181D36"/>
    <w:rsid w:val="00182322"/>
    <w:rsid w:val="00185E04"/>
    <w:rsid w:val="001865C1"/>
    <w:rsid w:val="00190079"/>
    <w:rsid w:val="00190E16"/>
    <w:rsid w:val="00191981"/>
    <w:rsid w:val="0019358C"/>
    <w:rsid w:val="001962DE"/>
    <w:rsid w:val="00196EBE"/>
    <w:rsid w:val="001A15E4"/>
    <w:rsid w:val="001A1B1B"/>
    <w:rsid w:val="001A3604"/>
    <w:rsid w:val="001A3AA3"/>
    <w:rsid w:val="001A7FDF"/>
    <w:rsid w:val="001B1D26"/>
    <w:rsid w:val="001B2BB5"/>
    <w:rsid w:val="001B35D7"/>
    <w:rsid w:val="001B460A"/>
    <w:rsid w:val="001B7376"/>
    <w:rsid w:val="001B750B"/>
    <w:rsid w:val="001B79EA"/>
    <w:rsid w:val="001C0453"/>
    <w:rsid w:val="001C12D8"/>
    <w:rsid w:val="001C2182"/>
    <w:rsid w:val="001C2FEC"/>
    <w:rsid w:val="001C3600"/>
    <w:rsid w:val="001C7764"/>
    <w:rsid w:val="001D06EA"/>
    <w:rsid w:val="001D181E"/>
    <w:rsid w:val="001D1888"/>
    <w:rsid w:val="001D1D8B"/>
    <w:rsid w:val="001D316B"/>
    <w:rsid w:val="001D4727"/>
    <w:rsid w:val="001D552D"/>
    <w:rsid w:val="001D70D8"/>
    <w:rsid w:val="001D74F1"/>
    <w:rsid w:val="001E2266"/>
    <w:rsid w:val="001E72A4"/>
    <w:rsid w:val="001E79C0"/>
    <w:rsid w:val="001F0A48"/>
    <w:rsid w:val="001F49AC"/>
    <w:rsid w:val="00201944"/>
    <w:rsid w:val="002051BC"/>
    <w:rsid w:val="00205287"/>
    <w:rsid w:val="0020563D"/>
    <w:rsid w:val="00206130"/>
    <w:rsid w:val="002106ED"/>
    <w:rsid w:val="00210863"/>
    <w:rsid w:val="00210B18"/>
    <w:rsid w:val="002159A6"/>
    <w:rsid w:val="00217BE7"/>
    <w:rsid w:val="00221117"/>
    <w:rsid w:val="00221D8B"/>
    <w:rsid w:val="00222806"/>
    <w:rsid w:val="002231F8"/>
    <w:rsid w:val="00223AB6"/>
    <w:rsid w:val="002261BD"/>
    <w:rsid w:val="00227A5F"/>
    <w:rsid w:val="0023055F"/>
    <w:rsid w:val="00233B61"/>
    <w:rsid w:val="002349CD"/>
    <w:rsid w:val="00234FFF"/>
    <w:rsid w:val="002365F7"/>
    <w:rsid w:val="00240F3B"/>
    <w:rsid w:val="00244976"/>
    <w:rsid w:val="002527B7"/>
    <w:rsid w:val="00252C18"/>
    <w:rsid w:val="002549EF"/>
    <w:rsid w:val="002618FB"/>
    <w:rsid w:val="0026338F"/>
    <w:rsid w:val="00264D0A"/>
    <w:rsid w:val="0026518B"/>
    <w:rsid w:val="00265AF7"/>
    <w:rsid w:val="002733C2"/>
    <w:rsid w:val="002736DD"/>
    <w:rsid w:val="002739EA"/>
    <w:rsid w:val="00274385"/>
    <w:rsid w:val="00275EB8"/>
    <w:rsid w:val="0028051F"/>
    <w:rsid w:val="00280C96"/>
    <w:rsid w:val="0028287D"/>
    <w:rsid w:val="00283454"/>
    <w:rsid w:val="00287BE7"/>
    <w:rsid w:val="00290322"/>
    <w:rsid w:val="00291482"/>
    <w:rsid w:val="0029155B"/>
    <w:rsid w:val="00293482"/>
    <w:rsid w:val="002A0E6D"/>
    <w:rsid w:val="002A3693"/>
    <w:rsid w:val="002A77C9"/>
    <w:rsid w:val="002B38D4"/>
    <w:rsid w:val="002B5EEE"/>
    <w:rsid w:val="002C0D06"/>
    <w:rsid w:val="002C1058"/>
    <w:rsid w:val="002C1161"/>
    <w:rsid w:val="002C3337"/>
    <w:rsid w:val="002C61D8"/>
    <w:rsid w:val="002C7687"/>
    <w:rsid w:val="002C7A56"/>
    <w:rsid w:val="002D0ADB"/>
    <w:rsid w:val="002D0E1D"/>
    <w:rsid w:val="002D1648"/>
    <w:rsid w:val="002D7E2C"/>
    <w:rsid w:val="002E188D"/>
    <w:rsid w:val="002E5AE5"/>
    <w:rsid w:val="002E6956"/>
    <w:rsid w:val="002F24BD"/>
    <w:rsid w:val="002F53AA"/>
    <w:rsid w:val="002F691D"/>
    <w:rsid w:val="002F6AE4"/>
    <w:rsid w:val="00300222"/>
    <w:rsid w:val="00301B11"/>
    <w:rsid w:val="00304104"/>
    <w:rsid w:val="003042C1"/>
    <w:rsid w:val="00305BD4"/>
    <w:rsid w:val="003061BA"/>
    <w:rsid w:val="003065D3"/>
    <w:rsid w:val="00306DF1"/>
    <w:rsid w:val="00307AF4"/>
    <w:rsid w:val="00313FEE"/>
    <w:rsid w:val="00321A40"/>
    <w:rsid w:val="003251A5"/>
    <w:rsid w:val="003252D8"/>
    <w:rsid w:val="003274FD"/>
    <w:rsid w:val="0032755A"/>
    <w:rsid w:val="00331874"/>
    <w:rsid w:val="003322BE"/>
    <w:rsid w:val="00332922"/>
    <w:rsid w:val="00335CCF"/>
    <w:rsid w:val="00336963"/>
    <w:rsid w:val="003379A0"/>
    <w:rsid w:val="003434D5"/>
    <w:rsid w:val="00345062"/>
    <w:rsid w:val="0035059B"/>
    <w:rsid w:val="00354BD3"/>
    <w:rsid w:val="0036077F"/>
    <w:rsid w:val="00362196"/>
    <w:rsid w:val="0036239D"/>
    <w:rsid w:val="00365BA3"/>
    <w:rsid w:val="00366B49"/>
    <w:rsid w:val="00366BC3"/>
    <w:rsid w:val="00366CF8"/>
    <w:rsid w:val="00367C60"/>
    <w:rsid w:val="0037010C"/>
    <w:rsid w:val="0037744C"/>
    <w:rsid w:val="00377CAF"/>
    <w:rsid w:val="003803B0"/>
    <w:rsid w:val="0038053E"/>
    <w:rsid w:val="00381DE2"/>
    <w:rsid w:val="00383540"/>
    <w:rsid w:val="00384237"/>
    <w:rsid w:val="003856D8"/>
    <w:rsid w:val="00386107"/>
    <w:rsid w:val="00393798"/>
    <w:rsid w:val="00397C08"/>
    <w:rsid w:val="003A1300"/>
    <w:rsid w:val="003A28F0"/>
    <w:rsid w:val="003B710A"/>
    <w:rsid w:val="003C1799"/>
    <w:rsid w:val="003C216E"/>
    <w:rsid w:val="003C335D"/>
    <w:rsid w:val="003C36B8"/>
    <w:rsid w:val="003C419B"/>
    <w:rsid w:val="003C5CA5"/>
    <w:rsid w:val="003D3FDE"/>
    <w:rsid w:val="003D5061"/>
    <w:rsid w:val="003D6240"/>
    <w:rsid w:val="003E22BC"/>
    <w:rsid w:val="003E5935"/>
    <w:rsid w:val="003E5D5B"/>
    <w:rsid w:val="003F0F56"/>
    <w:rsid w:val="003F291B"/>
    <w:rsid w:val="003F675E"/>
    <w:rsid w:val="003F682F"/>
    <w:rsid w:val="003F69BF"/>
    <w:rsid w:val="003F6AF3"/>
    <w:rsid w:val="004062F2"/>
    <w:rsid w:val="0040663B"/>
    <w:rsid w:val="0041094F"/>
    <w:rsid w:val="00412C95"/>
    <w:rsid w:val="004132CF"/>
    <w:rsid w:val="00413D0B"/>
    <w:rsid w:val="00416761"/>
    <w:rsid w:val="0041768C"/>
    <w:rsid w:val="00420A9A"/>
    <w:rsid w:val="00422A4F"/>
    <w:rsid w:val="00423340"/>
    <w:rsid w:val="00423F2D"/>
    <w:rsid w:val="0042517E"/>
    <w:rsid w:val="0042635C"/>
    <w:rsid w:val="00426CBA"/>
    <w:rsid w:val="00426D88"/>
    <w:rsid w:val="0042783F"/>
    <w:rsid w:val="0043013E"/>
    <w:rsid w:val="0043192B"/>
    <w:rsid w:val="00432153"/>
    <w:rsid w:val="0043254A"/>
    <w:rsid w:val="004330AA"/>
    <w:rsid w:val="0043449B"/>
    <w:rsid w:val="00435AD8"/>
    <w:rsid w:val="004361C5"/>
    <w:rsid w:val="00436940"/>
    <w:rsid w:val="00437797"/>
    <w:rsid w:val="00440F39"/>
    <w:rsid w:val="004417D4"/>
    <w:rsid w:val="00443490"/>
    <w:rsid w:val="004437DC"/>
    <w:rsid w:val="00444E35"/>
    <w:rsid w:val="0044717E"/>
    <w:rsid w:val="00447B74"/>
    <w:rsid w:val="00447BD5"/>
    <w:rsid w:val="0045034A"/>
    <w:rsid w:val="00454A32"/>
    <w:rsid w:val="00454E69"/>
    <w:rsid w:val="00454EB9"/>
    <w:rsid w:val="00457EE1"/>
    <w:rsid w:val="00460347"/>
    <w:rsid w:val="00464116"/>
    <w:rsid w:val="00464729"/>
    <w:rsid w:val="0046523D"/>
    <w:rsid w:val="004661CF"/>
    <w:rsid w:val="00472FB4"/>
    <w:rsid w:val="004730C9"/>
    <w:rsid w:val="004772D5"/>
    <w:rsid w:val="00482032"/>
    <w:rsid w:val="0048512E"/>
    <w:rsid w:val="00486BEB"/>
    <w:rsid w:val="0048795A"/>
    <w:rsid w:val="0049066F"/>
    <w:rsid w:val="004948F9"/>
    <w:rsid w:val="00495F47"/>
    <w:rsid w:val="00497308"/>
    <w:rsid w:val="004A1A12"/>
    <w:rsid w:val="004A37DA"/>
    <w:rsid w:val="004A5BF8"/>
    <w:rsid w:val="004A71E3"/>
    <w:rsid w:val="004A74BB"/>
    <w:rsid w:val="004A7988"/>
    <w:rsid w:val="004B2C45"/>
    <w:rsid w:val="004B40B4"/>
    <w:rsid w:val="004B4CE0"/>
    <w:rsid w:val="004C1898"/>
    <w:rsid w:val="004C33B0"/>
    <w:rsid w:val="004C3640"/>
    <w:rsid w:val="004C41E5"/>
    <w:rsid w:val="004C5995"/>
    <w:rsid w:val="004C718F"/>
    <w:rsid w:val="004C7B17"/>
    <w:rsid w:val="004D01A7"/>
    <w:rsid w:val="004D2C50"/>
    <w:rsid w:val="004D351A"/>
    <w:rsid w:val="004D6E4C"/>
    <w:rsid w:val="004D70F6"/>
    <w:rsid w:val="004E0E32"/>
    <w:rsid w:val="004E100A"/>
    <w:rsid w:val="004E28E6"/>
    <w:rsid w:val="004E305D"/>
    <w:rsid w:val="004E3A61"/>
    <w:rsid w:val="004E5172"/>
    <w:rsid w:val="004E7140"/>
    <w:rsid w:val="004F1F20"/>
    <w:rsid w:val="004F23DB"/>
    <w:rsid w:val="004F5A51"/>
    <w:rsid w:val="005059D8"/>
    <w:rsid w:val="0050626C"/>
    <w:rsid w:val="0050795C"/>
    <w:rsid w:val="00510ED2"/>
    <w:rsid w:val="00511448"/>
    <w:rsid w:val="00514293"/>
    <w:rsid w:val="005149ED"/>
    <w:rsid w:val="0051797E"/>
    <w:rsid w:val="00527471"/>
    <w:rsid w:val="0052765E"/>
    <w:rsid w:val="00527C7F"/>
    <w:rsid w:val="005328B4"/>
    <w:rsid w:val="005350BC"/>
    <w:rsid w:val="00535F65"/>
    <w:rsid w:val="005405E5"/>
    <w:rsid w:val="00541296"/>
    <w:rsid w:val="005419EC"/>
    <w:rsid w:val="005448C6"/>
    <w:rsid w:val="00544A90"/>
    <w:rsid w:val="005455EF"/>
    <w:rsid w:val="00545B17"/>
    <w:rsid w:val="0054748B"/>
    <w:rsid w:val="00550190"/>
    <w:rsid w:val="00554C0A"/>
    <w:rsid w:val="0055662E"/>
    <w:rsid w:val="00556C4C"/>
    <w:rsid w:val="00557D3E"/>
    <w:rsid w:val="005700B6"/>
    <w:rsid w:val="005740E4"/>
    <w:rsid w:val="00575121"/>
    <w:rsid w:val="00577F1F"/>
    <w:rsid w:val="005817F2"/>
    <w:rsid w:val="0058219F"/>
    <w:rsid w:val="005854E8"/>
    <w:rsid w:val="00586A49"/>
    <w:rsid w:val="00593C5E"/>
    <w:rsid w:val="00595E74"/>
    <w:rsid w:val="005A05D2"/>
    <w:rsid w:val="005A1589"/>
    <w:rsid w:val="005A327A"/>
    <w:rsid w:val="005A37C7"/>
    <w:rsid w:val="005A42CD"/>
    <w:rsid w:val="005A5767"/>
    <w:rsid w:val="005B03A7"/>
    <w:rsid w:val="005B0573"/>
    <w:rsid w:val="005B0BF0"/>
    <w:rsid w:val="005B2EAE"/>
    <w:rsid w:val="005B71E5"/>
    <w:rsid w:val="005B7361"/>
    <w:rsid w:val="005B7502"/>
    <w:rsid w:val="005B7AEA"/>
    <w:rsid w:val="005C0409"/>
    <w:rsid w:val="005C2071"/>
    <w:rsid w:val="005C26F8"/>
    <w:rsid w:val="005C35E0"/>
    <w:rsid w:val="005C37C8"/>
    <w:rsid w:val="005C7E66"/>
    <w:rsid w:val="005D1EA1"/>
    <w:rsid w:val="005D2C22"/>
    <w:rsid w:val="005D322C"/>
    <w:rsid w:val="005D533B"/>
    <w:rsid w:val="005E5C77"/>
    <w:rsid w:val="005E63FE"/>
    <w:rsid w:val="005F1F7A"/>
    <w:rsid w:val="005F39DC"/>
    <w:rsid w:val="005F6228"/>
    <w:rsid w:val="005F7FD9"/>
    <w:rsid w:val="006016DE"/>
    <w:rsid w:val="00602B8D"/>
    <w:rsid w:val="00603823"/>
    <w:rsid w:val="00607628"/>
    <w:rsid w:val="00607922"/>
    <w:rsid w:val="00607BC5"/>
    <w:rsid w:val="00607E5F"/>
    <w:rsid w:val="0061007D"/>
    <w:rsid w:val="006103E8"/>
    <w:rsid w:val="00611C2A"/>
    <w:rsid w:val="00613297"/>
    <w:rsid w:val="00613B9D"/>
    <w:rsid w:val="006145EF"/>
    <w:rsid w:val="00616371"/>
    <w:rsid w:val="0061748C"/>
    <w:rsid w:val="00623389"/>
    <w:rsid w:val="00624320"/>
    <w:rsid w:val="00627471"/>
    <w:rsid w:val="00631B66"/>
    <w:rsid w:val="00633953"/>
    <w:rsid w:val="006344D4"/>
    <w:rsid w:val="00634F33"/>
    <w:rsid w:val="006368D1"/>
    <w:rsid w:val="0064559E"/>
    <w:rsid w:val="00645EFC"/>
    <w:rsid w:val="00645F0D"/>
    <w:rsid w:val="00650C86"/>
    <w:rsid w:val="00656AAE"/>
    <w:rsid w:val="00657D2B"/>
    <w:rsid w:val="006625DB"/>
    <w:rsid w:val="006640C1"/>
    <w:rsid w:val="00664938"/>
    <w:rsid w:val="00665609"/>
    <w:rsid w:val="00665D40"/>
    <w:rsid w:val="00667FE9"/>
    <w:rsid w:val="00672FE4"/>
    <w:rsid w:val="00673E99"/>
    <w:rsid w:val="0067797D"/>
    <w:rsid w:val="00681E32"/>
    <w:rsid w:val="006843BE"/>
    <w:rsid w:val="006860FE"/>
    <w:rsid w:val="0068761A"/>
    <w:rsid w:val="00687BC6"/>
    <w:rsid w:val="0069079D"/>
    <w:rsid w:val="00690882"/>
    <w:rsid w:val="006927AD"/>
    <w:rsid w:val="00693FA2"/>
    <w:rsid w:val="0069508E"/>
    <w:rsid w:val="0069718E"/>
    <w:rsid w:val="006A3B6E"/>
    <w:rsid w:val="006A47FB"/>
    <w:rsid w:val="006A48D3"/>
    <w:rsid w:val="006A4C06"/>
    <w:rsid w:val="006A4DAD"/>
    <w:rsid w:val="006B22D1"/>
    <w:rsid w:val="006B3A68"/>
    <w:rsid w:val="006B74C2"/>
    <w:rsid w:val="006C0D0C"/>
    <w:rsid w:val="006C2CE3"/>
    <w:rsid w:val="006C625D"/>
    <w:rsid w:val="006C7907"/>
    <w:rsid w:val="006D67A0"/>
    <w:rsid w:val="006D7760"/>
    <w:rsid w:val="006E0B6F"/>
    <w:rsid w:val="006E388A"/>
    <w:rsid w:val="006F0E48"/>
    <w:rsid w:val="006F145D"/>
    <w:rsid w:val="006F402B"/>
    <w:rsid w:val="006F4702"/>
    <w:rsid w:val="006F5895"/>
    <w:rsid w:val="006F7083"/>
    <w:rsid w:val="00701338"/>
    <w:rsid w:val="007019D4"/>
    <w:rsid w:val="00707B9F"/>
    <w:rsid w:val="007116E1"/>
    <w:rsid w:val="007145E8"/>
    <w:rsid w:val="00714ED4"/>
    <w:rsid w:val="007157F5"/>
    <w:rsid w:val="0071594B"/>
    <w:rsid w:val="00717479"/>
    <w:rsid w:val="00731B9F"/>
    <w:rsid w:val="00733CEB"/>
    <w:rsid w:val="00734E3F"/>
    <w:rsid w:val="00734F6A"/>
    <w:rsid w:val="00737613"/>
    <w:rsid w:val="007405D5"/>
    <w:rsid w:val="00740D89"/>
    <w:rsid w:val="00741704"/>
    <w:rsid w:val="00741B37"/>
    <w:rsid w:val="00743734"/>
    <w:rsid w:val="0074491C"/>
    <w:rsid w:val="00745571"/>
    <w:rsid w:val="00745A9D"/>
    <w:rsid w:val="00747147"/>
    <w:rsid w:val="00747F01"/>
    <w:rsid w:val="00750B9E"/>
    <w:rsid w:val="007516C0"/>
    <w:rsid w:val="00753E71"/>
    <w:rsid w:val="00754438"/>
    <w:rsid w:val="00755EEE"/>
    <w:rsid w:val="00756550"/>
    <w:rsid w:val="007627A7"/>
    <w:rsid w:val="00763939"/>
    <w:rsid w:val="00767719"/>
    <w:rsid w:val="00767854"/>
    <w:rsid w:val="00767BD9"/>
    <w:rsid w:val="00772D73"/>
    <w:rsid w:val="007744EC"/>
    <w:rsid w:val="00782C8E"/>
    <w:rsid w:val="00786309"/>
    <w:rsid w:val="00790BD6"/>
    <w:rsid w:val="00791A41"/>
    <w:rsid w:val="00791DCB"/>
    <w:rsid w:val="00794AA2"/>
    <w:rsid w:val="0079568E"/>
    <w:rsid w:val="0079781C"/>
    <w:rsid w:val="007A6D62"/>
    <w:rsid w:val="007B06C5"/>
    <w:rsid w:val="007B2EE6"/>
    <w:rsid w:val="007C0300"/>
    <w:rsid w:val="007C0D67"/>
    <w:rsid w:val="007C5896"/>
    <w:rsid w:val="007C58FC"/>
    <w:rsid w:val="007C6154"/>
    <w:rsid w:val="007D1489"/>
    <w:rsid w:val="007D2A67"/>
    <w:rsid w:val="007D2FBD"/>
    <w:rsid w:val="007D328D"/>
    <w:rsid w:val="007D4C47"/>
    <w:rsid w:val="007D78B3"/>
    <w:rsid w:val="007E0016"/>
    <w:rsid w:val="007E15C4"/>
    <w:rsid w:val="007E5747"/>
    <w:rsid w:val="007E5D7D"/>
    <w:rsid w:val="007E6E2C"/>
    <w:rsid w:val="007F1C30"/>
    <w:rsid w:val="007F3496"/>
    <w:rsid w:val="007F4A27"/>
    <w:rsid w:val="007F4BBA"/>
    <w:rsid w:val="007F731D"/>
    <w:rsid w:val="007F7B25"/>
    <w:rsid w:val="00801300"/>
    <w:rsid w:val="0080175E"/>
    <w:rsid w:val="00802346"/>
    <w:rsid w:val="00802C8D"/>
    <w:rsid w:val="00805B21"/>
    <w:rsid w:val="00806990"/>
    <w:rsid w:val="0080732C"/>
    <w:rsid w:val="008075CB"/>
    <w:rsid w:val="00807E9A"/>
    <w:rsid w:val="00810A87"/>
    <w:rsid w:val="008161C8"/>
    <w:rsid w:val="008167AE"/>
    <w:rsid w:val="008169E3"/>
    <w:rsid w:val="00816B71"/>
    <w:rsid w:val="00816B8A"/>
    <w:rsid w:val="0082182C"/>
    <w:rsid w:val="008225F2"/>
    <w:rsid w:val="00823C71"/>
    <w:rsid w:val="00825060"/>
    <w:rsid w:val="00825377"/>
    <w:rsid w:val="00834DD4"/>
    <w:rsid w:val="00834F1F"/>
    <w:rsid w:val="008379A7"/>
    <w:rsid w:val="00837C78"/>
    <w:rsid w:val="008403DD"/>
    <w:rsid w:val="00841492"/>
    <w:rsid w:val="008415E2"/>
    <w:rsid w:val="0084231B"/>
    <w:rsid w:val="00844591"/>
    <w:rsid w:val="00845CD5"/>
    <w:rsid w:val="00847DA4"/>
    <w:rsid w:val="00850E59"/>
    <w:rsid w:val="008608A3"/>
    <w:rsid w:val="008639E9"/>
    <w:rsid w:val="00865BBE"/>
    <w:rsid w:val="008727B2"/>
    <w:rsid w:val="008730B4"/>
    <w:rsid w:val="008739CC"/>
    <w:rsid w:val="00873F72"/>
    <w:rsid w:val="0087718D"/>
    <w:rsid w:val="008802A5"/>
    <w:rsid w:val="008802FA"/>
    <w:rsid w:val="0088036F"/>
    <w:rsid w:val="00880870"/>
    <w:rsid w:val="00880BFC"/>
    <w:rsid w:val="00881944"/>
    <w:rsid w:val="00882948"/>
    <w:rsid w:val="00883D53"/>
    <w:rsid w:val="0088460C"/>
    <w:rsid w:val="00884726"/>
    <w:rsid w:val="00885860"/>
    <w:rsid w:val="0088652E"/>
    <w:rsid w:val="00887C5A"/>
    <w:rsid w:val="00892000"/>
    <w:rsid w:val="00892754"/>
    <w:rsid w:val="00892CFC"/>
    <w:rsid w:val="00892F51"/>
    <w:rsid w:val="00895843"/>
    <w:rsid w:val="00897E74"/>
    <w:rsid w:val="008A0CF1"/>
    <w:rsid w:val="008A2531"/>
    <w:rsid w:val="008A6B75"/>
    <w:rsid w:val="008B3FFC"/>
    <w:rsid w:val="008B53F7"/>
    <w:rsid w:val="008B68F4"/>
    <w:rsid w:val="008C07BF"/>
    <w:rsid w:val="008C0EB7"/>
    <w:rsid w:val="008C484A"/>
    <w:rsid w:val="008C4BDB"/>
    <w:rsid w:val="008D2E84"/>
    <w:rsid w:val="008D3B2A"/>
    <w:rsid w:val="008D4819"/>
    <w:rsid w:val="008D5664"/>
    <w:rsid w:val="008D789E"/>
    <w:rsid w:val="008E0ACB"/>
    <w:rsid w:val="008E237B"/>
    <w:rsid w:val="008E3A41"/>
    <w:rsid w:val="008E736A"/>
    <w:rsid w:val="008F08CF"/>
    <w:rsid w:val="008F34ED"/>
    <w:rsid w:val="008F4D22"/>
    <w:rsid w:val="008F6030"/>
    <w:rsid w:val="00902896"/>
    <w:rsid w:val="00902A37"/>
    <w:rsid w:val="00906EC4"/>
    <w:rsid w:val="00907750"/>
    <w:rsid w:val="00907DBB"/>
    <w:rsid w:val="009120FE"/>
    <w:rsid w:val="0091380F"/>
    <w:rsid w:val="00914BFF"/>
    <w:rsid w:val="00916259"/>
    <w:rsid w:val="009210AD"/>
    <w:rsid w:val="00922A22"/>
    <w:rsid w:val="00923A8C"/>
    <w:rsid w:val="009241B2"/>
    <w:rsid w:val="00924418"/>
    <w:rsid w:val="0092781E"/>
    <w:rsid w:val="00930341"/>
    <w:rsid w:val="009364B2"/>
    <w:rsid w:val="009364C2"/>
    <w:rsid w:val="00936BD1"/>
    <w:rsid w:val="00940A31"/>
    <w:rsid w:val="009434C8"/>
    <w:rsid w:val="0094691D"/>
    <w:rsid w:val="00950693"/>
    <w:rsid w:val="00951A76"/>
    <w:rsid w:val="00952902"/>
    <w:rsid w:val="0096452C"/>
    <w:rsid w:val="00965E98"/>
    <w:rsid w:val="00965F35"/>
    <w:rsid w:val="009710B6"/>
    <w:rsid w:val="009733C3"/>
    <w:rsid w:val="0097486E"/>
    <w:rsid w:val="00981571"/>
    <w:rsid w:val="00981A19"/>
    <w:rsid w:val="00983805"/>
    <w:rsid w:val="00985A6F"/>
    <w:rsid w:val="00985AD7"/>
    <w:rsid w:val="00994F91"/>
    <w:rsid w:val="00995552"/>
    <w:rsid w:val="00995782"/>
    <w:rsid w:val="00996715"/>
    <w:rsid w:val="0099711D"/>
    <w:rsid w:val="009A37C9"/>
    <w:rsid w:val="009A3CE7"/>
    <w:rsid w:val="009A689B"/>
    <w:rsid w:val="009B11FD"/>
    <w:rsid w:val="009B1CC9"/>
    <w:rsid w:val="009B1E35"/>
    <w:rsid w:val="009B2BA9"/>
    <w:rsid w:val="009B2BC5"/>
    <w:rsid w:val="009B5711"/>
    <w:rsid w:val="009B73AB"/>
    <w:rsid w:val="009B79FC"/>
    <w:rsid w:val="009C0F86"/>
    <w:rsid w:val="009C3338"/>
    <w:rsid w:val="009C37C4"/>
    <w:rsid w:val="009C38F5"/>
    <w:rsid w:val="009C3CAE"/>
    <w:rsid w:val="009D0B84"/>
    <w:rsid w:val="009D31DD"/>
    <w:rsid w:val="009D48A2"/>
    <w:rsid w:val="009D691C"/>
    <w:rsid w:val="009D695A"/>
    <w:rsid w:val="009E0E9C"/>
    <w:rsid w:val="009E4AB2"/>
    <w:rsid w:val="009E4CDB"/>
    <w:rsid w:val="009E73A9"/>
    <w:rsid w:val="009F16F1"/>
    <w:rsid w:val="009F25FE"/>
    <w:rsid w:val="009F2B65"/>
    <w:rsid w:val="009F2C3E"/>
    <w:rsid w:val="009F33D5"/>
    <w:rsid w:val="009F4B29"/>
    <w:rsid w:val="009F6EB3"/>
    <w:rsid w:val="009F7B6B"/>
    <w:rsid w:val="009F7CD9"/>
    <w:rsid w:val="009F7DDD"/>
    <w:rsid w:val="00A0212A"/>
    <w:rsid w:val="00A0516E"/>
    <w:rsid w:val="00A0617C"/>
    <w:rsid w:val="00A10414"/>
    <w:rsid w:val="00A1561C"/>
    <w:rsid w:val="00A15B4B"/>
    <w:rsid w:val="00A16934"/>
    <w:rsid w:val="00A16C6F"/>
    <w:rsid w:val="00A212E0"/>
    <w:rsid w:val="00A27982"/>
    <w:rsid w:val="00A31DAE"/>
    <w:rsid w:val="00A32E49"/>
    <w:rsid w:val="00A353B9"/>
    <w:rsid w:val="00A3683F"/>
    <w:rsid w:val="00A442D6"/>
    <w:rsid w:val="00A502CC"/>
    <w:rsid w:val="00A530DE"/>
    <w:rsid w:val="00A5406F"/>
    <w:rsid w:val="00A5453D"/>
    <w:rsid w:val="00A54750"/>
    <w:rsid w:val="00A57DC0"/>
    <w:rsid w:val="00A60BAB"/>
    <w:rsid w:val="00A618E5"/>
    <w:rsid w:val="00A62876"/>
    <w:rsid w:val="00A638B8"/>
    <w:rsid w:val="00A67669"/>
    <w:rsid w:val="00A73679"/>
    <w:rsid w:val="00A73FF1"/>
    <w:rsid w:val="00A74110"/>
    <w:rsid w:val="00A741FC"/>
    <w:rsid w:val="00A7485C"/>
    <w:rsid w:val="00A77029"/>
    <w:rsid w:val="00A818D0"/>
    <w:rsid w:val="00A836F2"/>
    <w:rsid w:val="00A879A2"/>
    <w:rsid w:val="00A9009A"/>
    <w:rsid w:val="00A9072B"/>
    <w:rsid w:val="00A92B59"/>
    <w:rsid w:val="00A9375C"/>
    <w:rsid w:val="00A9511E"/>
    <w:rsid w:val="00A96092"/>
    <w:rsid w:val="00A9706D"/>
    <w:rsid w:val="00A978D7"/>
    <w:rsid w:val="00AA1653"/>
    <w:rsid w:val="00AA2D09"/>
    <w:rsid w:val="00AA2F74"/>
    <w:rsid w:val="00AA3405"/>
    <w:rsid w:val="00AA4FEB"/>
    <w:rsid w:val="00AA6321"/>
    <w:rsid w:val="00AA6D8C"/>
    <w:rsid w:val="00AB337D"/>
    <w:rsid w:val="00AB5E67"/>
    <w:rsid w:val="00AC1B27"/>
    <w:rsid w:val="00AC2D35"/>
    <w:rsid w:val="00AD06A1"/>
    <w:rsid w:val="00AD1A6D"/>
    <w:rsid w:val="00AD373C"/>
    <w:rsid w:val="00AD5C4A"/>
    <w:rsid w:val="00AD5F0E"/>
    <w:rsid w:val="00AE0698"/>
    <w:rsid w:val="00AE09AC"/>
    <w:rsid w:val="00AE231C"/>
    <w:rsid w:val="00AE239F"/>
    <w:rsid w:val="00AE2B9C"/>
    <w:rsid w:val="00AE53AA"/>
    <w:rsid w:val="00AF4DCE"/>
    <w:rsid w:val="00AF747A"/>
    <w:rsid w:val="00B034CF"/>
    <w:rsid w:val="00B05163"/>
    <w:rsid w:val="00B104C8"/>
    <w:rsid w:val="00B1155B"/>
    <w:rsid w:val="00B1241F"/>
    <w:rsid w:val="00B147C1"/>
    <w:rsid w:val="00B1581D"/>
    <w:rsid w:val="00B16C4C"/>
    <w:rsid w:val="00B174BC"/>
    <w:rsid w:val="00B17EF1"/>
    <w:rsid w:val="00B257AB"/>
    <w:rsid w:val="00B30DFA"/>
    <w:rsid w:val="00B357D4"/>
    <w:rsid w:val="00B40DD6"/>
    <w:rsid w:val="00B419A5"/>
    <w:rsid w:val="00B41D55"/>
    <w:rsid w:val="00B4304F"/>
    <w:rsid w:val="00B43E26"/>
    <w:rsid w:val="00B4575C"/>
    <w:rsid w:val="00B45AD7"/>
    <w:rsid w:val="00B504B0"/>
    <w:rsid w:val="00B52997"/>
    <w:rsid w:val="00B612E3"/>
    <w:rsid w:val="00B61579"/>
    <w:rsid w:val="00B64C2A"/>
    <w:rsid w:val="00B670C2"/>
    <w:rsid w:val="00B702CE"/>
    <w:rsid w:val="00B71A71"/>
    <w:rsid w:val="00B74CC6"/>
    <w:rsid w:val="00B7502C"/>
    <w:rsid w:val="00B75DA3"/>
    <w:rsid w:val="00B80758"/>
    <w:rsid w:val="00B8309F"/>
    <w:rsid w:val="00B86C6E"/>
    <w:rsid w:val="00B87862"/>
    <w:rsid w:val="00B94F1F"/>
    <w:rsid w:val="00B96374"/>
    <w:rsid w:val="00B97260"/>
    <w:rsid w:val="00BA008C"/>
    <w:rsid w:val="00BA0BEA"/>
    <w:rsid w:val="00BA0DD5"/>
    <w:rsid w:val="00BA1D40"/>
    <w:rsid w:val="00BA270A"/>
    <w:rsid w:val="00BA365A"/>
    <w:rsid w:val="00BA37C5"/>
    <w:rsid w:val="00BA4513"/>
    <w:rsid w:val="00BA6552"/>
    <w:rsid w:val="00BB3B8E"/>
    <w:rsid w:val="00BB6045"/>
    <w:rsid w:val="00BC2E84"/>
    <w:rsid w:val="00BC4A12"/>
    <w:rsid w:val="00BC68ED"/>
    <w:rsid w:val="00BC73F8"/>
    <w:rsid w:val="00BD1A5A"/>
    <w:rsid w:val="00BD2537"/>
    <w:rsid w:val="00BD44DE"/>
    <w:rsid w:val="00BD45B8"/>
    <w:rsid w:val="00BD6E8D"/>
    <w:rsid w:val="00BD768D"/>
    <w:rsid w:val="00BE064C"/>
    <w:rsid w:val="00BE3F74"/>
    <w:rsid w:val="00BE47F8"/>
    <w:rsid w:val="00BE5434"/>
    <w:rsid w:val="00BE6F6D"/>
    <w:rsid w:val="00BF0F9F"/>
    <w:rsid w:val="00BF13C8"/>
    <w:rsid w:val="00BF2B10"/>
    <w:rsid w:val="00BF3105"/>
    <w:rsid w:val="00BF7EA6"/>
    <w:rsid w:val="00C061C0"/>
    <w:rsid w:val="00C0735E"/>
    <w:rsid w:val="00C103EC"/>
    <w:rsid w:val="00C109E4"/>
    <w:rsid w:val="00C10A2B"/>
    <w:rsid w:val="00C118AB"/>
    <w:rsid w:val="00C1767A"/>
    <w:rsid w:val="00C1778B"/>
    <w:rsid w:val="00C20E04"/>
    <w:rsid w:val="00C23C42"/>
    <w:rsid w:val="00C246B2"/>
    <w:rsid w:val="00C246D3"/>
    <w:rsid w:val="00C24C82"/>
    <w:rsid w:val="00C251A6"/>
    <w:rsid w:val="00C25311"/>
    <w:rsid w:val="00C2580A"/>
    <w:rsid w:val="00C32E65"/>
    <w:rsid w:val="00C33134"/>
    <w:rsid w:val="00C3656E"/>
    <w:rsid w:val="00C37FF3"/>
    <w:rsid w:val="00C4133C"/>
    <w:rsid w:val="00C41759"/>
    <w:rsid w:val="00C45B1E"/>
    <w:rsid w:val="00C50668"/>
    <w:rsid w:val="00C5072D"/>
    <w:rsid w:val="00C50BC8"/>
    <w:rsid w:val="00C51AA7"/>
    <w:rsid w:val="00C52920"/>
    <w:rsid w:val="00C52DDB"/>
    <w:rsid w:val="00C53253"/>
    <w:rsid w:val="00C60744"/>
    <w:rsid w:val="00C61E43"/>
    <w:rsid w:val="00C706B1"/>
    <w:rsid w:val="00C706C7"/>
    <w:rsid w:val="00C707CC"/>
    <w:rsid w:val="00C7157E"/>
    <w:rsid w:val="00C72393"/>
    <w:rsid w:val="00C723AA"/>
    <w:rsid w:val="00C74D2A"/>
    <w:rsid w:val="00C750F2"/>
    <w:rsid w:val="00C75A86"/>
    <w:rsid w:val="00C77CC3"/>
    <w:rsid w:val="00C80FC1"/>
    <w:rsid w:val="00C81F99"/>
    <w:rsid w:val="00C8428A"/>
    <w:rsid w:val="00C8760E"/>
    <w:rsid w:val="00C965C3"/>
    <w:rsid w:val="00C971FF"/>
    <w:rsid w:val="00CA092E"/>
    <w:rsid w:val="00CA0C1C"/>
    <w:rsid w:val="00CA4F7F"/>
    <w:rsid w:val="00CA7D96"/>
    <w:rsid w:val="00CB266E"/>
    <w:rsid w:val="00CB2A70"/>
    <w:rsid w:val="00CB33A0"/>
    <w:rsid w:val="00CB367D"/>
    <w:rsid w:val="00CB3F58"/>
    <w:rsid w:val="00CB5D82"/>
    <w:rsid w:val="00CC0A80"/>
    <w:rsid w:val="00CC5432"/>
    <w:rsid w:val="00CC62AD"/>
    <w:rsid w:val="00CD174A"/>
    <w:rsid w:val="00CD2593"/>
    <w:rsid w:val="00CD3B09"/>
    <w:rsid w:val="00CE08F9"/>
    <w:rsid w:val="00CE14BB"/>
    <w:rsid w:val="00CE2101"/>
    <w:rsid w:val="00CE345F"/>
    <w:rsid w:val="00CE4C67"/>
    <w:rsid w:val="00CE66D6"/>
    <w:rsid w:val="00CE67C3"/>
    <w:rsid w:val="00CF2294"/>
    <w:rsid w:val="00CF53EB"/>
    <w:rsid w:val="00CF62D6"/>
    <w:rsid w:val="00CF6B97"/>
    <w:rsid w:val="00CF6EBF"/>
    <w:rsid w:val="00CF7F3D"/>
    <w:rsid w:val="00D02DBD"/>
    <w:rsid w:val="00D05094"/>
    <w:rsid w:val="00D06E1B"/>
    <w:rsid w:val="00D12D9A"/>
    <w:rsid w:val="00D13AFE"/>
    <w:rsid w:val="00D14F88"/>
    <w:rsid w:val="00D151DA"/>
    <w:rsid w:val="00D15AEC"/>
    <w:rsid w:val="00D22D87"/>
    <w:rsid w:val="00D26150"/>
    <w:rsid w:val="00D304B1"/>
    <w:rsid w:val="00D30715"/>
    <w:rsid w:val="00D3179C"/>
    <w:rsid w:val="00D33B98"/>
    <w:rsid w:val="00D348A5"/>
    <w:rsid w:val="00D34F82"/>
    <w:rsid w:val="00D35518"/>
    <w:rsid w:val="00D41A68"/>
    <w:rsid w:val="00D42D06"/>
    <w:rsid w:val="00D433A7"/>
    <w:rsid w:val="00D45CB9"/>
    <w:rsid w:val="00D4744D"/>
    <w:rsid w:val="00D528D5"/>
    <w:rsid w:val="00D53E96"/>
    <w:rsid w:val="00D554CA"/>
    <w:rsid w:val="00D612F8"/>
    <w:rsid w:val="00D62353"/>
    <w:rsid w:val="00D635A2"/>
    <w:rsid w:val="00D65E52"/>
    <w:rsid w:val="00D67003"/>
    <w:rsid w:val="00D674D1"/>
    <w:rsid w:val="00D71F1A"/>
    <w:rsid w:val="00D72AE8"/>
    <w:rsid w:val="00D7437E"/>
    <w:rsid w:val="00D83626"/>
    <w:rsid w:val="00D862FD"/>
    <w:rsid w:val="00D908D1"/>
    <w:rsid w:val="00D944CE"/>
    <w:rsid w:val="00D94A95"/>
    <w:rsid w:val="00D9715F"/>
    <w:rsid w:val="00DA035C"/>
    <w:rsid w:val="00DA0EC4"/>
    <w:rsid w:val="00DA34AA"/>
    <w:rsid w:val="00DA40BD"/>
    <w:rsid w:val="00DA4E1B"/>
    <w:rsid w:val="00DA733C"/>
    <w:rsid w:val="00DA76A9"/>
    <w:rsid w:val="00DA7F33"/>
    <w:rsid w:val="00DB062B"/>
    <w:rsid w:val="00DB0ECF"/>
    <w:rsid w:val="00DB4754"/>
    <w:rsid w:val="00DB63B3"/>
    <w:rsid w:val="00DC13D8"/>
    <w:rsid w:val="00DC2105"/>
    <w:rsid w:val="00DC2828"/>
    <w:rsid w:val="00DC3C11"/>
    <w:rsid w:val="00DC3DC0"/>
    <w:rsid w:val="00DC4D9A"/>
    <w:rsid w:val="00DD4B95"/>
    <w:rsid w:val="00DD763B"/>
    <w:rsid w:val="00DE241F"/>
    <w:rsid w:val="00DE4185"/>
    <w:rsid w:val="00DE6B96"/>
    <w:rsid w:val="00DF3A49"/>
    <w:rsid w:val="00DF5EE5"/>
    <w:rsid w:val="00DF5F93"/>
    <w:rsid w:val="00DF6808"/>
    <w:rsid w:val="00DF7F1C"/>
    <w:rsid w:val="00E012FC"/>
    <w:rsid w:val="00E02B1B"/>
    <w:rsid w:val="00E03B15"/>
    <w:rsid w:val="00E04B83"/>
    <w:rsid w:val="00E07CBC"/>
    <w:rsid w:val="00E11E69"/>
    <w:rsid w:val="00E13ACA"/>
    <w:rsid w:val="00E142C8"/>
    <w:rsid w:val="00E14B5E"/>
    <w:rsid w:val="00E17613"/>
    <w:rsid w:val="00E20338"/>
    <w:rsid w:val="00E219CE"/>
    <w:rsid w:val="00E23242"/>
    <w:rsid w:val="00E263E4"/>
    <w:rsid w:val="00E2728B"/>
    <w:rsid w:val="00E27D09"/>
    <w:rsid w:val="00E32C76"/>
    <w:rsid w:val="00E3311C"/>
    <w:rsid w:val="00E3612E"/>
    <w:rsid w:val="00E36234"/>
    <w:rsid w:val="00E4068D"/>
    <w:rsid w:val="00E407B0"/>
    <w:rsid w:val="00E40CBF"/>
    <w:rsid w:val="00E44CC0"/>
    <w:rsid w:val="00E45542"/>
    <w:rsid w:val="00E46A0D"/>
    <w:rsid w:val="00E472F8"/>
    <w:rsid w:val="00E52252"/>
    <w:rsid w:val="00E60C04"/>
    <w:rsid w:val="00E62CCB"/>
    <w:rsid w:val="00E654C5"/>
    <w:rsid w:val="00E66951"/>
    <w:rsid w:val="00E72A9E"/>
    <w:rsid w:val="00E818EF"/>
    <w:rsid w:val="00E82D00"/>
    <w:rsid w:val="00E8446C"/>
    <w:rsid w:val="00E84B60"/>
    <w:rsid w:val="00E86DD3"/>
    <w:rsid w:val="00E87E55"/>
    <w:rsid w:val="00E91467"/>
    <w:rsid w:val="00E94422"/>
    <w:rsid w:val="00E948AD"/>
    <w:rsid w:val="00E94904"/>
    <w:rsid w:val="00E963D3"/>
    <w:rsid w:val="00E964C4"/>
    <w:rsid w:val="00EA0401"/>
    <w:rsid w:val="00EA59C5"/>
    <w:rsid w:val="00EA6870"/>
    <w:rsid w:val="00EB385D"/>
    <w:rsid w:val="00EB472A"/>
    <w:rsid w:val="00EB767F"/>
    <w:rsid w:val="00EC296E"/>
    <w:rsid w:val="00EC2F90"/>
    <w:rsid w:val="00EC4276"/>
    <w:rsid w:val="00ED00CE"/>
    <w:rsid w:val="00ED3238"/>
    <w:rsid w:val="00ED78B2"/>
    <w:rsid w:val="00EE0887"/>
    <w:rsid w:val="00EE213E"/>
    <w:rsid w:val="00EE28F4"/>
    <w:rsid w:val="00EE6F86"/>
    <w:rsid w:val="00EE77F9"/>
    <w:rsid w:val="00EF1D8A"/>
    <w:rsid w:val="00EF2154"/>
    <w:rsid w:val="00EF227E"/>
    <w:rsid w:val="00EF46FF"/>
    <w:rsid w:val="00EF48EE"/>
    <w:rsid w:val="00EF67EA"/>
    <w:rsid w:val="00EF6DD4"/>
    <w:rsid w:val="00F028C1"/>
    <w:rsid w:val="00F043AE"/>
    <w:rsid w:val="00F04520"/>
    <w:rsid w:val="00F06C1F"/>
    <w:rsid w:val="00F125E5"/>
    <w:rsid w:val="00F12BD7"/>
    <w:rsid w:val="00F150A9"/>
    <w:rsid w:val="00F16784"/>
    <w:rsid w:val="00F17E91"/>
    <w:rsid w:val="00F200E1"/>
    <w:rsid w:val="00F2037F"/>
    <w:rsid w:val="00F22AB8"/>
    <w:rsid w:val="00F23D98"/>
    <w:rsid w:val="00F26052"/>
    <w:rsid w:val="00F31F82"/>
    <w:rsid w:val="00F3285C"/>
    <w:rsid w:val="00F34E55"/>
    <w:rsid w:val="00F35531"/>
    <w:rsid w:val="00F35CBA"/>
    <w:rsid w:val="00F35F05"/>
    <w:rsid w:val="00F409AF"/>
    <w:rsid w:val="00F43DA1"/>
    <w:rsid w:val="00F51EA2"/>
    <w:rsid w:val="00F53D8F"/>
    <w:rsid w:val="00F62DB2"/>
    <w:rsid w:val="00F62DD9"/>
    <w:rsid w:val="00F63C82"/>
    <w:rsid w:val="00F67086"/>
    <w:rsid w:val="00F67372"/>
    <w:rsid w:val="00F7055A"/>
    <w:rsid w:val="00F720B8"/>
    <w:rsid w:val="00F724BE"/>
    <w:rsid w:val="00F72C19"/>
    <w:rsid w:val="00F76195"/>
    <w:rsid w:val="00F770A2"/>
    <w:rsid w:val="00F80A7D"/>
    <w:rsid w:val="00F817B8"/>
    <w:rsid w:val="00F820DE"/>
    <w:rsid w:val="00F82D3E"/>
    <w:rsid w:val="00F842E3"/>
    <w:rsid w:val="00F854C2"/>
    <w:rsid w:val="00F8561D"/>
    <w:rsid w:val="00F87FD6"/>
    <w:rsid w:val="00F900E4"/>
    <w:rsid w:val="00F903D6"/>
    <w:rsid w:val="00F906A9"/>
    <w:rsid w:val="00F915C1"/>
    <w:rsid w:val="00F925FC"/>
    <w:rsid w:val="00F94038"/>
    <w:rsid w:val="00F964BA"/>
    <w:rsid w:val="00FA2304"/>
    <w:rsid w:val="00FA295C"/>
    <w:rsid w:val="00FA3C3F"/>
    <w:rsid w:val="00FA401D"/>
    <w:rsid w:val="00FA7C6B"/>
    <w:rsid w:val="00FB2FCA"/>
    <w:rsid w:val="00FB359A"/>
    <w:rsid w:val="00FB444C"/>
    <w:rsid w:val="00FB6D96"/>
    <w:rsid w:val="00FB76AD"/>
    <w:rsid w:val="00FB7A3D"/>
    <w:rsid w:val="00FB7F78"/>
    <w:rsid w:val="00FC167B"/>
    <w:rsid w:val="00FC2BB6"/>
    <w:rsid w:val="00FC3A9A"/>
    <w:rsid w:val="00FC400F"/>
    <w:rsid w:val="00FC51C8"/>
    <w:rsid w:val="00FC5349"/>
    <w:rsid w:val="00FC6738"/>
    <w:rsid w:val="00FD04DA"/>
    <w:rsid w:val="00FD0CA0"/>
    <w:rsid w:val="00FD5E45"/>
    <w:rsid w:val="00FD6029"/>
    <w:rsid w:val="00FD68C6"/>
    <w:rsid w:val="00FD70F8"/>
    <w:rsid w:val="00FE1A64"/>
    <w:rsid w:val="00FE3BD5"/>
    <w:rsid w:val="00FE426C"/>
    <w:rsid w:val="00FE473A"/>
    <w:rsid w:val="00FE5460"/>
    <w:rsid w:val="00FE634A"/>
    <w:rsid w:val="00FF3B09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AE866"/>
  <w15:chartTrackingRefBased/>
  <w15:docId w15:val="{3BC07073-8242-4942-B33F-4EB1B264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528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455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F3B09"/>
  </w:style>
  <w:style w:type="character" w:styleId="CommentReference">
    <w:name w:val="annotation reference"/>
    <w:basedOn w:val="DefaultParagraphFont"/>
    <w:uiPriority w:val="99"/>
    <w:semiHidden/>
    <w:unhideWhenUsed/>
    <w:rsid w:val="002527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7B7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7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7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7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7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5E9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61C5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361C5"/>
  </w:style>
  <w:style w:type="paragraph" w:styleId="Footer">
    <w:name w:val="footer"/>
    <w:basedOn w:val="Normal"/>
    <w:link w:val="FooterChar"/>
    <w:uiPriority w:val="99"/>
    <w:unhideWhenUsed/>
    <w:rsid w:val="004361C5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361C5"/>
  </w:style>
  <w:style w:type="paragraph" w:styleId="ListParagraph">
    <w:name w:val="List Paragraph"/>
    <w:basedOn w:val="Normal"/>
    <w:uiPriority w:val="34"/>
    <w:qFormat/>
    <w:rsid w:val="002A0E6D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mixed-citation">
    <w:name w:val="mixed-citation"/>
    <w:basedOn w:val="DefaultParagraphFont"/>
    <w:rsid w:val="0050795C"/>
  </w:style>
  <w:style w:type="character" w:customStyle="1" w:styleId="ref-title">
    <w:name w:val="ref-title"/>
    <w:basedOn w:val="DefaultParagraphFont"/>
    <w:rsid w:val="0050795C"/>
  </w:style>
  <w:style w:type="character" w:customStyle="1" w:styleId="ref-journal">
    <w:name w:val="ref-journal"/>
    <w:basedOn w:val="DefaultParagraphFont"/>
    <w:rsid w:val="0050795C"/>
  </w:style>
  <w:style w:type="character" w:customStyle="1" w:styleId="ref-vol">
    <w:name w:val="ref-vol"/>
    <w:basedOn w:val="DefaultParagraphFont"/>
    <w:rsid w:val="0050795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52D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C7E66"/>
    <w:pPr>
      <w:spacing w:before="100" w:beforeAutospacing="1" w:after="100" w:afterAutospacing="1"/>
    </w:pPr>
    <w:rPr>
      <w:rFonts w:eastAsia="Times New Roman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940A31"/>
    <w:pPr>
      <w:tabs>
        <w:tab w:val="left" w:pos="500"/>
      </w:tabs>
      <w:spacing w:after="240"/>
      <w:ind w:left="504" w:hanging="504"/>
    </w:pPr>
    <w:rPr>
      <w:rFonts w:asciiTheme="minorHAnsi" w:hAnsiTheme="minorHAnsi" w:cstheme="minorBidi"/>
      <w:sz w:val="22"/>
      <w:szCs w:val="22"/>
    </w:rPr>
  </w:style>
  <w:style w:type="character" w:customStyle="1" w:styleId="number">
    <w:name w:val="number"/>
    <w:basedOn w:val="DefaultParagraphFont"/>
    <w:rsid w:val="001D1D8B"/>
  </w:style>
  <w:style w:type="character" w:customStyle="1" w:styleId="Heading1Char">
    <w:name w:val="Heading 1 Char"/>
    <w:basedOn w:val="DefaultParagraphFont"/>
    <w:link w:val="Heading1"/>
    <w:uiPriority w:val="9"/>
    <w:rsid w:val="00E45542"/>
    <w:rPr>
      <w:rFonts w:ascii="Times New Roman" w:hAnsi="Times New Roman" w:cs="Times New Roman"/>
      <w:b/>
      <w:bCs/>
      <w:kern w:val="36"/>
      <w:sz w:val="48"/>
      <w:szCs w:val="48"/>
    </w:rPr>
  </w:style>
  <w:style w:type="table" w:styleId="TableGridLight">
    <w:name w:val="Grid Table Light"/>
    <w:basedOn w:val="TableNormal"/>
    <w:uiPriority w:val="40"/>
    <w:rsid w:val="00134A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F043A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gkelc">
    <w:name w:val="hgkelc"/>
    <w:basedOn w:val="DefaultParagraphFont"/>
    <w:rsid w:val="00767BD9"/>
  </w:style>
  <w:style w:type="character" w:styleId="UnresolvedMention">
    <w:name w:val="Unresolved Mention"/>
    <w:basedOn w:val="DefaultParagraphFont"/>
    <w:uiPriority w:val="99"/>
    <w:rsid w:val="00332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78154-1CEB-4B3B-9DAE-FC61974A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Zappernick, Taissa A. (VHACLE)</dc:creator>
  <cp:keywords/>
  <dc:description/>
  <cp:lastModifiedBy>Robin Jump</cp:lastModifiedBy>
  <cp:revision>3</cp:revision>
  <cp:lastPrinted>2021-02-04T02:17:00Z</cp:lastPrinted>
  <dcterms:created xsi:type="dcterms:W3CDTF">2021-02-14T01:08:00Z</dcterms:created>
  <dcterms:modified xsi:type="dcterms:W3CDTF">2021-02-14T01:11:00Z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zotero-version="5.0.95.3"&gt;&lt;session id="q3ofeYUw"/&gt;&lt;style id="http://www.zotero.org/styles/infection-control-and-hospital-epidemiology" hasBibliography="1" bibliographyStyleHasBeenSet="1"/&gt;&lt;prefs&gt;&lt;pref name="fieldType" value="Field"/</vt:lpwstr>
  </property>
  <property fmtid="{D5CDD505-2E9C-101B-9397-08002B2CF9AE}" pid="3" name="ZOTERO_PREF_2">
    <vt:lpwstr>&gt;&lt;pref name="dontAskDelayCitationUpdates" value="true"/&gt;&lt;/prefs&gt;&lt;/data&gt;</vt:lpwstr>
  </property>
</Properties>
</file>