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6C46" w14:textId="6C999633" w:rsidR="003B32D4" w:rsidRPr="004C3149" w:rsidRDefault="00495EA4" w:rsidP="003B32D4">
      <w:pPr>
        <w:spacing w:line="276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  <w:b/>
          <w:bCs/>
        </w:rPr>
        <w:t>Supplementa</w:t>
      </w:r>
      <w:r w:rsidR="00B00AB1">
        <w:rPr>
          <w:rFonts w:ascii="Times New Roman" w:hAnsi="Times New Roman" w:cs="Times New Roman"/>
          <w:b/>
          <w:bCs/>
        </w:rPr>
        <w:t>ry</w:t>
      </w:r>
      <w:r w:rsidR="003B32D4" w:rsidRPr="004C3149">
        <w:rPr>
          <w:rFonts w:ascii="Times New Roman" w:hAnsi="Times New Roman" w:cs="Times New Roman"/>
          <w:b/>
          <w:bCs/>
        </w:rPr>
        <w:t xml:space="preserve"> </w:t>
      </w:r>
      <w:r w:rsidRPr="004C3149">
        <w:rPr>
          <w:rFonts w:ascii="Times New Roman" w:hAnsi="Times New Roman" w:cs="Times New Roman"/>
          <w:b/>
          <w:bCs/>
        </w:rPr>
        <w:t>Material</w:t>
      </w:r>
    </w:p>
    <w:p w14:paraId="39160E30" w14:textId="77777777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E6B2B88" w14:textId="3D0243AA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</w:rPr>
        <w:t>Gontjes KJ, Gibson KE, Lansing B, Cassone M, Mody L. Can Alternative Anatomical Sites and Environmental Surveillance Replace Perianal Screening for Multidrug-</w:t>
      </w:r>
      <w:r w:rsidR="00052524" w:rsidRPr="004C3149">
        <w:rPr>
          <w:rFonts w:ascii="Times New Roman" w:hAnsi="Times New Roman" w:cs="Times New Roman"/>
        </w:rPr>
        <w:t>R</w:t>
      </w:r>
      <w:r w:rsidRPr="004C3149">
        <w:rPr>
          <w:rFonts w:ascii="Times New Roman" w:hAnsi="Times New Roman" w:cs="Times New Roman"/>
        </w:rPr>
        <w:t xml:space="preserve">esistant Organisms in Nursing Homes? </w:t>
      </w:r>
      <w:r w:rsidRPr="004C3149">
        <w:rPr>
          <w:rFonts w:ascii="Times New Roman" w:hAnsi="Times New Roman" w:cs="Times New Roman"/>
          <w:i/>
          <w:iCs/>
        </w:rPr>
        <w:t>Infect. Control Hosp. Epidemiol.</w:t>
      </w:r>
    </w:p>
    <w:p w14:paraId="19BD60D9" w14:textId="77777777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5C6E913" w14:textId="0D84842C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  <w:b/>
          <w:bCs/>
        </w:rPr>
        <w:t xml:space="preserve">Supplementary Figure 1. </w:t>
      </w:r>
      <w:r w:rsidRPr="004C3149">
        <w:rPr>
          <w:rFonts w:ascii="Times New Roman" w:hAnsi="Times New Roman" w:cs="Times New Roman"/>
        </w:rPr>
        <w:t>Flow Chart Determining Patient Eligibil</w:t>
      </w:r>
      <w:r w:rsidR="00C670B4">
        <w:rPr>
          <w:rFonts w:ascii="Times New Roman" w:hAnsi="Times New Roman" w:cs="Times New Roman"/>
        </w:rPr>
        <w:t>ity for Secondary Data Analysis</w:t>
      </w:r>
    </w:p>
    <w:p w14:paraId="75EDC661" w14:textId="77777777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FE5A0D8" w14:textId="1E2B15BD" w:rsidR="003B32D4" w:rsidRPr="004C3149" w:rsidRDefault="003B32D4" w:rsidP="003B32D4">
      <w:pPr>
        <w:spacing w:line="276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  <w:b/>
          <w:bCs/>
        </w:rPr>
        <w:t xml:space="preserve">Supplementary Figure 2. </w:t>
      </w:r>
      <w:r w:rsidRPr="004C3149">
        <w:rPr>
          <w:rFonts w:ascii="Times New Roman" w:hAnsi="Times New Roman" w:cs="Times New Roman"/>
        </w:rPr>
        <w:t>Proportion of MDRO Colonized Visits at Each Sampled Site (N=1,026 Complete Visits)</w:t>
      </w:r>
    </w:p>
    <w:p w14:paraId="1D8B02A8" w14:textId="6758425A" w:rsidR="003B32D4" w:rsidRPr="004C3149" w:rsidRDefault="003B32D4" w:rsidP="003B32D4">
      <w:pPr>
        <w:spacing w:line="480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  <w:b/>
          <w:bCs/>
        </w:rPr>
        <w:br w:type="page"/>
      </w:r>
    </w:p>
    <w:p w14:paraId="521845E0" w14:textId="6EDE7AC4" w:rsidR="003B32D4" w:rsidRPr="004C3149" w:rsidRDefault="003B32D4" w:rsidP="003B32D4">
      <w:pPr>
        <w:spacing w:after="160" w:line="480" w:lineRule="auto"/>
        <w:rPr>
          <w:rFonts w:ascii="Times New Roman" w:hAnsi="Times New Roman" w:cs="Times New Roman"/>
        </w:rPr>
      </w:pPr>
      <w:r w:rsidRPr="004C3149">
        <w:rPr>
          <w:rFonts w:ascii="Times New Roman" w:hAnsi="Times New Roman" w:cs="Times New Roman"/>
          <w:b/>
          <w:bCs/>
        </w:rPr>
        <w:lastRenderedPageBreak/>
        <w:t xml:space="preserve">Supplementary Figure 1. </w:t>
      </w:r>
      <w:r w:rsidRPr="004C3149">
        <w:rPr>
          <w:rFonts w:ascii="Times New Roman" w:hAnsi="Times New Roman" w:cs="Times New Roman"/>
        </w:rPr>
        <w:t>Flow Chart Determining Patient Eligibil</w:t>
      </w:r>
      <w:r w:rsidR="005A0D73" w:rsidRPr="004C3149">
        <w:rPr>
          <w:rFonts w:ascii="Times New Roman" w:hAnsi="Times New Roman" w:cs="Times New Roman"/>
        </w:rPr>
        <w:t>ity for Secondary Data Analysis</w:t>
      </w:r>
    </w:p>
    <w:p w14:paraId="083D96AB" w14:textId="2FCF36EB" w:rsidR="003B32D4" w:rsidRPr="004C3149" w:rsidRDefault="004C3149" w:rsidP="001F71A1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4F41C3BE" wp14:editId="6359EDE6">
            <wp:extent cx="8229600" cy="42946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HE Perianal Supplemental 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73" w:rsidRPr="004C3149">
        <w:rPr>
          <w:rFonts w:ascii="Times New Roman" w:hAnsi="Times New Roman" w:cs="Times New Roman"/>
          <w:bCs/>
        </w:rPr>
        <w:br/>
      </w:r>
      <w:r w:rsidR="006E020A" w:rsidRPr="004C3149">
        <w:rPr>
          <w:rFonts w:ascii="Times New Roman" w:hAnsi="Times New Roman" w:cs="Times New Roman"/>
          <w:bCs/>
        </w:rPr>
        <w:t xml:space="preserve">Patients were included in this secondary analysis if they had a study visit where all of the following body site specimens were collected: hands, nares, and groin. This inclusion criterion was chosen because it serves as a proxy for patients that permitted a combination of minimally-invasive specimens during participation in the parent study. Eligible patients were then stratified by whether a perianal area specimen was collected during any of their eligible study visits. To ensure consistency between study aims, 2 patients with all specimens collected during their sole study visit were excluded due to missing microbiological test data. </w:t>
      </w:r>
      <w:r w:rsidR="003B32D4" w:rsidRPr="004C3149">
        <w:rPr>
          <w:rFonts w:ascii="Times New Roman" w:hAnsi="Times New Roman" w:cs="Times New Roman"/>
          <w:bCs/>
        </w:rPr>
        <w:t>Sampling visit numbers and their affiliated specimen counts do not indicate the total number of visits or specimens collected</w:t>
      </w:r>
      <w:r w:rsidR="001F71A1" w:rsidRPr="004C3149">
        <w:rPr>
          <w:rFonts w:ascii="Times New Roman" w:hAnsi="Times New Roman" w:cs="Times New Roman"/>
          <w:bCs/>
        </w:rPr>
        <w:t xml:space="preserve"> from these patient populations during the parent study.</w:t>
      </w:r>
      <w:r w:rsidR="003B32D4" w:rsidRPr="004C3149">
        <w:rPr>
          <w:rFonts w:ascii="Times New Roman" w:hAnsi="Times New Roman" w:cs="Times New Roman"/>
          <w:b/>
        </w:rPr>
        <w:br w:type="page"/>
      </w:r>
    </w:p>
    <w:p w14:paraId="57348C69" w14:textId="77777777" w:rsidR="00CB0BC3" w:rsidRPr="004C3149" w:rsidRDefault="003B32D4" w:rsidP="003B32D4">
      <w:pPr>
        <w:spacing w:line="480" w:lineRule="auto"/>
        <w:rPr>
          <w:rFonts w:ascii="Times New Roman" w:hAnsi="Times New Roman" w:cs="Times New Roman"/>
        </w:rPr>
      </w:pPr>
      <w:r w:rsidRPr="004C3149">
        <w:rPr>
          <w:rFonts w:ascii="Times New Roman" w:hAnsi="Times New Roman" w:cs="Times New Roman"/>
          <w:b/>
        </w:rPr>
        <w:t xml:space="preserve">Supplementary Figure 2. </w:t>
      </w:r>
      <w:r w:rsidRPr="004C3149">
        <w:rPr>
          <w:rFonts w:ascii="Times New Roman" w:hAnsi="Times New Roman" w:cs="Times New Roman"/>
        </w:rPr>
        <w:t>Proportion of MDRO Colonized Visits at Each Sampled Site (N=1,026 Complete Visits)</w:t>
      </w:r>
    </w:p>
    <w:p w14:paraId="45CE57B1" w14:textId="118604D9" w:rsidR="00CB0BC3" w:rsidRPr="004C3149" w:rsidRDefault="004C3149" w:rsidP="003B32D4">
      <w:pPr>
        <w:spacing w:line="480" w:lineRule="auto"/>
        <w:rPr>
          <w:rFonts w:ascii="Times New Roman" w:hAnsi="Times New Roman" w:cs="Times New Roman"/>
          <w:b/>
          <w:bCs/>
        </w:rPr>
      </w:pPr>
      <w:r w:rsidRPr="004C314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74B1A0" wp14:editId="73598F89">
            <wp:extent cx="8229600" cy="43929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HE Perianal Supplemental 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0DF9" w14:textId="19C90B80" w:rsidR="001E4077" w:rsidRPr="00C40B8A" w:rsidRDefault="003B32D4" w:rsidP="003B32D4">
      <w:pPr>
        <w:spacing w:line="480" w:lineRule="auto"/>
        <w:rPr>
          <w:rFonts w:ascii="Times New Roman" w:hAnsi="Times New Roman" w:cs="Times New Roman"/>
          <w:bCs/>
        </w:rPr>
      </w:pPr>
      <w:r w:rsidRPr="004C3149">
        <w:rPr>
          <w:rFonts w:ascii="Times New Roman" w:hAnsi="Times New Roman" w:cs="Times New Roman"/>
          <w:b/>
          <w:bCs/>
        </w:rPr>
        <w:t>Abbreviations:</w:t>
      </w:r>
      <w:r w:rsidRPr="004C3149">
        <w:rPr>
          <w:rFonts w:ascii="Times New Roman" w:hAnsi="Times New Roman" w:cs="Times New Roman"/>
        </w:rPr>
        <w:t xml:space="preserve"> MRSA, methicillin-resistant </w:t>
      </w:r>
      <w:r w:rsidRPr="004C3149">
        <w:rPr>
          <w:rFonts w:ascii="Times New Roman" w:hAnsi="Times New Roman" w:cs="Times New Roman"/>
          <w:i/>
          <w:iCs/>
        </w:rPr>
        <w:t>Staphylococcus aureus</w:t>
      </w:r>
      <w:r w:rsidRPr="004C3149">
        <w:rPr>
          <w:rFonts w:ascii="Times New Roman" w:hAnsi="Times New Roman" w:cs="Times New Roman"/>
        </w:rPr>
        <w:t>; R-GNB, resistant Gram-negative bacilli; VRE, vancomycin-resistant enterococc</w:t>
      </w:r>
      <w:r w:rsidR="00C670B4">
        <w:rPr>
          <w:rFonts w:ascii="Times New Roman" w:hAnsi="Times New Roman" w:cs="Times New Roman"/>
        </w:rPr>
        <w:t>i.</w:t>
      </w:r>
      <w:r w:rsidR="00CB0BC3" w:rsidRPr="004C3149">
        <w:rPr>
          <w:rFonts w:ascii="Times New Roman" w:hAnsi="Times New Roman" w:cs="Times New Roman"/>
        </w:rPr>
        <w:br/>
      </w:r>
      <w:r w:rsidR="00E653A5" w:rsidRPr="004C3149">
        <w:rPr>
          <w:rFonts w:ascii="Times New Roman" w:hAnsi="Times New Roman" w:cs="Times New Roman"/>
          <w:bCs/>
        </w:rPr>
        <w:t>Study visits were eligible for this analysis if all body sites (hands, nares, groin, and perianal area) were collected. Visits with non-missing microbiological data were excluded.</w:t>
      </w:r>
      <w:r w:rsidRPr="004C3149">
        <w:rPr>
          <w:rFonts w:ascii="Times New Roman" w:hAnsi="Times New Roman" w:cs="Times New Roman"/>
          <w:bCs/>
        </w:rPr>
        <w:t xml:space="preserve"> </w:t>
      </w:r>
      <w:r w:rsidR="001F71A1" w:rsidRPr="004C3149">
        <w:rPr>
          <w:rFonts w:ascii="Times New Roman" w:hAnsi="Times New Roman" w:cs="Times New Roman"/>
        </w:rPr>
        <w:t>High-touch room environment specimens included in this panel: bed controls, bedside table, call button, bedside curtain, toilet seat, d</w:t>
      </w:r>
      <w:r w:rsidR="00E653A5" w:rsidRPr="004C3149">
        <w:rPr>
          <w:rFonts w:ascii="Times New Roman" w:hAnsi="Times New Roman" w:cs="Times New Roman"/>
        </w:rPr>
        <w:t>oor</w:t>
      </w:r>
      <w:r w:rsidR="001F71A1" w:rsidRPr="004C3149">
        <w:rPr>
          <w:rFonts w:ascii="Times New Roman" w:hAnsi="Times New Roman" w:cs="Times New Roman"/>
        </w:rPr>
        <w:t>knob, TV remote, and bed rail.</w:t>
      </w:r>
      <w:r w:rsidR="00C40B8A">
        <w:rPr>
          <w:rFonts w:ascii="Times New Roman" w:hAnsi="Times New Roman" w:cs="Times New Roman"/>
        </w:rPr>
        <w:t xml:space="preserve"> </w:t>
      </w:r>
      <w:bookmarkStart w:id="0" w:name="_GoBack"/>
      <w:r w:rsidR="00B2344D">
        <w:rPr>
          <w:rFonts w:ascii="Times New Roman" w:hAnsi="Times New Roman" w:cs="Times New Roman"/>
          <w:bCs/>
        </w:rPr>
        <w:t>Of these 1026 sampling visits, 424 (41.3%) were on enrollment, 313 (30.5%) at day 14, 148 (14.4%) at day 30, 49 (4.8%) at day 60, 33 (3.2%) at day 90, 19 (1.9%) at day 120, 20 (2.0%) at day 150, and 20 (2.0%) were at day 180.</w:t>
      </w:r>
      <w:bookmarkEnd w:id="0"/>
    </w:p>
    <w:sectPr w:rsidR="001E4077" w:rsidRPr="00C40B8A" w:rsidSect="003B32D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LU0NTM0MTQ0NDBW0lEKTi0uzszPAykwrAUAMWOOFiwAAAA="/>
  </w:docVars>
  <w:rsids>
    <w:rsidRoot w:val="003B32D4"/>
    <w:rsid w:val="00023ED9"/>
    <w:rsid w:val="0004572E"/>
    <w:rsid w:val="00052524"/>
    <w:rsid w:val="000A52C7"/>
    <w:rsid w:val="000F6552"/>
    <w:rsid w:val="0012275A"/>
    <w:rsid w:val="00141511"/>
    <w:rsid w:val="00160458"/>
    <w:rsid w:val="001918E2"/>
    <w:rsid w:val="001A1674"/>
    <w:rsid w:val="001A641D"/>
    <w:rsid w:val="001E4077"/>
    <w:rsid w:val="001F71A1"/>
    <w:rsid w:val="00236BDB"/>
    <w:rsid w:val="00245956"/>
    <w:rsid w:val="00290AF6"/>
    <w:rsid w:val="00305F13"/>
    <w:rsid w:val="00316E4C"/>
    <w:rsid w:val="0033056D"/>
    <w:rsid w:val="003B01D0"/>
    <w:rsid w:val="003B32D4"/>
    <w:rsid w:val="004027CD"/>
    <w:rsid w:val="00495EA4"/>
    <w:rsid w:val="004A43B1"/>
    <w:rsid w:val="004C3149"/>
    <w:rsid w:val="0057100E"/>
    <w:rsid w:val="005A0D73"/>
    <w:rsid w:val="005A2E2C"/>
    <w:rsid w:val="00670AD7"/>
    <w:rsid w:val="006738A5"/>
    <w:rsid w:val="00684352"/>
    <w:rsid w:val="006A44E7"/>
    <w:rsid w:val="006E020A"/>
    <w:rsid w:val="00724321"/>
    <w:rsid w:val="007402B8"/>
    <w:rsid w:val="00754DC3"/>
    <w:rsid w:val="00777F54"/>
    <w:rsid w:val="007802DC"/>
    <w:rsid w:val="007E6804"/>
    <w:rsid w:val="008004B6"/>
    <w:rsid w:val="0087611B"/>
    <w:rsid w:val="00877321"/>
    <w:rsid w:val="008A3AAD"/>
    <w:rsid w:val="008E4DE2"/>
    <w:rsid w:val="00933863"/>
    <w:rsid w:val="00992B50"/>
    <w:rsid w:val="009A4914"/>
    <w:rsid w:val="00A628EB"/>
    <w:rsid w:val="00A646D1"/>
    <w:rsid w:val="00A80D03"/>
    <w:rsid w:val="00B00AB1"/>
    <w:rsid w:val="00B2344D"/>
    <w:rsid w:val="00B56430"/>
    <w:rsid w:val="00BC3216"/>
    <w:rsid w:val="00C20B36"/>
    <w:rsid w:val="00C40B8A"/>
    <w:rsid w:val="00C4708E"/>
    <w:rsid w:val="00C535F1"/>
    <w:rsid w:val="00C670B4"/>
    <w:rsid w:val="00C80986"/>
    <w:rsid w:val="00C8689E"/>
    <w:rsid w:val="00CA46AB"/>
    <w:rsid w:val="00CB0BC3"/>
    <w:rsid w:val="00D869FF"/>
    <w:rsid w:val="00DD1861"/>
    <w:rsid w:val="00E309AB"/>
    <w:rsid w:val="00E653A5"/>
    <w:rsid w:val="00E75AD1"/>
    <w:rsid w:val="00EB7500"/>
    <w:rsid w:val="00EB7897"/>
    <w:rsid w:val="00EF1282"/>
    <w:rsid w:val="00F213D7"/>
    <w:rsid w:val="00F26C55"/>
    <w:rsid w:val="00F31F16"/>
    <w:rsid w:val="00F3359A"/>
    <w:rsid w:val="00F55FF3"/>
    <w:rsid w:val="00FB53D2"/>
    <w:rsid w:val="00FC702E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17FD"/>
  <w15:chartTrackingRefBased/>
  <w15:docId w15:val="{3A189FB0-08FD-024D-A7BF-BC50C8B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52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B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Gontjes, Kyle</dc:creator>
  <cp:keywords/>
  <dc:description/>
  <cp:lastModifiedBy>Gontjes, Kyle</cp:lastModifiedBy>
  <cp:revision>2</cp:revision>
  <dcterms:created xsi:type="dcterms:W3CDTF">2021-03-15T22:27:00Z</dcterms:created>
  <dcterms:modified xsi:type="dcterms:W3CDTF">2021-03-15T22:27:00Z</dcterms:modified>
</cp:coreProperties>
</file>