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DDC0" w14:textId="77777777" w:rsidR="006C2071" w:rsidRPr="00640491" w:rsidRDefault="00640491" w:rsidP="00551FF7">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Supplementary Material</w:t>
      </w:r>
    </w:p>
    <w:p w14:paraId="1B800A9C" w14:textId="77777777" w:rsidR="006C2071" w:rsidRPr="002E3E38" w:rsidRDefault="006C2071" w:rsidP="00551FF7">
      <w:pPr>
        <w:pStyle w:val="NoSpacing"/>
        <w:spacing w:line="480" w:lineRule="auto"/>
        <w:rPr>
          <w:rFonts w:ascii="Arial" w:hAnsi="Arial" w:cs="Arial"/>
          <w:b/>
          <w:bCs/>
        </w:rPr>
      </w:pPr>
    </w:p>
    <w:p w14:paraId="1A23BFE4" w14:textId="77777777" w:rsidR="006C2071" w:rsidRPr="00640491" w:rsidRDefault="006C2071" w:rsidP="00551FF7">
      <w:pPr>
        <w:pStyle w:val="NoSpacing"/>
        <w:spacing w:line="480" w:lineRule="auto"/>
        <w:rPr>
          <w:rFonts w:ascii="Times New Roman" w:hAnsi="Times New Roman" w:cs="Times New Roman"/>
          <w:b/>
          <w:bCs/>
        </w:rPr>
      </w:pPr>
      <w:r w:rsidRPr="00640491">
        <w:rPr>
          <w:rFonts w:ascii="Times New Roman" w:hAnsi="Times New Roman" w:cs="Times New Roman"/>
          <w:b/>
          <w:bCs/>
        </w:rPr>
        <w:t>Table of Contents</w:t>
      </w:r>
    </w:p>
    <w:p w14:paraId="688550A9" w14:textId="77777777" w:rsidR="006C2071" w:rsidRPr="00640491" w:rsidRDefault="00640491" w:rsidP="00551FF7">
      <w:pPr>
        <w:pStyle w:val="NoSpacing"/>
        <w:spacing w:line="480" w:lineRule="auto"/>
        <w:rPr>
          <w:rFonts w:ascii="Times New Roman" w:hAnsi="Times New Roman" w:cs="Times New Roman"/>
        </w:rPr>
      </w:pPr>
      <w:r>
        <w:rPr>
          <w:rFonts w:ascii="Times New Roman" w:hAnsi="Times New Roman" w:cs="Times New Roman"/>
          <w:b/>
          <w:bCs/>
        </w:rPr>
        <w:t xml:space="preserve">Supplemental </w:t>
      </w:r>
      <w:r w:rsidR="006C2071" w:rsidRPr="00640491">
        <w:rPr>
          <w:rFonts w:ascii="Times New Roman" w:hAnsi="Times New Roman" w:cs="Times New Roman"/>
          <w:b/>
          <w:bCs/>
        </w:rPr>
        <w:t xml:space="preserve">Table </w:t>
      </w:r>
      <w:r>
        <w:rPr>
          <w:rFonts w:ascii="Times New Roman" w:hAnsi="Times New Roman" w:cs="Times New Roman"/>
          <w:b/>
          <w:bCs/>
        </w:rPr>
        <w:t>S</w:t>
      </w:r>
      <w:r w:rsidR="00363D41" w:rsidRPr="00640491">
        <w:rPr>
          <w:rFonts w:ascii="Times New Roman" w:hAnsi="Times New Roman" w:cs="Times New Roman"/>
          <w:b/>
          <w:bCs/>
        </w:rPr>
        <w:t>1</w:t>
      </w:r>
      <w:r w:rsidR="00363D41" w:rsidRPr="00640491">
        <w:rPr>
          <w:rFonts w:ascii="Times New Roman" w:hAnsi="Times New Roman" w:cs="Times New Roman"/>
        </w:rPr>
        <w:t>:  Frequencies of symptoms reported (n=115).</w:t>
      </w:r>
    </w:p>
    <w:p w14:paraId="5D74647F" w14:textId="77777777" w:rsidR="006C2071" w:rsidRPr="00640491" w:rsidRDefault="00640491" w:rsidP="00551FF7">
      <w:pPr>
        <w:pStyle w:val="NoSpacing"/>
        <w:spacing w:line="480" w:lineRule="auto"/>
        <w:rPr>
          <w:rFonts w:ascii="Times New Roman" w:hAnsi="Times New Roman" w:cs="Times New Roman"/>
        </w:rPr>
      </w:pPr>
      <w:r>
        <w:rPr>
          <w:rFonts w:ascii="Times New Roman" w:hAnsi="Times New Roman" w:cs="Times New Roman"/>
          <w:b/>
          <w:bCs/>
        </w:rPr>
        <w:t xml:space="preserve">Supplemental </w:t>
      </w:r>
      <w:r w:rsidR="006C2071" w:rsidRPr="00640491">
        <w:rPr>
          <w:rFonts w:ascii="Times New Roman" w:hAnsi="Times New Roman" w:cs="Times New Roman"/>
          <w:b/>
          <w:bCs/>
        </w:rPr>
        <w:t xml:space="preserve">Table </w:t>
      </w:r>
      <w:r>
        <w:rPr>
          <w:rFonts w:ascii="Times New Roman" w:hAnsi="Times New Roman" w:cs="Times New Roman"/>
          <w:b/>
          <w:bCs/>
        </w:rPr>
        <w:t>S</w:t>
      </w:r>
      <w:r w:rsidR="006C2071" w:rsidRPr="00640491">
        <w:rPr>
          <w:rFonts w:ascii="Times New Roman" w:hAnsi="Times New Roman" w:cs="Times New Roman"/>
          <w:b/>
          <w:bCs/>
        </w:rPr>
        <w:t>2</w:t>
      </w:r>
      <w:r w:rsidR="00363D41" w:rsidRPr="00640491">
        <w:rPr>
          <w:rFonts w:ascii="Times New Roman" w:hAnsi="Times New Roman" w:cs="Times New Roman"/>
        </w:rPr>
        <w:t>:</w:t>
      </w:r>
      <w:r w:rsidR="006C2071" w:rsidRPr="00640491">
        <w:rPr>
          <w:rFonts w:ascii="Times New Roman" w:hAnsi="Times New Roman" w:cs="Times New Roman"/>
        </w:rPr>
        <w:t xml:space="preserve"> </w:t>
      </w:r>
      <w:r w:rsidR="00363D41" w:rsidRPr="00640491">
        <w:rPr>
          <w:rFonts w:ascii="Times New Roman" w:hAnsi="Times New Roman" w:cs="Times New Roman"/>
        </w:rPr>
        <w:t xml:space="preserve">Among SARS-CoV-2 </w:t>
      </w:r>
      <w:proofErr w:type="spellStart"/>
      <w:r w:rsidR="00363D41" w:rsidRPr="00640491">
        <w:rPr>
          <w:rFonts w:ascii="Times New Roman" w:hAnsi="Times New Roman" w:cs="Times New Roman"/>
        </w:rPr>
        <w:t>rRT</w:t>
      </w:r>
      <w:proofErr w:type="spellEnd"/>
      <w:r w:rsidR="00363D41" w:rsidRPr="00640491">
        <w:rPr>
          <w:rFonts w:ascii="Times New Roman" w:hAnsi="Times New Roman" w:cs="Times New Roman"/>
        </w:rPr>
        <w:t>-PCR positive samples, frequencies of BinaxNOW test results, mean Ct values, interquartile range of Ct values, and odds ratios of Ct values compared to BinaxNOW test results are reported among all, symptomatic, and asymptomatic employees.</w:t>
      </w:r>
    </w:p>
    <w:p w14:paraId="554034B3" w14:textId="77777777" w:rsidR="006C2071" w:rsidRPr="00640491" w:rsidRDefault="006C2071" w:rsidP="00551FF7">
      <w:pPr>
        <w:rPr>
          <w:rFonts w:ascii="Times New Roman" w:hAnsi="Times New Roman" w:cs="Times New Roman"/>
        </w:rPr>
      </w:pPr>
      <w:r w:rsidRPr="00640491">
        <w:rPr>
          <w:rFonts w:ascii="Times New Roman" w:hAnsi="Times New Roman" w:cs="Times New Roman"/>
        </w:rPr>
        <w:br w:type="page"/>
      </w:r>
    </w:p>
    <w:p w14:paraId="1B32ABB1" w14:textId="77777777" w:rsidR="006C2071" w:rsidRPr="00640491" w:rsidRDefault="006C2071" w:rsidP="006C2071">
      <w:pPr>
        <w:pStyle w:val="NoSpacing"/>
        <w:spacing w:line="480" w:lineRule="auto"/>
        <w:rPr>
          <w:rFonts w:ascii="Times New Roman" w:hAnsi="Times New Roman" w:cs="Times New Roman"/>
        </w:rPr>
      </w:pPr>
    </w:p>
    <w:p w14:paraId="01F17807" w14:textId="77777777" w:rsidR="006C2071" w:rsidRPr="00640491" w:rsidRDefault="00640491" w:rsidP="00F21AB8">
      <w:pPr>
        <w:pStyle w:val="NoSpacing"/>
        <w:spacing w:line="480" w:lineRule="auto"/>
        <w:rPr>
          <w:rFonts w:ascii="Times New Roman" w:hAnsi="Times New Roman" w:cs="Times New Roman"/>
        </w:rPr>
      </w:pPr>
      <w:r>
        <w:rPr>
          <w:rFonts w:ascii="Times New Roman" w:hAnsi="Times New Roman" w:cs="Times New Roman"/>
          <w:b/>
          <w:bCs/>
        </w:rPr>
        <w:t xml:space="preserve">Supplemental </w:t>
      </w:r>
      <w:r w:rsidR="006C2071" w:rsidRPr="00640491">
        <w:rPr>
          <w:rFonts w:ascii="Times New Roman" w:hAnsi="Times New Roman" w:cs="Times New Roman"/>
          <w:b/>
          <w:bCs/>
        </w:rPr>
        <w:t xml:space="preserve">Table </w:t>
      </w:r>
      <w:r>
        <w:rPr>
          <w:rFonts w:ascii="Times New Roman" w:hAnsi="Times New Roman" w:cs="Times New Roman"/>
          <w:b/>
          <w:bCs/>
        </w:rPr>
        <w:t>S</w:t>
      </w:r>
      <w:r w:rsidR="006C2071" w:rsidRPr="00640491">
        <w:rPr>
          <w:rFonts w:ascii="Times New Roman" w:hAnsi="Times New Roman" w:cs="Times New Roman"/>
          <w:b/>
          <w:bCs/>
        </w:rPr>
        <w:t>1</w:t>
      </w:r>
      <w:r w:rsidR="006C2071" w:rsidRPr="00640491">
        <w:rPr>
          <w:rFonts w:ascii="Times New Roman" w:hAnsi="Times New Roman" w:cs="Times New Roman"/>
        </w:rPr>
        <w:t>:  Frequencies of symptoms reported (n=115).</w:t>
      </w:r>
    </w:p>
    <w:tbl>
      <w:tblPr>
        <w:tblW w:w="6450" w:type="dxa"/>
        <w:tblLook w:val="04A0" w:firstRow="1" w:lastRow="0" w:firstColumn="1" w:lastColumn="0" w:noHBand="0" w:noVBand="1"/>
      </w:tblPr>
      <w:tblGrid>
        <w:gridCol w:w="1975"/>
        <w:gridCol w:w="3420"/>
        <w:gridCol w:w="1055"/>
      </w:tblGrid>
      <w:tr w:rsidR="006C2071" w:rsidRPr="00640491" w14:paraId="4B09A887" w14:textId="77777777" w:rsidTr="008F32CB">
        <w:trPr>
          <w:trHeight w:val="300"/>
        </w:trPr>
        <w:tc>
          <w:tcPr>
            <w:tcW w:w="64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460A"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Symptom Frequency Table</w:t>
            </w:r>
          </w:p>
        </w:tc>
      </w:tr>
      <w:tr w:rsidR="006C2071" w:rsidRPr="00640491" w14:paraId="193A9257" w14:textId="77777777" w:rsidTr="008F32C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C932B0B"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Symptom</w:t>
            </w:r>
          </w:p>
        </w:tc>
        <w:tc>
          <w:tcPr>
            <w:tcW w:w="3420" w:type="dxa"/>
            <w:tcBorders>
              <w:top w:val="nil"/>
              <w:left w:val="nil"/>
              <w:bottom w:val="single" w:sz="4" w:space="0" w:color="auto"/>
              <w:right w:val="single" w:sz="4" w:space="0" w:color="auto"/>
            </w:tcBorders>
            <w:shd w:val="clear" w:color="auto" w:fill="auto"/>
            <w:noWrap/>
            <w:vAlign w:val="center"/>
            <w:hideMark/>
          </w:tcPr>
          <w:p w14:paraId="44E72355"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 xml:space="preserve">Frequency of symptom </w:t>
            </w:r>
            <w:proofErr w:type="spellStart"/>
            <w:r w:rsidRPr="00640491">
              <w:rPr>
                <w:rFonts w:ascii="Times New Roman" w:eastAsia="Times New Roman" w:hAnsi="Times New Roman" w:cs="Times New Roman"/>
                <w:color w:val="000000"/>
              </w:rPr>
              <w:t>reported</w:t>
            </w:r>
            <w:r w:rsidRPr="00640491">
              <w:rPr>
                <w:rFonts w:ascii="Times New Roman" w:eastAsia="Times New Roman" w:hAnsi="Times New Roman" w:cs="Times New Roman"/>
                <w:color w:val="000000"/>
                <w:vertAlign w:val="superscript"/>
              </w:rPr>
              <w:t>a</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724341A7" w14:textId="77777777" w:rsidR="006C2071" w:rsidRPr="00640491" w:rsidRDefault="006C2071" w:rsidP="00551FF7">
            <w:pPr>
              <w:spacing w:after="0" w:line="240" w:lineRule="auto"/>
              <w:rPr>
                <w:rFonts w:ascii="Times New Roman" w:eastAsia="Times New Roman" w:hAnsi="Times New Roman" w:cs="Times New Roman"/>
                <w:color w:val="000000"/>
              </w:rPr>
            </w:pPr>
            <w:proofErr w:type="spellStart"/>
            <w:r w:rsidRPr="00640491">
              <w:rPr>
                <w:rFonts w:ascii="Times New Roman" w:eastAsia="Times New Roman" w:hAnsi="Times New Roman" w:cs="Times New Roman"/>
                <w:color w:val="000000"/>
              </w:rPr>
              <w:t>Percent</w:t>
            </w:r>
            <w:r w:rsidRPr="00640491">
              <w:rPr>
                <w:rFonts w:ascii="Times New Roman" w:eastAsia="Times New Roman" w:hAnsi="Times New Roman" w:cs="Times New Roman"/>
                <w:color w:val="000000"/>
                <w:vertAlign w:val="superscript"/>
              </w:rPr>
              <w:t>b</w:t>
            </w:r>
            <w:proofErr w:type="spellEnd"/>
          </w:p>
        </w:tc>
      </w:tr>
      <w:tr w:rsidR="006C2071" w:rsidRPr="00640491" w14:paraId="18CA449E"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770CD205"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Fever</w:t>
            </w:r>
          </w:p>
        </w:tc>
        <w:tc>
          <w:tcPr>
            <w:tcW w:w="3420" w:type="dxa"/>
            <w:tcBorders>
              <w:top w:val="nil"/>
              <w:left w:val="nil"/>
              <w:bottom w:val="nil"/>
              <w:right w:val="single" w:sz="4" w:space="0" w:color="auto"/>
            </w:tcBorders>
            <w:shd w:val="clear" w:color="auto" w:fill="auto"/>
            <w:noWrap/>
            <w:vAlign w:val="bottom"/>
            <w:hideMark/>
          </w:tcPr>
          <w:p w14:paraId="41E1EF6B"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7</w:t>
            </w:r>
          </w:p>
        </w:tc>
        <w:tc>
          <w:tcPr>
            <w:tcW w:w="1053" w:type="dxa"/>
            <w:tcBorders>
              <w:top w:val="nil"/>
              <w:left w:val="nil"/>
              <w:bottom w:val="nil"/>
              <w:right w:val="single" w:sz="4" w:space="0" w:color="auto"/>
            </w:tcBorders>
            <w:shd w:val="clear" w:color="auto" w:fill="auto"/>
            <w:noWrap/>
            <w:vAlign w:val="bottom"/>
            <w:hideMark/>
          </w:tcPr>
          <w:p w14:paraId="13AAC167"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6.1%</w:t>
            </w:r>
          </w:p>
        </w:tc>
      </w:tr>
      <w:tr w:rsidR="006C2071" w:rsidRPr="00640491" w14:paraId="45DC9BE7"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22B71DB8"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Cough</w:t>
            </w:r>
          </w:p>
        </w:tc>
        <w:tc>
          <w:tcPr>
            <w:tcW w:w="3420" w:type="dxa"/>
            <w:tcBorders>
              <w:top w:val="nil"/>
              <w:left w:val="nil"/>
              <w:bottom w:val="nil"/>
              <w:right w:val="single" w:sz="4" w:space="0" w:color="auto"/>
            </w:tcBorders>
            <w:shd w:val="clear" w:color="auto" w:fill="auto"/>
            <w:noWrap/>
            <w:vAlign w:val="bottom"/>
            <w:hideMark/>
          </w:tcPr>
          <w:p w14:paraId="65FBD7C9"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33</w:t>
            </w:r>
          </w:p>
        </w:tc>
        <w:tc>
          <w:tcPr>
            <w:tcW w:w="1053" w:type="dxa"/>
            <w:tcBorders>
              <w:top w:val="nil"/>
              <w:left w:val="nil"/>
              <w:bottom w:val="nil"/>
              <w:right w:val="single" w:sz="4" w:space="0" w:color="auto"/>
            </w:tcBorders>
            <w:shd w:val="clear" w:color="auto" w:fill="auto"/>
            <w:noWrap/>
            <w:vAlign w:val="bottom"/>
            <w:hideMark/>
          </w:tcPr>
          <w:p w14:paraId="09921FDA"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28.7%</w:t>
            </w:r>
          </w:p>
        </w:tc>
      </w:tr>
      <w:tr w:rsidR="006C2071" w:rsidRPr="00640491" w14:paraId="1B9FB8B6"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3B55BF1D"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Sore throat</w:t>
            </w:r>
          </w:p>
        </w:tc>
        <w:tc>
          <w:tcPr>
            <w:tcW w:w="3420" w:type="dxa"/>
            <w:tcBorders>
              <w:top w:val="nil"/>
              <w:left w:val="nil"/>
              <w:bottom w:val="nil"/>
              <w:right w:val="single" w:sz="4" w:space="0" w:color="auto"/>
            </w:tcBorders>
            <w:shd w:val="clear" w:color="auto" w:fill="auto"/>
            <w:noWrap/>
            <w:vAlign w:val="bottom"/>
            <w:hideMark/>
          </w:tcPr>
          <w:p w14:paraId="63919F56"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33</w:t>
            </w:r>
          </w:p>
        </w:tc>
        <w:tc>
          <w:tcPr>
            <w:tcW w:w="1053" w:type="dxa"/>
            <w:tcBorders>
              <w:top w:val="nil"/>
              <w:left w:val="nil"/>
              <w:bottom w:val="nil"/>
              <w:right w:val="single" w:sz="4" w:space="0" w:color="auto"/>
            </w:tcBorders>
            <w:shd w:val="clear" w:color="auto" w:fill="auto"/>
            <w:noWrap/>
            <w:vAlign w:val="bottom"/>
            <w:hideMark/>
          </w:tcPr>
          <w:p w14:paraId="649AA458"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28.7%</w:t>
            </w:r>
          </w:p>
        </w:tc>
      </w:tr>
      <w:tr w:rsidR="006C2071" w:rsidRPr="00640491" w14:paraId="3B10732A"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597DD171"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Dyspnea</w:t>
            </w:r>
          </w:p>
        </w:tc>
        <w:tc>
          <w:tcPr>
            <w:tcW w:w="3420" w:type="dxa"/>
            <w:tcBorders>
              <w:top w:val="nil"/>
              <w:left w:val="nil"/>
              <w:bottom w:val="nil"/>
              <w:right w:val="single" w:sz="4" w:space="0" w:color="auto"/>
            </w:tcBorders>
            <w:shd w:val="clear" w:color="auto" w:fill="auto"/>
            <w:noWrap/>
            <w:vAlign w:val="bottom"/>
            <w:hideMark/>
          </w:tcPr>
          <w:p w14:paraId="4AD8C626"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5</w:t>
            </w:r>
          </w:p>
        </w:tc>
        <w:tc>
          <w:tcPr>
            <w:tcW w:w="1053" w:type="dxa"/>
            <w:tcBorders>
              <w:top w:val="nil"/>
              <w:left w:val="nil"/>
              <w:bottom w:val="nil"/>
              <w:right w:val="single" w:sz="4" w:space="0" w:color="auto"/>
            </w:tcBorders>
            <w:shd w:val="clear" w:color="auto" w:fill="auto"/>
            <w:noWrap/>
            <w:vAlign w:val="bottom"/>
            <w:hideMark/>
          </w:tcPr>
          <w:p w14:paraId="7936816F"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4.4%</w:t>
            </w:r>
          </w:p>
        </w:tc>
      </w:tr>
      <w:tr w:rsidR="006C2071" w:rsidRPr="00640491" w14:paraId="196998F0"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011EE535"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Chills</w:t>
            </w:r>
          </w:p>
        </w:tc>
        <w:tc>
          <w:tcPr>
            <w:tcW w:w="3420" w:type="dxa"/>
            <w:tcBorders>
              <w:top w:val="nil"/>
              <w:left w:val="nil"/>
              <w:bottom w:val="nil"/>
              <w:right w:val="single" w:sz="4" w:space="0" w:color="auto"/>
            </w:tcBorders>
            <w:shd w:val="clear" w:color="auto" w:fill="auto"/>
            <w:noWrap/>
            <w:vAlign w:val="bottom"/>
            <w:hideMark/>
          </w:tcPr>
          <w:p w14:paraId="194BD8A8"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7</w:t>
            </w:r>
          </w:p>
        </w:tc>
        <w:tc>
          <w:tcPr>
            <w:tcW w:w="1053" w:type="dxa"/>
            <w:tcBorders>
              <w:top w:val="nil"/>
              <w:left w:val="nil"/>
              <w:bottom w:val="nil"/>
              <w:right w:val="single" w:sz="4" w:space="0" w:color="auto"/>
            </w:tcBorders>
            <w:shd w:val="clear" w:color="auto" w:fill="auto"/>
            <w:noWrap/>
            <w:vAlign w:val="bottom"/>
            <w:hideMark/>
          </w:tcPr>
          <w:p w14:paraId="0DC35391"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6.1%</w:t>
            </w:r>
          </w:p>
        </w:tc>
      </w:tr>
      <w:tr w:rsidR="006C2071" w:rsidRPr="00640491" w14:paraId="09A457AB"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031CF450"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Headache</w:t>
            </w:r>
          </w:p>
        </w:tc>
        <w:tc>
          <w:tcPr>
            <w:tcW w:w="3420" w:type="dxa"/>
            <w:tcBorders>
              <w:top w:val="nil"/>
              <w:left w:val="nil"/>
              <w:bottom w:val="nil"/>
              <w:right w:val="single" w:sz="4" w:space="0" w:color="auto"/>
            </w:tcBorders>
            <w:shd w:val="clear" w:color="auto" w:fill="auto"/>
            <w:noWrap/>
            <w:vAlign w:val="bottom"/>
            <w:hideMark/>
          </w:tcPr>
          <w:p w14:paraId="08D556FA"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47</w:t>
            </w:r>
          </w:p>
        </w:tc>
        <w:tc>
          <w:tcPr>
            <w:tcW w:w="1053" w:type="dxa"/>
            <w:tcBorders>
              <w:top w:val="nil"/>
              <w:left w:val="nil"/>
              <w:bottom w:val="nil"/>
              <w:right w:val="single" w:sz="4" w:space="0" w:color="auto"/>
            </w:tcBorders>
            <w:shd w:val="clear" w:color="auto" w:fill="auto"/>
            <w:noWrap/>
            <w:vAlign w:val="bottom"/>
            <w:hideMark/>
          </w:tcPr>
          <w:p w14:paraId="7B766F9A"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40.9%</w:t>
            </w:r>
          </w:p>
        </w:tc>
      </w:tr>
      <w:tr w:rsidR="006C2071" w:rsidRPr="00640491" w14:paraId="46F0DFF2"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00C3FD49"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Muscle Aches</w:t>
            </w:r>
          </w:p>
        </w:tc>
        <w:tc>
          <w:tcPr>
            <w:tcW w:w="3420" w:type="dxa"/>
            <w:tcBorders>
              <w:top w:val="nil"/>
              <w:left w:val="nil"/>
              <w:bottom w:val="nil"/>
              <w:right w:val="single" w:sz="4" w:space="0" w:color="auto"/>
            </w:tcBorders>
            <w:shd w:val="clear" w:color="auto" w:fill="auto"/>
            <w:noWrap/>
            <w:vAlign w:val="bottom"/>
            <w:hideMark/>
          </w:tcPr>
          <w:p w14:paraId="79D89BE7"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14</w:t>
            </w:r>
          </w:p>
        </w:tc>
        <w:tc>
          <w:tcPr>
            <w:tcW w:w="1053" w:type="dxa"/>
            <w:tcBorders>
              <w:top w:val="nil"/>
              <w:left w:val="nil"/>
              <w:bottom w:val="nil"/>
              <w:right w:val="single" w:sz="4" w:space="0" w:color="auto"/>
            </w:tcBorders>
            <w:shd w:val="clear" w:color="auto" w:fill="auto"/>
            <w:noWrap/>
            <w:vAlign w:val="bottom"/>
            <w:hideMark/>
          </w:tcPr>
          <w:p w14:paraId="05E1EA94"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12.2%</w:t>
            </w:r>
          </w:p>
        </w:tc>
      </w:tr>
      <w:tr w:rsidR="006C2071" w:rsidRPr="00640491" w14:paraId="2986C215"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21CC18E3"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Vomiting</w:t>
            </w:r>
          </w:p>
        </w:tc>
        <w:tc>
          <w:tcPr>
            <w:tcW w:w="3420" w:type="dxa"/>
            <w:tcBorders>
              <w:top w:val="nil"/>
              <w:left w:val="nil"/>
              <w:bottom w:val="nil"/>
              <w:right w:val="single" w:sz="4" w:space="0" w:color="auto"/>
            </w:tcBorders>
            <w:shd w:val="clear" w:color="auto" w:fill="auto"/>
            <w:noWrap/>
            <w:vAlign w:val="bottom"/>
            <w:hideMark/>
          </w:tcPr>
          <w:p w14:paraId="2DE38B5E"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w:t>
            </w:r>
          </w:p>
        </w:tc>
        <w:tc>
          <w:tcPr>
            <w:tcW w:w="1053" w:type="dxa"/>
            <w:tcBorders>
              <w:top w:val="nil"/>
              <w:left w:val="nil"/>
              <w:bottom w:val="nil"/>
              <w:right w:val="single" w:sz="4" w:space="0" w:color="auto"/>
            </w:tcBorders>
            <w:shd w:val="clear" w:color="auto" w:fill="auto"/>
            <w:noWrap/>
            <w:vAlign w:val="bottom"/>
            <w:hideMark/>
          </w:tcPr>
          <w:p w14:paraId="0D6652E5"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0.0%</w:t>
            </w:r>
          </w:p>
        </w:tc>
      </w:tr>
      <w:tr w:rsidR="006C2071" w:rsidRPr="00640491" w14:paraId="1DDC7F50"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31D05D85"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Abdominal Pain</w:t>
            </w:r>
          </w:p>
        </w:tc>
        <w:tc>
          <w:tcPr>
            <w:tcW w:w="3420" w:type="dxa"/>
            <w:tcBorders>
              <w:top w:val="nil"/>
              <w:left w:val="nil"/>
              <w:bottom w:val="nil"/>
              <w:right w:val="single" w:sz="4" w:space="0" w:color="auto"/>
            </w:tcBorders>
            <w:shd w:val="clear" w:color="auto" w:fill="auto"/>
            <w:noWrap/>
            <w:vAlign w:val="bottom"/>
            <w:hideMark/>
          </w:tcPr>
          <w:p w14:paraId="21A09282"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5</w:t>
            </w:r>
          </w:p>
        </w:tc>
        <w:tc>
          <w:tcPr>
            <w:tcW w:w="1053" w:type="dxa"/>
            <w:tcBorders>
              <w:top w:val="nil"/>
              <w:left w:val="nil"/>
              <w:bottom w:val="nil"/>
              <w:right w:val="single" w:sz="4" w:space="0" w:color="auto"/>
            </w:tcBorders>
            <w:shd w:val="clear" w:color="auto" w:fill="auto"/>
            <w:noWrap/>
            <w:vAlign w:val="bottom"/>
            <w:hideMark/>
          </w:tcPr>
          <w:p w14:paraId="28213AE1"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4.4%</w:t>
            </w:r>
          </w:p>
        </w:tc>
      </w:tr>
      <w:tr w:rsidR="006C2071" w:rsidRPr="00640491" w14:paraId="5BAF37EE"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2F0CF508"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Diarrhea</w:t>
            </w:r>
          </w:p>
        </w:tc>
        <w:tc>
          <w:tcPr>
            <w:tcW w:w="3420" w:type="dxa"/>
            <w:tcBorders>
              <w:top w:val="nil"/>
              <w:left w:val="nil"/>
              <w:bottom w:val="nil"/>
              <w:right w:val="single" w:sz="4" w:space="0" w:color="auto"/>
            </w:tcBorders>
            <w:shd w:val="clear" w:color="auto" w:fill="auto"/>
            <w:noWrap/>
            <w:vAlign w:val="bottom"/>
            <w:hideMark/>
          </w:tcPr>
          <w:p w14:paraId="1F210D00"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3</w:t>
            </w:r>
          </w:p>
        </w:tc>
        <w:tc>
          <w:tcPr>
            <w:tcW w:w="1053" w:type="dxa"/>
            <w:tcBorders>
              <w:top w:val="nil"/>
              <w:left w:val="nil"/>
              <w:bottom w:val="nil"/>
              <w:right w:val="single" w:sz="4" w:space="0" w:color="auto"/>
            </w:tcBorders>
            <w:shd w:val="clear" w:color="auto" w:fill="auto"/>
            <w:noWrap/>
            <w:vAlign w:val="bottom"/>
            <w:hideMark/>
          </w:tcPr>
          <w:p w14:paraId="51FC6B5A"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2.6%</w:t>
            </w:r>
          </w:p>
        </w:tc>
      </w:tr>
      <w:tr w:rsidR="006C2071" w:rsidRPr="00640491" w14:paraId="1AA6EE3A" w14:textId="77777777" w:rsidTr="008F32CB">
        <w:trPr>
          <w:trHeight w:val="300"/>
        </w:trPr>
        <w:tc>
          <w:tcPr>
            <w:tcW w:w="1975" w:type="dxa"/>
            <w:tcBorders>
              <w:top w:val="nil"/>
              <w:left w:val="single" w:sz="4" w:space="0" w:color="auto"/>
              <w:bottom w:val="nil"/>
              <w:right w:val="single" w:sz="4" w:space="0" w:color="auto"/>
            </w:tcBorders>
            <w:shd w:val="clear" w:color="auto" w:fill="auto"/>
            <w:noWrap/>
            <w:vAlign w:val="center"/>
            <w:hideMark/>
          </w:tcPr>
          <w:p w14:paraId="6C01964D"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Loss of Taste</w:t>
            </w:r>
          </w:p>
        </w:tc>
        <w:tc>
          <w:tcPr>
            <w:tcW w:w="3420" w:type="dxa"/>
            <w:tcBorders>
              <w:top w:val="nil"/>
              <w:left w:val="nil"/>
              <w:bottom w:val="nil"/>
              <w:right w:val="single" w:sz="4" w:space="0" w:color="auto"/>
            </w:tcBorders>
            <w:shd w:val="clear" w:color="auto" w:fill="auto"/>
            <w:noWrap/>
            <w:vAlign w:val="bottom"/>
            <w:hideMark/>
          </w:tcPr>
          <w:p w14:paraId="13EFF6F2"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w:t>
            </w:r>
          </w:p>
        </w:tc>
        <w:tc>
          <w:tcPr>
            <w:tcW w:w="1053" w:type="dxa"/>
            <w:tcBorders>
              <w:top w:val="nil"/>
              <w:left w:val="nil"/>
              <w:bottom w:val="nil"/>
              <w:right w:val="single" w:sz="4" w:space="0" w:color="auto"/>
            </w:tcBorders>
            <w:shd w:val="clear" w:color="auto" w:fill="auto"/>
            <w:noWrap/>
            <w:vAlign w:val="bottom"/>
            <w:hideMark/>
          </w:tcPr>
          <w:p w14:paraId="77E155D6"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0.0%</w:t>
            </w:r>
          </w:p>
        </w:tc>
      </w:tr>
      <w:tr w:rsidR="006C2071" w:rsidRPr="00640491" w14:paraId="740B0405" w14:textId="77777777" w:rsidTr="008F32C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10DE7BD" w14:textId="77777777" w:rsidR="006C2071" w:rsidRPr="00640491" w:rsidRDefault="006C2071" w:rsidP="00551FF7">
            <w:pPr>
              <w:spacing w:after="0" w:line="240" w:lineRule="auto"/>
              <w:rPr>
                <w:rFonts w:ascii="Times New Roman" w:eastAsia="Times New Roman" w:hAnsi="Times New Roman" w:cs="Times New Roman"/>
                <w:color w:val="000000"/>
              </w:rPr>
            </w:pPr>
            <w:r w:rsidRPr="00640491">
              <w:rPr>
                <w:rFonts w:ascii="Times New Roman" w:eastAsia="Times New Roman" w:hAnsi="Times New Roman" w:cs="Times New Roman"/>
                <w:color w:val="000000"/>
              </w:rPr>
              <w:t>Loss of Smell</w:t>
            </w:r>
          </w:p>
        </w:tc>
        <w:tc>
          <w:tcPr>
            <w:tcW w:w="3420" w:type="dxa"/>
            <w:tcBorders>
              <w:top w:val="nil"/>
              <w:left w:val="nil"/>
              <w:bottom w:val="single" w:sz="4" w:space="0" w:color="auto"/>
              <w:right w:val="single" w:sz="4" w:space="0" w:color="auto"/>
            </w:tcBorders>
            <w:shd w:val="clear" w:color="auto" w:fill="auto"/>
            <w:noWrap/>
            <w:vAlign w:val="bottom"/>
            <w:hideMark/>
          </w:tcPr>
          <w:p w14:paraId="5D7FE7C5"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w:t>
            </w:r>
          </w:p>
        </w:tc>
        <w:tc>
          <w:tcPr>
            <w:tcW w:w="1053" w:type="dxa"/>
            <w:tcBorders>
              <w:top w:val="nil"/>
              <w:left w:val="nil"/>
              <w:bottom w:val="single" w:sz="4" w:space="0" w:color="auto"/>
              <w:right w:val="single" w:sz="4" w:space="0" w:color="auto"/>
            </w:tcBorders>
            <w:shd w:val="clear" w:color="auto" w:fill="auto"/>
            <w:noWrap/>
            <w:vAlign w:val="bottom"/>
            <w:hideMark/>
          </w:tcPr>
          <w:p w14:paraId="0EEB4D8E" w14:textId="77777777" w:rsidR="006C2071" w:rsidRPr="00640491" w:rsidRDefault="006C2071" w:rsidP="00551FF7">
            <w:pPr>
              <w:spacing w:after="0" w:line="240" w:lineRule="auto"/>
              <w:jc w:val="center"/>
              <w:rPr>
                <w:rFonts w:ascii="Times New Roman" w:eastAsia="Times New Roman" w:hAnsi="Times New Roman" w:cs="Times New Roman"/>
                <w:color w:val="000000"/>
              </w:rPr>
            </w:pPr>
            <w:r w:rsidRPr="00640491">
              <w:rPr>
                <w:rFonts w:ascii="Times New Roman" w:eastAsia="Times New Roman" w:hAnsi="Times New Roman" w:cs="Times New Roman"/>
                <w:color w:val="000000"/>
              </w:rPr>
              <w:t>0.0%</w:t>
            </w:r>
          </w:p>
        </w:tc>
      </w:tr>
    </w:tbl>
    <w:p w14:paraId="65A61FF0" w14:textId="77777777" w:rsidR="006C2071" w:rsidRPr="00640491" w:rsidRDefault="006C2071" w:rsidP="00551FF7">
      <w:pPr>
        <w:pStyle w:val="NoSpacing"/>
        <w:spacing w:line="360" w:lineRule="auto"/>
        <w:rPr>
          <w:rFonts w:ascii="Times New Roman" w:hAnsi="Times New Roman" w:cs="Times New Roman"/>
          <w:sz w:val="20"/>
          <w:szCs w:val="20"/>
        </w:rPr>
      </w:pPr>
      <w:proofErr w:type="spellStart"/>
      <w:r w:rsidRPr="00640491">
        <w:rPr>
          <w:rFonts w:ascii="Times New Roman" w:hAnsi="Times New Roman" w:cs="Times New Roman"/>
          <w:sz w:val="20"/>
          <w:szCs w:val="20"/>
          <w:vertAlign w:val="superscript"/>
        </w:rPr>
        <w:t>a</w:t>
      </w:r>
      <w:r w:rsidRPr="00640491">
        <w:rPr>
          <w:rFonts w:ascii="Times New Roman" w:hAnsi="Times New Roman" w:cs="Times New Roman"/>
          <w:sz w:val="20"/>
          <w:szCs w:val="20"/>
        </w:rPr>
        <w:t>Participants</w:t>
      </w:r>
      <w:proofErr w:type="spellEnd"/>
      <w:r w:rsidRPr="00640491">
        <w:rPr>
          <w:rFonts w:ascii="Times New Roman" w:hAnsi="Times New Roman" w:cs="Times New Roman"/>
          <w:sz w:val="20"/>
          <w:szCs w:val="20"/>
        </w:rPr>
        <w:t xml:space="preserve"> could report more than one symptom; frequencies do not sum to 115</w:t>
      </w:r>
    </w:p>
    <w:p w14:paraId="31241839" w14:textId="77777777" w:rsidR="006C2071" w:rsidRPr="00640491" w:rsidRDefault="006C2071" w:rsidP="00551FF7">
      <w:pPr>
        <w:pStyle w:val="NoSpacing"/>
        <w:spacing w:line="360" w:lineRule="auto"/>
        <w:rPr>
          <w:rFonts w:ascii="Times New Roman" w:hAnsi="Times New Roman" w:cs="Times New Roman"/>
          <w:sz w:val="20"/>
          <w:szCs w:val="20"/>
        </w:rPr>
      </w:pPr>
      <w:proofErr w:type="spellStart"/>
      <w:r w:rsidRPr="00640491">
        <w:rPr>
          <w:rFonts w:ascii="Times New Roman" w:hAnsi="Times New Roman" w:cs="Times New Roman"/>
          <w:sz w:val="20"/>
          <w:szCs w:val="20"/>
          <w:vertAlign w:val="superscript"/>
        </w:rPr>
        <w:t>b</w:t>
      </w:r>
      <w:r w:rsidRPr="00640491">
        <w:rPr>
          <w:rFonts w:ascii="Times New Roman" w:hAnsi="Times New Roman" w:cs="Times New Roman"/>
          <w:sz w:val="20"/>
          <w:szCs w:val="20"/>
        </w:rPr>
        <w:t>Percentage</w:t>
      </w:r>
      <w:proofErr w:type="spellEnd"/>
      <w:r w:rsidRPr="00640491">
        <w:rPr>
          <w:rFonts w:ascii="Times New Roman" w:hAnsi="Times New Roman" w:cs="Times New Roman"/>
          <w:sz w:val="20"/>
          <w:szCs w:val="20"/>
        </w:rPr>
        <w:t xml:space="preserve"> of 115 symptomatic patients reporting symptom </w:t>
      </w:r>
    </w:p>
    <w:p w14:paraId="50C21AF9" w14:textId="77777777" w:rsidR="006C2071" w:rsidRPr="00640491" w:rsidRDefault="006C2071" w:rsidP="00551FF7">
      <w:pPr>
        <w:pStyle w:val="NoSpacing"/>
        <w:spacing w:line="360" w:lineRule="auto"/>
        <w:rPr>
          <w:rFonts w:ascii="Times New Roman" w:hAnsi="Times New Roman" w:cs="Times New Roman"/>
          <w:sz w:val="20"/>
          <w:szCs w:val="20"/>
        </w:rPr>
      </w:pPr>
    </w:p>
    <w:p w14:paraId="41919B3F" w14:textId="77777777" w:rsidR="006C2071" w:rsidRPr="00640491" w:rsidRDefault="006C2071" w:rsidP="00F21AB8">
      <w:pPr>
        <w:spacing w:line="480" w:lineRule="auto"/>
        <w:rPr>
          <w:rFonts w:ascii="Times New Roman" w:hAnsi="Times New Roman" w:cs="Times New Roman"/>
        </w:rPr>
      </w:pPr>
      <w:r w:rsidRPr="00640491">
        <w:rPr>
          <w:rFonts w:ascii="Times New Roman" w:hAnsi="Times New Roman" w:cs="Times New Roman"/>
        </w:rPr>
        <w:br w:type="page"/>
      </w:r>
    </w:p>
    <w:p w14:paraId="09FDA318" w14:textId="77777777" w:rsidR="006C2071" w:rsidRPr="00640491" w:rsidRDefault="00640491" w:rsidP="00551FF7">
      <w:pPr>
        <w:pStyle w:val="NoSpacing"/>
        <w:rPr>
          <w:rFonts w:ascii="Times New Roman" w:hAnsi="Times New Roman" w:cs="Times New Roman"/>
        </w:rPr>
      </w:pPr>
      <w:r>
        <w:rPr>
          <w:rFonts w:ascii="Times New Roman" w:hAnsi="Times New Roman" w:cs="Times New Roman"/>
          <w:b/>
          <w:bCs/>
        </w:rPr>
        <w:lastRenderedPageBreak/>
        <w:t xml:space="preserve">Supplemental </w:t>
      </w:r>
      <w:r w:rsidR="006C2071" w:rsidRPr="00640491">
        <w:rPr>
          <w:rFonts w:ascii="Times New Roman" w:hAnsi="Times New Roman" w:cs="Times New Roman"/>
          <w:b/>
          <w:bCs/>
        </w:rPr>
        <w:t xml:space="preserve">Table </w:t>
      </w:r>
      <w:r>
        <w:rPr>
          <w:rFonts w:ascii="Times New Roman" w:hAnsi="Times New Roman" w:cs="Times New Roman"/>
          <w:b/>
          <w:bCs/>
        </w:rPr>
        <w:t>S</w:t>
      </w:r>
      <w:r w:rsidR="006C2071" w:rsidRPr="00640491">
        <w:rPr>
          <w:rFonts w:ascii="Times New Roman" w:hAnsi="Times New Roman" w:cs="Times New Roman"/>
          <w:b/>
          <w:bCs/>
        </w:rPr>
        <w:t>2</w:t>
      </w:r>
      <w:r w:rsidR="006C2071" w:rsidRPr="00640491">
        <w:rPr>
          <w:rFonts w:ascii="Times New Roman" w:hAnsi="Times New Roman" w:cs="Times New Roman"/>
        </w:rPr>
        <w:t xml:space="preserve">.  Among SARS-CoV-2 </w:t>
      </w:r>
      <w:proofErr w:type="spellStart"/>
      <w:r w:rsidR="006C2071" w:rsidRPr="00640491">
        <w:rPr>
          <w:rFonts w:ascii="Times New Roman" w:hAnsi="Times New Roman" w:cs="Times New Roman"/>
        </w:rPr>
        <w:t>rRT</w:t>
      </w:r>
      <w:proofErr w:type="spellEnd"/>
      <w:r w:rsidR="006C2071" w:rsidRPr="00640491">
        <w:rPr>
          <w:rFonts w:ascii="Times New Roman" w:hAnsi="Times New Roman" w:cs="Times New Roman"/>
        </w:rPr>
        <w:t xml:space="preserve">-PCR positive samples, frequencies of BinaxNOW test results, mean Ct values, interquartile range of Ct values, and odds ratios of Ct values compared to BinaxNOW test results are reported among all, symptomatic, and asymptomatic employees. </w:t>
      </w:r>
    </w:p>
    <w:p w14:paraId="62669613" w14:textId="77777777" w:rsidR="00551FF7" w:rsidRPr="00640491" w:rsidRDefault="00551FF7" w:rsidP="00551FF7">
      <w:pPr>
        <w:pStyle w:val="NoSpacing"/>
        <w:rPr>
          <w:rFonts w:ascii="Times New Roman" w:hAnsi="Times New Roman" w:cs="Times New Roman"/>
        </w:rPr>
      </w:pPr>
    </w:p>
    <w:tbl>
      <w:tblPr>
        <w:tblW w:w="10451" w:type="dxa"/>
        <w:tblInd w:w="-550" w:type="dxa"/>
        <w:tblCellMar>
          <w:left w:w="0" w:type="dxa"/>
          <w:right w:w="0" w:type="dxa"/>
        </w:tblCellMar>
        <w:tblLook w:val="04A0" w:firstRow="1" w:lastRow="0" w:firstColumn="1" w:lastColumn="0" w:noHBand="0" w:noVBand="1"/>
      </w:tblPr>
      <w:tblGrid>
        <w:gridCol w:w="2561"/>
        <w:gridCol w:w="2120"/>
        <w:gridCol w:w="720"/>
        <w:gridCol w:w="1320"/>
        <w:gridCol w:w="1020"/>
        <w:gridCol w:w="810"/>
        <w:gridCol w:w="1900"/>
      </w:tblGrid>
      <w:tr w:rsidR="006C2071" w:rsidRPr="00640491" w14:paraId="7509ABEB" w14:textId="77777777" w:rsidTr="006C2071">
        <w:trPr>
          <w:trHeight w:val="285"/>
        </w:trPr>
        <w:tc>
          <w:tcPr>
            <w:tcW w:w="2561" w:type="dxa"/>
            <w:tcBorders>
              <w:top w:val="single" w:sz="8" w:space="0" w:color="D4D4D4"/>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4984640" w14:textId="77777777" w:rsidR="006C2071" w:rsidRPr="00640491" w:rsidRDefault="006C2071" w:rsidP="00551FF7">
            <w:pPr>
              <w:spacing w:after="0" w:line="240" w:lineRule="auto"/>
              <w:jc w:val="center"/>
              <w:rPr>
                <w:rFonts w:ascii="Times New Roman" w:eastAsia="Calibri" w:hAnsi="Times New Roman" w:cs="Times New Roman"/>
              </w:rPr>
            </w:pPr>
          </w:p>
        </w:tc>
        <w:tc>
          <w:tcPr>
            <w:tcW w:w="212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30CBB594"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r w:rsidRPr="00640491">
              <w:rPr>
                <w:rFonts w:ascii="Times New Roman" w:eastAsia="Times New Roman" w:hAnsi="Times New Roman" w:cs="Times New Roman"/>
                <w:sz w:val="20"/>
                <w:szCs w:val="20"/>
              </w:rPr>
              <w:t>BinaxNOW Result</w:t>
            </w:r>
          </w:p>
        </w:tc>
        <w:tc>
          <w:tcPr>
            <w:tcW w:w="72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1201CEAD"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N</w:t>
            </w:r>
          </w:p>
        </w:tc>
        <w:tc>
          <w:tcPr>
            <w:tcW w:w="132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6A628981" w14:textId="77777777" w:rsidR="006C2071" w:rsidRPr="00640491" w:rsidRDefault="006C2071" w:rsidP="00551FF7">
            <w:pPr>
              <w:spacing w:after="0" w:line="240" w:lineRule="auto"/>
              <w:jc w:val="center"/>
              <w:rPr>
                <w:rFonts w:ascii="Times New Roman" w:eastAsia="Calibri" w:hAnsi="Times New Roman" w:cs="Times New Roman"/>
                <w:color w:val="000000"/>
              </w:rPr>
            </w:pPr>
            <w:proofErr w:type="spellStart"/>
            <w:r w:rsidRPr="00640491">
              <w:rPr>
                <w:rFonts w:ascii="Times New Roman" w:eastAsia="Calibri" w:hAnsi="Times New Roman" w:cs="Times New Roman"/>
                <w:color w:val="000000"/>
              </w:rPr>
              <w:t>Ct</w:t>
            </w:r>
            <w:r w:rsidRPr="00640491">
              <w:rPr>
                <w:rFonts w:ascii="Times New Roman" w:eastAsia="Calibri" w:hAnsi="Times New Roman" w:cs="Times New Roman"/>
                <w:color w:val="000000"/>
                <w:vertAlign w:val="subscript"/>
              </w:rPr>
              <w:t>mean</w:t>
            </w:r>
            <w:proofErr w:type="spellEnd"/>
            <w:r w:rsidRPr="00640491">
              <w:rPr>
                <w:rFonts w:ascii="Times New Roman" w:eastAsia="Calibri" w:hAnsi="Times New Roman" w:cs="Times New Roman"/>
                <w:color w:val="000000"/>
                <w:vertAlign w:val="subscript"/>
              </w:rPr>
              <w:t xml:space="preserve"> </w:t>
            </w:r>
            <w:r w:rsidRPr="00640491">
              <w:rPr>
                <w:rFonts w:ascii="Times New Roman" w:eastAsia="Calibri" w:hAnsi="Times New Roman" w:cs="Times New Roman"/>
                <w:color w:val="000000"/>
              </w:rPr>
              <w:t>(±SD)</w:t>
            </w:r>
          </w:p>
        </w:tc>
        <w:tc>
          <w:tcPr>
            <w:tcW w:w="102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6141FEB7"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p-</w:t>
            </w:r>
            <w:proofErr w:type="spellStart"/>
            <w:r w:rsidRPr="00640491">
              <w:rPr>
                <w:rFonts w:ascii="Times New Roman" w:eastAsia="Calibri" w:hAnsi="Times New Roman" w:cs="Times New Roman"/>
                <w:color w:val="000000"/>
              </w:rPr>
              <w:t>value</w:t>
            </w:r>
            <w:r w:rsidRPr="00640491">
              <w:rPr>
                <w:rFonts w:ascii="Times New Roman" w:eastAsia="Calibri" w:hAnsi="Times New Roman" w:cs="Times New Roman"/>
                <w:color w:val="000000"/>
                <w:vertAlign w:val="superscript"/>
              </w:rPr>
              <w:t>a</w:t>
            </w:r>
            <w:proofErr w:type="spellEnd"/>
          </w:p>
        </w:tc>
        <w:tc>
          <w:tcPr>
            <w:tcW w:w="81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3BD59F0D" w14:textId="77777777" w:rsidR="006C2071" w:rsidRPr="00640491" w:rsidRDefault="006C2071" w:rsidP="00551FF7">
            <w:pPr>
              <w:spacing w:after="0" w:line="240" w:lineRule="auto"/>
              <w:jc w:val="center"/>
              <w:rPr>
                <w:rFonts w:ascii="Times New Roman" w:eastAsia="Calibri" w:hAnsi="Times New Roman" w:cs="Times New Roman"/>
                <w:color w:val="000000"/>
              </w:rPr>
            </w:pPr>
            <w:proofErr w:type="spellStart"/>
            <w:r w:rsidRPr="00640491">
              <w:rPr>
                <w:rFonts w:ascii="Times New Roman" w:eastAsia="Calibri" w:hAnsi="Times New Roman" w:cs="Times New Roman"/>
                <w:color w:val="000000"/>
              </w:rPr>
              <w:t>Ct</w:t>
            </w:r>
            <w:r w:rsidRPr="00640491">
              <w:rPr>
                <w:rFonts w:ascii="Times New Roman" w:eastAsia="Calibri" w:hAnsi="Times New Roman" w:cs="Times New Roman"/>
                <w:color w:val="000000"/>
                <w:vertAlign w:val="subscript"/>
              </w:rPr>
              <w:t>IQR</w:t>
            </w:r>
            <w:r w:rsidRPr="00640491">
              <w:rPr>
                <w:rFonts w:ascii="Times New Roman" w:eastAsia="Calibri" w:hAnsi="Times New Roman" w:cs="Times New Roman"/>
                <w:color w:val="000000"/>
                <w:vertAlign w:val="superscript"/>
              </w:rPr>
              <w:t>b</w:t>
            </w:r>
            <w:proofErr w:type="spellEnd"/>
          </w:p>
        </w:tc>
        <w:tc>
          <w:tcPr>
            <w:tcW w:w="190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0D439722"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 xml:space="preserve">OR (95% </w:t>
            </w:r>
            <w:proofErr w:type="gramStart"/>
            <w:r w:rsidRPr="00640491">
              <w:rPr>
                <w:rFonts w:ascii="Times New Roman" w:eastAsia="Calibri" w:hAnsi="Times New Roman" w:cs="Times New Roman"/>
                <w:color w:val="000000"/>
              </w:rPr>
              <w:t>CI)</w:t>
            </w:r>
            <w:r w:rsidRPr="00640491">
              <w:rPr>
                <w:rFonts w:ascii="Times New Roman" w:eastAsia="Calibri" w:hAnsi="Times New Roman" w:cs="Times New Roman"/>
                <w:color w:val="000000"/>
                <w:vertAlign w:val="superscript"/>
              </w:rPr>
              <w:t>c</w:t>
            </w:r>
            <w:proofErr w:type="gramEnd"/>
          </w:p>
        </w:tc>
      </w:tr>
      <w:tr w:rsidR="006C2071" w:rsidRPr="00640491" w14:paraId="4BB66A84"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F155BE6" w14:textId="77777777" w:rsidR="006C2071" w:rsidRPr="00640491" w:rsidRDefault="006C2071" w:rsidP="00551FF7">
            <w:pPr>
              <w:spacing w:after="0" w:line="240" w:lineRule="auto"/>
              <w:rPr>
                <w:rFonts w:ascii="Times New Roman" w:eastAsia="Calibri" w:hAnsi="Times New Roman" w:cs="Times New Roman"/>
                <w:color w:val="000000"/>
              </w:rPr>
            </w:pPr>
            <w:r w:rsidRPr="00640491">
              <w:rPr>
                <w:rFonts w:ascii="Times New Roman" w:eastAsia="Calibri" w:hAnsi="Times New Roman" w:cs="Times New Roman"/>
                <w:color w:val="000000"/>
              </w:rPr>
              <w:t>All Employees</w:t>
            </w: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1732E0B"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Negative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ABA2B44" w14:textId="0CA1179A"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58</w:t>
            </w:r>
            <w:r w:rsidR="007B662E" w:rsidRPr="007B662E">
              <w:rPr>
                <w:rFonts w:ascii="Times New Roman" w:eastAsia="Calibri" w:hAnsi="Times New Roman" w:cs="Times New Roman"/>
                <w:color w:val="000000"/>
                <w:vertAlign w:val="superscript"/>
              </w:rPr>
              <w:t>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31AD6A6"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32.0 (± 7.0)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7A97D63"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&lt;.001</w:t>
            </w: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C3C2C0F"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7.8</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B732746"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Reference</w:t>
            </w:r>
          </w:p>
        </w:tc>
      </w:tr>
      <w:tr w:rsidR="006C2071" w:rsidRPr="00640491" w14:paraId="0A49FC51"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0212BBC" w14:textId="77777777" w:rsidR="006C2071" w:rsidRPr="00640491" w:rsidRDefault="006C2071" w:rsidP="00551FF7">
            <w:pPr>
              <w:spacing w:after="0" w:line="240" w:lineRule="auto"/>
              <w:rPr>
                <w:rFonts w:ascii="Times New Roman" w:eastAsia="Calibri" w:hAnsi="Times New Roman" w:cs="Times New Roman"/>
                <w:color w:val="000000"/>
              </w:rPr>
            </w:pP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397A6B7"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Positive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BE35EAB"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86</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CB3BC10"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21.4 (± 5.7)</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64261B1" w14:textId="77777777" w:rsidR="006C2071" w:rsidRPr="00640491" w:rsidRDefault="006C2071" w:rsidP="00551FF7">
            <w:pPr>
              <w:spacing w:after="0" w:line="240" w:lineRule="auto"/>
              <w:jc w:val="center"/>
              <w:rPr>
                <w:rFonts w:ascii="Times New Roman" w:eastAsia="Calibri" w:hAnsi="Times New Roman" w:cs="Times New Roman"/>
                <w:color w:val="000000"/>
              </w:rPr>
            </w:pP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BAA9FC4"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8.4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BBFDB38"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0.80 (0.74–0.85)</w:t>
            </w:r>
          </w:p>
        </w:tc>
      </w:tr>
      <w:tr w:rsidR="006C2071" w:rsidRPr="00640491" w14:paraId="0E2C15D2"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53616466" w14:textId="77777777" w:rsidR="006C2071" w:rsidRPr="00640491" w:rsidRDefault="006C2071" w:rsidP="00551FF7">
            <w:pPr>
              <w:spacing w:after="0" w:line="240" w:lineRule="auto"/>
              <w:rPr>
                <w:rFonts w:ascii="Times New Roman" w:eastAsia="Times New Roman" w:hAnsi="Times New Roman" w:cs="Times New Roman"/>
                <w:sz w:val="20"/>
                <w:szCs w:val="20"/>
              </w:rPr>
            </w:pP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A558701"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E290510"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6B3E62B"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E91D1AB"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B2562FE"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45363E6"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r>
      <w:tr w:rsidR="006C2071" w:rsidRPr="00640491" w14:paraId="5E2A5A26"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C4DD3A8" w14:textId="77777777" w:rsidR="006C2071" w:rsidRPr="00640491" w:rsidRDefault="006C2071" w:rsidP="00551FF7">
            <w:pPr>
              <w:spacing w:after="0" w:line="240" w:lineRule="auto"/>
              <w:rPr>
                <w:rFonts w:ascii="Times New Roman" w:eastAsia="Calibri" w:hAnsi="Times New Roman" w:cs="Times New Roman"/>
                <w:color w:val="000000"/>
              </w:rPr>
            </w:pPr>
            <w:r w:rsidRPr="00640491">
              <w:rPr>
                <w:rFonts w:ascii="Times New Roman" w:eastAsia="Calibri" w:hAnsi="Times New Roman" w:cs="Times New Roman"/>
                <w:color w:val="000000"/>
              </w:rPr>
              <w:t>Asymptomatic Employees</w:t>
            </w: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0BDC0FA"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Negative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AA114B4" w14:textId="47E77C48"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66</w:t>
            </w:r>
            <w:r w:rsidR="007B662E" w:rsidRPr="007B662E">
              <w:rPr>
                <w:rFonts w:ascii="Times New Roman" w:eastAsia="Calibri" w:hAnsi="Times New Roman" w:cs="Times New Roman"/>
                <w:color w:val="000000"/>
                <w:vertAlign w:val="superscript"/>
              </w:rPr>
              <w:t>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0A42E15" w14:textId="4BC4C008"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 xml:space="preserve">32.3 </w:t>
            </w:r>
            <w:r w:rsidRPr="00EF699E">
              <w:rPr>
                <w:rFonts w:ascii="Times New Roman" w:eastAsia="Calibri" w:hAnsi="Times New Roman" w:cs="Times New Roman"/>
                <w:color w:val="000000"/>
              </w:rPr>
              <w:t>(± 7.</w:t>
            </w:r>
            <w:r w:rsidR="00EF699E" w:rsidRPr="00EF699E">
              <w:rPr>
                <w:rFonts w:ascii="Times New Roman" w:eastAsia="Calibri" w:hAnsi="Times New Roman" w:cs="Times New Roman"/>
                <w:color w:val="000000"/>
              </w:rPr>
              <w:t>2</w:t>
            </w:r>
            <w:r w:rsidR="00EF699E">
              <w:rPr>
                <w:rFonts w:ascii="Times New Roman" w:eastAsia="Calibri" w:hAnsi="Times New Roman" w:cs="Times New Roman"/>
                <w:color w:val="000000"/>
              </w:rPr>
              <w:t>)</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588BCA8"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&lt;.001</w:t>
            </w: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9BA81DA"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6.9</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31455C0"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Reference</w:t>
            </w:r>
          </w:p>
        </w:tc>
      </w:tr>
      <w:tr w:rsidR="006C2071" w:rsidRPr="00640491" w14:paraId="2E9B8D1B"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9D154E0" w14:textId="77777777" w:rsidR="006C2071" w:rsidRPr="00640491" w:rsidRDefault="006C2071" w:rsidP="00551FF7">
            <w:pPr>
              <w:spacing w:after="0" w:line="240" w:lineRule="auto"/>
              <w:rPr>
                <w:rFonts w:ascii="Times New Roman" w:eastAsia="Times New Roman" w:hAnsi="Times New Roman" w:cs="Times New Roman"/>
                <w:sz w:val="20"/>
                <w:szCs w:val="20"/>
              </w:rPr>
            </w:pP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EB1CC87"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Positive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5FFFE87"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54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8D476AE"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21.5 (± 5.9)</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9D9D1CB" w14:textId="77777777" w:rsidR="006C2071" w:rsidRPr="00640491" w:rsidRDefault="006C2071" w:rsidP="00551FF7">
            <w:pPr>
              <w:spacing w:after="0" w:line="240" w:lineRule="auto"/>
              <w:jc w:val="center"/>
              <w:rPr>
                <w:rFonts w:ascii="Times New Roman" w:eastAsia="Calibri" w:hAnsi="Times New Roman" w:cs="Times New Roman"/>
                <w:color w:val="000000"/>
              </w:rPr>
            </w:pP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45237C1"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8.4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131CD3E"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0.8</w:t>
            </w:r>
            <w:r w:rsidR="002047F9" w:rsidRPr="00640491">
              <w:rPr>
                <w:rFonts w:ascii="Times New Roman" w:eastAsia="Calibri" w:hAnsi="Times New Roman" w:cs="Times New Roman"/>
                <w:color w:val="000000"/>
              </w:rPr>
              <w:t>1</w:t>
            </w:r>
            <w:r w:rsidRPr="00640491">
              <w:rPr>
                <w:rFonts w:ascii="Times New Roman" w:eastAsia="Calibri" w:hAnsi="Times New Roman" w:cs="Times New Roman"/>
                <w:color w:val="000000"/>
              </w:rPr>
              <w:t xml:space="preserve"> (0.7</w:t>
            </w:r>
            <w:r w:rsidR="002047F9" w:rsidRPr="00640491">
              <w:rPr>
                <w:rFonts w:ascii="Times New Roman" w:eastAsia="Calibri" w:hAnsi="Times New Roman" w:cs="Times New Roman"/>
                <w:color w:val="000000"/>
              </w:rPr>
              <w:t>5</w:t>
            </w:r>
            <w:r w:rsidRPr="00640491">
              <w:rPr>
                <w:rFonts w:ascii="Times New Roman" w:eastAsia="Calibri" w:hAnsi="Times New Roman" w:cs="Times New Roman"/>
                <w:color w:val="000000"/>
              </w:rPr>
              <w:t>–0.</w:t>
            </w:r>
            <w:r w:rsidR="002047F9" w:rsidRPr="00EF699E">
              <w:rPr>
                <w:rFonts w:ascii="Times New Roman" w:eastAsia="Calibri" w:hAnsi="Times New Roman" w:cs="Times New Roman"/>
                <w:color w:val="000000"/>
              </w:rPr>
              <w:t>87</w:t>
            </w:r>
            <w:r w:rsidRPr="00EF699E">
              <w:rPr>
                <w:rFonts w:ascii="Times New Roman" w:eastAsia="Calibri" w:hAnsi="Times New Roman" w:cs="Times New Roman"/>
                <w:color w:val="000000"/>
              </w:rPr>
              <w:t>)</w:t>
            </w:r>
          </w:p>
        </w:tc>
      </w:tr>
      <w:tr w:rsidR="006C2071" w:rsidRPr="00640491" w14:paraId="5C4569C8"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20810686" w14:textId="77777777" w:rsidR="006C2071" w:rsidRPr="00640491" w:rsidRDefault="006C2071" w:rsidP="00551FF7">
            <w:pPr>
              <w:spacing w:after="0" w:line="240" w:lineRule="auto"/>
              <w:rPr>
                <w:rFonts w:ascii="Times New Roman" w:eastAsia="Times New Roman" w:hAnsi="Times New Roman" w:cs="Times New Roman"/>
                <w:sz w:val="20"/>
                <w:szCs w:val="20"/>
              </w:rPr>
            </w:pP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0E4019F"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61EFA6B"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D79A38D"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E843967"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19B14D0"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57A34B9"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r>
      <w:tr w:rsidR="006C2071" w:rsidRPr="00640491" w14:paraId="111DE0D5"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6DF80FEB" w14:textId="77777777" w:rsidR="006C2071" w:rsidRPr="00640491" w:rsidRDefault="006C2071" w:rsidP="00551FF7">
            <w:pPr>
              <w:spacing w:after="0" w:line="240" w:lineRule="auto"/>
              <w:rPr>
                <w:rFonts w:ascii="Times New Roman" w:eastAsia="Calibri" w:hAnsi="Times New Roman" w:cs="Times New Roman"/>
                <w:color w:val="000000"/>
              </w:rPr>
            </w:pPr>
            <w:r w:rsidRPr="00640491">
              <w:rPr>
                <w:rFonts w:ascii="Times New Roman" w:eastAsia="Calibri" w:hAnsi="Times New Roman" w:cs="Times New Roman"/>
                <w:color w:val="000000"/>
              </w:rPr>
              <w:t>Symptomatic Employees</w:t>
            </w: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087AAA6"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Negative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FAA7AF2"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A3B6B2E"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28.5 (± 4.4)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48BB8AD"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0.015</w:t>
            </w: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F388D13"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7.4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7891600"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Reference</w:t>
            </w:r>
          </w:p>
        </w:tc>
      </w:tr>
      <w:tr w:rsidR="006C2071" w:rsidRPr="00640491" w14:paraId="1CA89ED1" w14:textId="77777777" w:rsidTr="006C2071">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2471542" w14:textId="77777777" w:rsidR="006C2071" w:rsidRPr="00640491" w:rsidRDefault="006C2071" w:rsidP="00551FF7">
            <w:pPr>
              <w:spacing w:after="0" w:line="240" w:lineRule="auto"/>
              <w:jc w:val="center"/>
              <w:rPr>
                <w:rFonts w:ascii="Times New Roman" w:eastAsia="Times New Roman" w:hAnsi="Times New Roman" w:cs="Times New Roman"/>
                <w:sz w:val="20"/>
                <w:szCs w:val="20"/>
              </w:rPr>
            </w:pPr>
          </w:p>
        </w:tc>
        <w:tc>
          <w:tcPr>
            <w:tcW w:w="21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C076290"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Positive</w:t>
            </w:r>
          </w:p>
        </w:tc>
        <w:tc>
          <w:tcPr>
            <w:tcW w:w="72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25D0323"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20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54DFA81" w14:textId="77777777" w:rsidR="006C2071" w:rsidRPr="00640491" w:rsidRDefault="006C2071" w:rsidP="00551FF7">
            <w:pPr>
              <w:spacing w:after="0" w:line="240" w:lineRule="auto"/>
              <w:jc w:val="center"/>
              <w:rPr>
                <w:rFonts w:ascii="Times New Roman" w:eastAsia="Calibri" w:hAnsi="Times New Roman" w:cs="Times New Roman"/>
                <w:color w:val="000000"/>
              </w:rPr>
            </w:pPr>
            <w:r w:rsidRPr="00640491">
              <w:rPr>
                <w:rFonts w:ascii="Times New Roman" w:eastAsia="Calibri" w:hAnsi="Times New Roman" w:cs="Times New Roman"/>
                <w:color w:val="000000"/>
              </w:rPr>
              <w:t>21.1 (± 5.2)</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B9007D2" w14:textId="77777777" w:rsidR="006C2071" w:rsidRPr="00640491" w:rsidRDefault="006C2071" w:rsidP="00551FF7">
            <w:pPr>
              <w:spacing w:after="0" w:line="240" w:lineRule="auto"/>
              <w:jc w:val="center"/>
              <w:rPr>
                <w:rFonts w:ascii="Times New Roman" w:eastAsia="Calibri" w:hAnsi="Times New Roman" w:cs="Times New Roman"/>
                <w:color w:val="000000"/>
              </w:rPr>
            </w:pPr>
          </w:p>
        </w:tc>
        <w:tc>
          <w:tcPr>
            <w:tcW w:w="81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F88F5C8"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9.3</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449C21E" w14:textId="77777777" w:rsidR="006C2071" w:rsidRPr="00EF699E" w:rsidRDefault="006C2071" w:rsidP="00551FF7">
            <w:pPr>
              <w:spacing w:after="0" w:line="240" w:lineRule="auto"/>
              <w:jc w:val="center"/>
              <w:rPr>
                <w:rFonts w:ascii="Times New Roman" w:eastAsia="Calibri" w:hAnsi="Times New Roman" w:cs="Times New Roman"/>
                <w:color w:val="000000"/>
              </w:rPr>
            </w:pPr>
            <w:r w:rsidRPr="00EF699E">
              <w:rPr>
                <w:rFonts w:ascii="Times New Roman" w:eastAsia="Calibri" w:hAnsi="Times New Roman" w:cs="Times New Roman"/>
                <w:color w:val="000000"/>
              </w:rPr>
              <w:t>0.</w:t>
            </w:r>
            <w:r w:rsidR="002047F9" w:rsidRPr="00EF699E">
              <w:rPr>
                <w:rFonts w:ascii="Times New Roman" w:eastAsia="Calibri" w:hAnsi="Times New Roman" w:cs="Times New Roman"/>
                <w:color w:val="000000"/>
              </w:rPr>
              <w:t>69</w:t>
            </w:r>
            <w:r w:rsidRPr="00EF699E">
              <w:rPr>
                <w:rFonts w:ascii="Times New Roman" w:eastAsia="Calibri" w:hAnsi="Times New Roman" w:cs="Times New Roman"/>
                <w:color w:val="000000"/>
              </w:rPr>
              <w:t xml:space="preserve"> (0.</w:t>
            </w:r>
            <w:r w:rsidR="002047F9" w:rsidRPr="00EF699E">
              <w:rPr>
                <w:rFonts w:ascii="Times New Roman" w:eastAsia="Calibri" w:hAnsi="Times New Roman" w:cs="Times New Roman"/>
                <w:color w:val="000000"/>
              </w:rPr>
              <w:t>47</w:t>
            </w:r>
            <w:r w:rsidRPr="00EF699E">
              <w:rPr>
                <w:rFonts w:ascii="Times New Roman" w:eastAsia="Calibri" w:hAnsi="Times New Roman" w:cs="Times New Roman"/>
                <w:color w:val="000000"/>
              </w:rPr>
              <w:t>–1.0)</w:t>
            </w:r>
          </w:p>
        </w:tc>
      </w:tr>
    </w:tbl>
    <w:p w14:paraId="0BE167F5" w14:textId="77777777" w:rsidR="006C2071" w:rsidRPr="00640491" w:rsidRDefault="006C2071" w:rsidP="00551FF7">
      <w:pPr>
        <w:pStyle w:val="NoSpacing"/>
        <w:rPr>
          <w:rFonts w:ascii="Times New Roman" w:hAnsi="Times New Roman" w:cs="Times New Roman"/>
          <w:sz w:val="20"/>
          <w:szCs w:val="20"/>
        </w:rPr>
      </w:pPr>
      <w:proofErr w:type="spellStart"/>
      <w:r w:rsidRPr="00640491">
        <w:rPr>
          <w:rFonts w:ascii="Times New Roman" w:hAnsi="Times New Roman" w:cs="Times New Roman"/>
          <w:sz w:val="20"/>
          <w:szCs w:val="20"/>
          <w:vertAlign w:val="superscript"/>
        </w:rPr>
        <w:t>a</w:t>
      </w:r>
      <w:r w:rsidRPr="00640491">
        <w:rPr>
          <w:rFonts w:ascii="Times New Roman" w:hAnsi="Times New Roman" w:cs="Times New Roman"/>
          <w:sz w:val="20"/>
          <w:szCs w:val="20"/>
        </w:rPr>
        <w:t>Two</w:t>
      </w:r>
      <w:proofErr w:type="spellEnd"/>
      <w:r w:rsidRPr="00640491">
        <w:rPr>
          <w:rFonts w:ascii="Times New Roman" w:hAnsi="Times New Roman" w:cs="Times New Roman"/>
          <w:sz w:val="20"/>
          <w:szCs w:val="20"/>
        </w:rPr>
        <w:t xml:space="preserve">-sided Student’s T-test of positive and negative </w:t>
      </w:r>
      <w:proofErr w:type="spellStart"/>
      <w:r w:rsidRPr="00640491">
        <w:rPr>
          <w:rFonts w:ascii="Times New Roman" w:hAnsi="Times New Roman" w:cs="Times New Roman"/>
          <w:sz w:val="20"/>
          <w:szCs w:val="20"/>
        </w:rPr>
        <w:t>Ct</w:t>
      </w:r>
      <w:r w:rsidRPr="00640491">
        <w:rPr>
          <w:rFonts w:ascii="Times New Roman" w:hAnsi="Times New Roman" w:cs="Times New Roman"/>
          <w:sz w:val="20"/>
          <w:szCs w:val="20"/>
          <w:vertAlign w:val="subscript"/>
        </w:rPr>
        <w:t>mean</w:t>
      </w:r>
      <w:proofErr w:type="spellEnd"/>
      <w:r w:rsidRPr="00640491">
        <w:rPr>
          <w:rFonts w:ascii="Times New Roman" w:hAnsi="Times New Roman" w:cs="Times New Roman"/>
          <w:sz w:val="20"/>
          <w:szCs w:val="20"/>
          <w:vertAlign w:val="subscript"/>
        </w:rPr>
        <w:t xml:space="preserve"> </w:t>
      </w:r>
      <w:r w:rsidRPr="00640491">
        <w:rPr>
          <w:rFonts w:ascii="Times New Roman" w:hAnsi="Times New Roman" w:cs="Times New Roman"/>
          <w:sz w:val="20"/>
          <w:szCs w:val="20"/>
        </w:rPr>
        <w:t>within each category (total, asymptomatic, and symptomatic persons)</w:t>
      </w:r>
    </w:p>
    <w:p w14:paraId="615DE609" w14:textId="77777777" w:rsidR="006C2071" w:rsidRPr="00640491" w:rsidRDefault="006C2071" w:rsidP="00551FF7">
      <w:pPr>
        <w:pStyle w:val="NoSpacing"/>
        <w:rPr>
          <w:rFonts w:ascii="Times New Roman" w:hAnsi="Times New Roman" w:cs="Times New Roman"/>
          <w:sz w:val="20"/>
          <w:szCs w:val="20"/>
        </w:rPr>
      </w:pPr>
      <w:proofErr w:type="spellStart"/>
      <w:r w:rsidRPr="00640491">
        <w:rPr>
          <w:rFonts w:ascii="Times New Roman" w:hAnsi="Times New Roman" w:cs="Times New Roman"/>
          <w:sz w:val="20"/>
          <w:szCs w:val="20"/>
          <w:vertAlign w:val="superscript"/>
        </w:rPr>
        <w:t>b</w:t>
      </w:r>
      <w:r w:rsidRPr="00640491">
        <w:rPr>
          <w:rFonts w:ascii="Times New Roman" w:hAnsi="Times New Roman" w:cs="Times New Roman"/>
          <w:sz w:val="20"/>
          <w:szCs w:val="20"/>
        </w:rPr>
        <w:t>IQR</w:t>
      </w:r>
      <w:proofErr w:type="spellEnd"/>
      <w:r w:rsidRPr="00640491">
        <w:rPr>
          <w:rFonts w:ascii="Times New Roman" w:hAnsi="Times New Roman" w:cs="Times New Roman"/>
          <w:sz w:val="20"/>
          <w:szCs w:val="20"/>
        </w:rPr>
        <w:t xml:space="preserve"> = Interquartile Range of Ct values</w:t>
      </w:r>
    </w:p>
    <w:p w14:paraId="6A4EE4C6" w14:textId="748459ED" w:rsidR="006C2071" w:rsidRPr="00640491" w:rsidRDefault="006C2071" w:rsidP="00551FF7">
      <w:pPr>
        <w:pStyle w:val="NoSpacing"/>
        <w:rPr>
          <w:rFonts w:ascii="Times New Roman" w:hAnsi="Times New Roman" w:cs="Times New Roman"/>
          <w:sz w:val="20"/>
          <w:szCs w:val="20"/>
        </w:rPr>
      </w:pPr>
      <w:proofErr w:type="spellStart"/>
      <w:r w:rsidRPr="00640491">
        <w:rPr>
          <w:rFonts w:ascii="Times New Roman" w:hAnsi="Times New Roman" w:cs="Times New Roman"/>
          <w:sz w:val="20"/>
          <w:szCs w:val="20"/>
          <w:vertAlign w:val="superscript"/>
        </w:rPr>
        <w:t>c</w:t>
      </w:r>
      <w:r w:rsidRPr="00640491">
        <w:rPr>
          <w:rFonts w:ascii="Times New Roman" w:hAnsi="Times New Roman" w:cs="Times New Roman"/>
          <w:sz w:val="20"/>
          <w:szCs w:val="20"/>
        </w:rPr>
        <w:t>OR</w:t>
      </w:r>
      <w:proofErr w:type="spellEnd"/>
      <w:r w:rsidRPr="00640491">
        <w:rPr>
          <w:rFonts w:ascii="Times New Roman" w:hAnsi="Times New Roman" w:cs="Times New Roman"/>
          <w:sz w:val="20"/>
          <w:szCs w:val="20"/>
        </w:rPr>
        <w:t>=Odds Ratio; CI=Confidence Interval; Univariate logistic regression of individual Ct values compared to BinaxNOW COVID-19 antigen card test result.</w:t>
      </w:r>
    </w:p>
    <w:p w14:paraId="6FAB6348" w14:textId="2E481D9F" w:rsidR="00FE72C8" w:rsidRPr="007B662E" w:rsidRDefault="007B662E" w:rsidP="00551FF7">
      <w:pPr>
        <w:spacing w:line="240" w:lineRule="auto"/>
        <w:rPr>
          <w:rFonts w:ascii="Times New Roman" w:hAnsi="Times New Roman" w:cs="Times New Roman"/>
          <w:sz w:val="20"/>
          <w:szCs w:val="20"/>
        </w:rPr>
      </w:pPr>
      <w:proofErr w:type="spellStart"/>
      <w:r w:rsidRPr="00EF699E">
        <w:rPr>
          <w:rFonts w:ascii="Times New Roman" w:hAnsi="Times New Roman" w:cs="Times New Roman"/>
          <w:sz w:val="20"/>
          <w:szCs w:val="20"/>
          <w:vertAlign w:val="superscript"/>
        </w:rPr>
        <w:t>d</w:t>
      </w:r>
      <w:r w:rsidR="005F7875">
        <w:rPr>
          <w:rFonts w:ascii="Times New Roman" w:hAnsi="Times New Roman" w:cs="Times New Roman"/>
          <w:sz w:val="20"/>
          <w:szCs w:val="20"/>
        </w:rPr>
        <w:t>Eight</w:t>
      </w:r>
      <w:proofErr w:type="spellEnd"/>
      <w:r w:rsidRPr="00EF699E">
        <w:rPr>
          <w:rFonts w:ascii="Times New Roman" w:hAnsi="Times New Roman" w:cs="Times New Roman"/>
          <w:sz w:val="20"/>
          <w:szCs w:val="20"/>
        </w:rPr>
        <w:t xml:space="preserve"> asymptomatic employees who received a positive </w:t>
      </w:r>
      <w:proofErr w:type="spellStart"/>
      <w:r w:rsidRPr="00EF699E">
        <w:rPr>
          <w:rFonts w:ascii="Times New Roman" w:hAnsi="Times New Roman" w:cs="Times New Roman"/>
          <w:sz w:val="20"/>
          <w:szCs w:val="20"/>
        </w:rPr>
        <w:t>rRT</w:t>
      </w:r>
      <w:proofErr w:type="spellEnd"/>
      <w:r w:rsidRPr="00EF699E">
        <w:rPr>
          <w:rFonts w:ascii="Times New Roman" w:hAnsi="Times New Roman" w:cs="Times New Roman"/>
          <w:sz w:val="20"/>
          <w:szCs w:val="20"/>
        </w:rPr>
        <w:t>-PCR test</w:t>
      </w:r>
      <w:r w:rsidR="00F62BCC">
        <w:rPr>
          <w:rFonts w:ascii="Times New Roman" w:hAnsi="Times New Roman" w:cs="Times New Roman"/>
          <w:sz w:val="20"/>
          <w:szCs w:val="20"/>
        </w:rPr>
        <w:t xml:space="preserve"> </w:t>
      </w:r>
      <w:r w:rsidR="005F7875">
        <w:rPr>
          <w:rFonts w:ascii="Times New Roman" w:hAnsi="Times New Roman" w:cs="Times New Roman"/>
          <w:sz w:val="20"/>
          <w:szCs w:val="20"/>
        </w:rPr>
        <w:t xml:space="preserve">were excluded from these analyses because </w:t>
      </w:r>
      <w:r w:rsidR="005F7875" w:rsidRPr="00EF699E">
        <w:rPr>
          <w:rFonts w:ascii="Times New Roman" w:hAnsi="Times New Roman" w:cs="Times New Roman"/>
          <w:sz w:val="20"/>
          <w:szCs w:val="20"/>
        </w:rPr>
        <w:t xml:space="preserve">Ct values </w:t>
      </w:r>
      <w:r w:rsidR="005F7875">
        <w:rPr>
          <w:rFonts w:ascii="Times New Roman" w:hAnsi="Times New Roman" w:cs="Times New Roman"/>
          <w:sz w:val="20"/>
          <w:szCs w:val="20"/>
        </w:rPr>
        <w:t xml:space="preserve">for the N target </w:t>
      </w:r>
      <w:r w:rsidR="005F7875" w:rsidRPr="00EF699E">
        <w:rPr>
          <w:rFonts w:ascii="Times New Roman" w:hAnsi="Times New Roman" w:cs="Times New Roman"/>
          <w:sz w:val="20"/>
          <w:szCs w:val="20"/>
        </w:rPr>
        <w:t>were missing</w:t>
      </w:r>
      <w:r w:rsidR="00F62BCC">
        <w:rPr>
          <w:rFonts w:ascii="Times New Roman" w:hAnsi="Times New Roman" w:cs="Times New Roman"/>
          <w:sz w:val="20"/>
          <w:szCs w:val="20"/>
        </w:rPr>
        <w:t xml:space="preserve">; Orf1 target amplification </w:t>
      </w:r>
      <w:r w:rsidR="005F7875">
        <w:rPr>
          <w:rFonts w:ascii="Times New Roman" w:hAnsi="Times New Roman" w:cs="Times New Roman"/>
          <w:sz w:val="20"/>
          <w:szCs w:val="20"/>
        </w:rPr>
        <w:t>resulted</w:t>
      </w:r>
      <w:bookmarkStart w:id="0" w:name="_GoBack"/>
      <w:bookmarkEnd w:id="0"/>
      <w:r w:rsidR="005F7875">
        <w:rPr>
          <w:rFonts w:ascii="Times New Roman" w:hAnsi="Times New Roman" w:cs="Times New Roman"/>
          <w:sz w:val="20"/>
          <w:szCs w:val="20"/>
        </w:rPr>
        <w:t xml:space="preserve"> in a positive test for all 8 specimens</w:t>
      </w:r>
      <w:r w:rsidR="00F62BCC">
        <w:rPr>
          <w:rFonts w:ascii="Times New Roman" w:hAnsi="Times New Roman" w:cs="Times New Roman"/>
          <w:sz w:val="20"/>
          <w:szCs w:val="20"/>
        </w:rPr>
        <w:t>.</w:t>
      </w:r>
    </w:p>
    <w:sectPr w:rsidR="00FE72C8" w:rsidRPr="007B66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238F" w14:textId="77777777" w:rsidR="00CB7557" w:rsidRDefault="00CB7557" w:rsidP="006C2071">
      <w:pPr>
        <w:spacing w:after="0" w:line="240" w:lineRule="auto"/>
      </w:pPr>
      <w:r>
        <w:separator/>
      </w:r>
    </w:p>
  </w:endnote>
  <w:endnote w:type="continuationSeparator" w:id="0">
    <w:p w14:paraId="283BD11A" w14:textId="77777777" w:rsidR="00CB7557" w:rsidRDefault="00CB7557" w:rsidP="006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B6E6" w14:textId="77777777" w:rsidR="00813832" w:rsidRDefault="0081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18773"/>
      <w:docPartObj>
        <w:docPartGallery w:val="Page Numbers (Bottom of Page)"/>
        <w:docPartUnique/>
      </w:docPartObj>
    </w:sdtPr>
    <w:sdtEndPr>
      <w:rPr>
        <w:noProof/>
      </w:rPr>
    </w:sdtEndPr>
    <w:sdtContent>
      <w:p w14:paraId="4379DF9F" w14:textId="77777777" w:rsidR="006C2071" w:rsidRDefault="006C2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4A5BD" w14:textId="77777777" w:rsidR="006C2071" w:rsidRDefault="006C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75EC" w14:textId="77777777" w:rsidR="00813832" w:rsidRDefault="0081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8BDD" w14:textId="77777777" w:rsidR="00CB7557" w:rsidRDefault="00CB7557" w:rsidP="006C2071">
      <w:pPr>
        <w:spacing w:after="0" w:line="240" w:lineRule="auto"/>
      </w:pPr>
      <w:r>
        <w:separator/>
      </w:r>
    </w:p>
  </w:footnote>
  <w:footnote w:type="continuationSeparator" w:id="0">
    <w:p w14:paraId="31C78CB7" w14:textId="77777777" w:rsidR="00CB7557" w:rsidRDefault="00CB7557" w:rsidP="006C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761F" w14:textId="77777777" w:rsidR="00813832" w:rsidRDefault="0081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AB84" w14:textId="77777777" w:rsidR="00813832" w:rsidRDefault="00813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EDA5" w14:textId="77777777" w:rsidR="00813832" w:rsidRDefault="0081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71"/>
    <w:rsid w:val="00066B43"/>
    <w:rsid w:val="001469B7"/>
    <w:rsid w:val="00154E89"/>
    <w:rsid w:val="002047F9"/>
    <w:rsid w:val="002A1F7A"/>
    <w:rsid w:val="002E3E38"/>
    <w:rsid w:val="00363D41"/>
    <w:rsid w:val="004C37B1"/>
    <w:rsid w:val="00551FF7"/>
    <w:rsid w:val="005F7875"/>
    <w:rsid w:val="00640491"/>
    <w:rsid w:val="006C2071"/>
    <w:rsid w:val="007926B3"/>
    <w:rsid w:val="007B662E"/>
    <w:rsid w:val="00813832"/>
    <w:rsid w:val="00B47385"/>
    <w:rsid w:val="00BF0CC3"/>
    <w:rsid w:val="00C438BA"/>
    <w:rsid w:val="00CB7557"/>
    <w:rsid w:val="00EF699E"/>
    <w:rsid w:val="00F21AB8"/>
    <w:rsid w:val="00F62BCC"/>
    <w:rsid w:val="00FD517D"/>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9FCD0"/>
  <w15:chartTrackingRefBased/>
  <w15:docId w15:val="{8F7EF41F-0BB7-4A0A-A36A-3A256857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71"/>
  </w:style>
  <w:style w:type="paragraph" w:styleId="Heading1">
    <w:name w:val="heading 1"/>
    <w:basedOn w:val="Normal"/>
    <w:next w:val="Normal"/>
    <w:link w:val="Heading1Char"/>
    <w:uiPriority w:val="9"/>
    <w:qFormat/>
    <w:rsid w:val="006C20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2071"/>
    <w:pPr>
      <w:spacing w:after="0" w:line="240" w:lineRule="auto"/>
    </w:pPr>
  </w:style>
  <w:style w:type="character" w:customStyle="1" w:styleId="NoSpacingChar">
    <w:name w:val="No Spacing Char"/>
    <w:basedOn w:val="DefaultParagraphFont"/>
    <w:link w:val="NoSpacing"/>
    <w:uiPriority w:val="1"/>
    <w:rsid w:val="006C2071"/>
  </w:style>
  <w:style w:type="paragraph" w:styleId="Header">
    <w:name w:val="header"/>
    <w:basedOn w:val="Normal"/>
    <w:link w:val="HeaderChar"/>
    <w:uiPriority w:val="99"/>
    <w:unhideWhenUsed/>
    <w:rsid w:val="006C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71"/>
  </w:style>
  <w:style w:type="paragraph" w:styleId="Footer">
    <w:name w:val="footer"/>
    <w:basedOn w:val="Normal"/>
    <w:link w:val="FooterChar"/>
    <w:uiPriority w:val="99"/>
    <w:unhideWhenUsed/>
    <w:rsid w:val="006C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71"/>
  </w:style>
  <w:style w:type="character" w:customStyle="1" w:styleId="Heading1Char">
    <w:name w:val="Heading 1 Char"/>
    <w:basedOn w:val="DefaultParagraphFont"/>
    <w:link w:val="Heading1"/>
    <w:uiPriority w:val="9"/>
    <w:rsid w:val="006C20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2071"/>
    <w:pPr>
      <w:outlineLvl w:val="9"/>
    </w:pPr>
  </w:style>
  <w:style w:type="character" w:styleId="CommentReference">
    <w:name w:val="annotation reference"/>
    <w:basedOn w:val="DefaultParagraphFont"/>
    <w:uiPriority w:val="99"/>
    <w:semiHidden/>
    <w:unhideWhenUsed/>
    <w:rsid w:val="00FF44EB"/>
    <w:rPr>
      <w:sz w:val="16"/>
      <w:szCs w:val="16"/>
    </w:rPr>
  </w:style>
  <w:style w:type="paragraph" w:styleId="CommentText">
    <w:name w:val="annotation text"/>
    <w:basedOn w:val="Normal"/>
    <w:link w:val="CommentTextChar"/>
    <w:uiPriority w:val="99"/>
    <w:semiHidden/>
    <w:unhideWhenUsed/>
    <w:rsid w:val="00FF44EB"/>
    <w:pPr>
      <w:spacing w:line="240" w:lineRule="auto"/>
    </w:pPr>
    <w:rPr>
      <w:sz w:val="20"/>
      <w:szCs w:val="20"/>
    </w:rPr>
  </w:style>
  <w:style w:type="character" w:customStyle="1" w:styleId="CommentTextChar">
    <w:name w:val="Comment Text Char"/>
    <w:basedOn w:val="DefaultParagraphFont"/>
    <w:link w:val="CommentText"/>
    <w:uiPriority w:val="99"/>
    <w:semiHidden/>
    <w:rsid w:val="00FF44EB"/>
    <w:rPr>
      <w:sz w:val="20"/>
      <w:szCs w:val="20"/>
    </w:rPr>
  </w:style>
  <w:style w:type="paragraph" w:styleId="CommentSubject">
    <w:name w:val="annotation subject"/>
    <w:basedOn w:val="CommentText"/>
    <w:next w:val="CommentText"/>
    <w:link w:val="CommentSubjectChar"/>
    <w:uiPriority w:val="99"/>
    <w:semiHidden/>
    <w:unhideWhenUsed/>
    <w:rsid w:val="00FF44EB"/>
    <w:rPr>
      <w:b/>
      <w:bCs/>
    </w:rPr>
  </w:style>
  <w:style w:type="character" w:customStyle="1" w:styleId="CommentSubjectChar">
    <w:name w:val="Comment Subject Char"/>
    <w:basedOn w:val="CommentTextChar"/>
    <w:link w:val="CommentSubject"/>
    <w:uiPriority w:val="99"/>
    <w:semiHidden/>
    <w:rsid w:val="00FF44EB"/>
    <w:rPr>
      <w:b/>
      <w:bCs/>
      <w:sz w:val="20"/>
      <w:szCs w:val="20"/>
    </w:rPr>
  </w:style>
  <w:style w:type="paragraph" w:styleId="BalloonText">
    <w:name w:val="Balloon Text"/>
    <w:basedOn w:val="Normal"/>
    <w:link w:val="BalloonTextChar"/>
    <w:uiPriority w:val="99"/>
    <w:semiHidden/>
    <w:unhideWhenUsed/>
    <w:rsid w:val="00FF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1FAD-3404-4A3E-A46C-156C42A2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James</dc:creator>
  <cp:keywords/>
  <dc:description/>
  <cp:lastModifiedBy>Allison James</cp:lastModifiedBy>
  <cp:revision>2</cp:revision>
  <dcterms:created xsi:type="dcterms:W3CDTF">2021-01-08T20:31:00Z</dcterms:created>
  <dcterms:modified xsi:type="dcterms:W3CDTF">2021-01-08T20:31:00Z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2020-11-13T17:05:19Z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c2ca7a26-0b54-49de-bf58-3c682c6db67d</vt:lpwstr>
  </property>
  <property fmtid="{D5CDD505-2E9C-101B-9397-08002B2CF9AE}" pid="8" name="MSIP_Label_8af03ff0-41c5-4c41-b55e-fabb8fae94be_ContentBits">
    <vt:lpwstr>0</vt:lpwstr>
  </property>
</Properties>
</file>