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7E4" w:rsidRPr="00CB2381" w:rsidRDefault="001107E4" w:rsidP="001107E4">
      <w:pPr>
        <w:spacing w:after="160" w:line="480" w:lineRule="auto"/>
        <w:rPr>
          <w:bCs/>
        </w:rPr>
      </w:pPr>
      <w:bookmarkStart w:id="0" w:name="_GoBack"/>
      <w:bookmarkEnd w:id="0"/>
      <w:r w:rsidRPr="00EF1AB8">
        <w:rPr>
          <w:b/>
        </w:rPr>
        <w:t>Supplemental Table 1.</w:t>
      </w:r>
      <w:r>
        <w:rPr>
          <w:b/>
        </w:rPr>
        <w:t xml:space="preserve"> </w:t>
      </w:r>
      <w:r>
        <w:rPr>
          <w:bCs/>
        </w:rPr>
        <w:t>Clinical characteristics of patients with and without radiographic keywords in chest imaging interpretations.</w:t>
      </w:r>
    </w:p>
    <w:tbl>
      <w:tblPr>
        <w:tblW w:w="954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0"/>
        <w:gridCol w:w="1980"/>
        <w:gridCol w:w="1890"/>
        <w:gridCol w:w="1170"/>
      </w:tblGrid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B2381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B2381">
              <w:rPr>
                <w:b/>
                <w:bCs/>
                <w:color w:val="000000"/>
              </w:rPr>
              <w:t>Keyword positive (N=640)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B2381">
              <w:rPr>
                <w:b/>
                <w:bCs/>
                <w:color w:val="000000"/>
              </w:rPr>
              <w:t>Keyword negative (N=65)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B2381">
              <w:rPr>
                <w:b/>
                <w:bCs/>
                <w:color w:val="000000"/>
              </w:rPr>
              <w:t>p-value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Mean age, years (SD)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55.7 (17.3)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57.9 (15.9)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0.33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Male Gender,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431 (67.3)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39 (60.0)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0.27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CB2381">
              <w:rPr>
                <w:color w:val="000000"/>
              </w:rPr>
              <w:t>Charlson</w:t>
            </w:r>
            <w:proofErr w:type="spellEnd"/>
            <w:r w:rsidRPr="00CB2381">
              <w:rPr>
                <w:color w:val="000000"/>
              </w:rPr>
              <w:t xml:space="preserve"> Comorbidity Index score, mean (SD)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6.75 (4.33)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4.86 (3.70)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&lt;0.01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Chronic Pulmonary Disease,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305 (47.7)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33 (50.8)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0.7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Congestive Heart Failure,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267 (37.9)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19 (29.2)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0.06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Chronic Renal Disease,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248 (38.8)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23 (35.4)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0.69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Paraplegia,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120 (18.8)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6 (9.2)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0.06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Malignancy,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172 (24.4)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12 (18.5)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0.18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Chronic Liver Disease,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56 (8.8)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7 (10.8)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0.64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Cerebrovascular Disease,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241 (37.7)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21 (32.3)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0.42</w:t>
            </w:r>
          </w:p>
        </w:tc>
      </w:tr>
      <w:tr w:rsidR="001107E4" w:rsidRPr="00CB2381" w:rsidTr="00426AF8">
        <w:trPr>
          <w:trHeight w:val="28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Diabetes Mellitus with complication, N (%)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38 (5.9)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2 (3.1)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07E4" w:rsidRPr="00CB2381" w:rsidRDefault="001107E4" w:rsidP="00426AF8">
            <w:pPr>
              <w:spacing w:line="480" w:lineRule="auto"/>
              <w:jc w:val="center"/>
              <w:rPr>
                <w:color w:val="000000"/>
              </w:rPr>
            </w:pPr>
            <w:r w:rsidRPr="00CB2381">
              <w:rPr>
                <w:color w:val="000000"/>
              </w:rPr>
              <w:t>0.57</w:t>
            </w:r>
          </w:p>
        </w:tc>
      </w:tr>
    </w:tbl>
    <w:p w:rsidR="001107E4" w:rsidRPr="009A3377" w:rsidRDefault="001107E4" w:rsidP="001107E4">
      <w:pPr>
        <w:spacing w:after="160" w:line="480" w:lineRule="auto"/>
      </w:pPr>
      <w:r w:rsidRPr="009A3377">
        <w:t xml:space="preserve">Supplemental Table 1: </w:t>
      </w:r>
      <w:r w:rsidRPr="009A3377">
        <w:rPr>
          <w:bCs/>
        </w:rPr>
        <w:t>Keyword positive = presence of “infection,” “pneumonia,” “consolidation,” “opacity(</w:t>
      </w:r>
      <w:proofErr w:type="spellStart"/>
      <w:r w:rsidRPr="009A3377">
        <w:rPr>
          <w:bCs/>
        </w:rPr>
        <w:t>ies</w:t>
      </w:r>
      <w:proofErr w:type="spellEnd"/>
      <w:r w:rsidRPr="009A3377">
        <w:rPr>
          <w:bCs/>
        </w:rPr>
        <w:t>),” “opacification,” “infiltrate(s),” “airspace,” assuming such words were not preceded by “no” or “no evidence of” in chest radiography interpretations within 48 hours of positive respiratory culture. Keyword negative = absence of aforementioned keywords (or presence if preceded by “no” or “no evidence of”) in chest radiography interpretations within 48 hours of positive respiratory culture.</w:t>
      </w:r>
    </w:p>
    <w:p w:rsidR="00893D9E" w:rsidRDefault="00893D9E"/>
    <w:sectPr w:rsidR="00893D9E" w:rsidSect="0030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E4"/>
    <w:rsid w:val="0000528B"/>
    <w:rsid w:val="00023116"/>
    <w:rsid w:val="000268A8"/>
    <w:rsid w:val="001107E4"/>
    <w:rsid w:val="002103C1"/>
    <w:rsid w:val="00295AE0"/>
    <w:rsid w:val="002B0368"/>
    <w:rsid w:val="002D6517"/>
    <w:rsid w:val="003052E0"/>
    <w:rsid w:val="00315E8B"/>
    <w:rsid w:val="00316821"/>
    <w:rsid w:val="00407D37"/>
    <w:rsid w:val="00527E93"/>
    <w:rsid w:val="005562E2"/>
    <w:rsid w:val="0056425E"/>
    <w:rsid w:val="0059297A"/>
    <w:rsid w:val="005E06C8"/>
    <w:rsid w:val="005F5E7A"/>
    <w:rsid w:val="006420BC"/>
    <w:rsid w:val="00686C40"/>
    <w:rsid w:val="0069077A"/>
    <w:rsid w:val="0071039B"/>
    <w:rsid w:val="00714D83"/>
    <w:rsid w:val="0075433D"/>
    <w:rsid w:val="0078769C"/>
    <w:rsid w:val="00893D9E"/>
    <w:rsid w:val="008E30EC"/>
    <w:rsid w:val="0090524E"/>
    <w:rsid w:val="00914BDD"/>
    <w:rsid w:val="00924FF0"/>
    <w:rsid w:val="00A02B04"/>
    <w:rsid w:val="00A4105F"/>
    <w:rsid w:val="00A476AF"/>
    <w:rsid w:val="00AE2CB7"/>
    <w:rsid w:val="00B3731F"/>
    <w:rsid w:val="00B44589"/>
    <w:rsid w:val="00BB2D4D"/>
    <w:rsid w:val="00BD1C7C"/>
    <w:rsid w:val="00BD4AF3"/>
    <w:rsid w:val="00C47950"/>
    <w:rsid w:val="00CA18BA"/>
    <w:rsid w:val="00CC279B"/>
    <w:rsid w:val="00D61E73"/>
    <w:rsid w:val="00D72FB3"/>
    <w:rsid w:val="00DE018D"/>
    <w:rsid w:val="00E01A86"/>
    <w:rsid w:val="00F017FF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3179CA-8D2E-F944-8C02-934AABC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7F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Albin</dc:creator>
  <cp:keywords/>
  <dc:description/>
  <cp:lastModifiedBy>Owen Albin</cp:lastModifiedBy>
  <cp:revision>1</cp:revision>
  <dcterms:created xsi:type="dcterms:W3CDTF">2020-09-15T16:47:00Z</dcterms:created>
  <dcterms:modified xsi:type="dcterms:W3CDTF">2020-09-15T16:47:00Z</dcterms:modified>
</cp:coreProperties>
</file>