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269" w:rsidRPr="00673E4D" w:rsidRDefault="00BD5A04" w:rsidP="00606269">
      <w:pPr>
        <w:spacing w:line="240" w:lineRule="auto"/>
        <w:contextualSpacing/>
        <w:rPr>
          <w:rFonts w:ascii="Arial" w:hAnsi="Arial" w:cs="Arial"/>
          <w:b/>
          <w:bCs/>
        </w:rPr>
      </w:pPr>
      <w:bookmarkStart w:id="0" w:name="_Hlk51051884"/>
      <w:r w:rsidRPr="00673E4D">
        <w:rPr>
          <w:rFonts w:ascii="Arial" w:hAnsi="Arial" w:cs="Arial"/>
          <w:b/>
          <w:bCs/>
        </w:rPr>
        <w:t xml:space="preserve">Supplemental Table 2. </w:t>
      </w:r>
      <w:r w:rsidR="00606269" w:rsidRPr="00673E4D">
        <w:rPr>
          <w:rFonts w:ascii="Arial" w:hAnsi="Arial" w:cs="Arial"/>
          <w:b/>
          <w:bCs/>
        </w:rPr>
        <w:t xml:space="preserve">Frequency of antibiotic-prescribing for patient-visits in EDs and UCCs based on tier of diagnosis, stratified by clinician </w:t>
      </w:r>
      <w:r w:rsidR="002D1CEC" w:rsidRPr="00673E4D">
        <w:rPr>
          <w:rFonts w:ascii="Arial" w:hAnsi="Arial" w:cs="Arial"/>
          <w:b/>
          <w:bCs/>
        </w:rPr>
        <w:t>type and location</w:t>
      </w:r>
      <w:r w:rsidR="00606269" w:rsidRPr="00673E4D">
        <w:rPr>
          <w:rFonts w:ascii="Arial" w:hAnsi="Arial" w:cs="Arial"/>
          <w:b/>
          <w:bCs/>
        </w:rPr>
        <w:t xml:space="preserve"> (2016-2018)</w:t>
      </w:r>
      <w:r w:rsidR="009A5170" w:rsidRPr="00673E4D">
        <w:rPr>
          <w:rFonts w:ascii="Arial" w:hAnsi="Arial" w:cs="Arial"/>
          <w:vertAlign w:val="superscript"/>
        </w:rPr>
        <w:t xml:space="preserve"> 1</w:t>
      </w:r>
      <w:r w:rsidR="002D1CEC" w:rsidRPr="00673E4D">
        <w:rPr>
          <w:rFonts w:ascii="Arial" w:hAnsi="Arial" w:cs="Arial"/>
          <w:vertAlign w:val="superscript"/>
        </w:rPr>
        <w:t>,2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"/>
        <w:gridCol w:w="2858"/>
        <w:gridCol w:w="836"/>
        <w:gridCol w:w="2494"/>
        <w:gridCol w:w="1710"/>
        <w:gridCol w:w="3060"/>
      </w:tblGrid>
      <w:tr w:rsidR="008D3454" w:rsidRPr="00EA41AF" w:rsidTr="008D3454">
        <w:tc>
          <w:tcPr>
            <w:tcW w:w="1367" w:type="dxa"/>
          </w:tcPr>
          <w:p w:rsidR="008D3454" w:rsidRPr="00511D25" w:rsidRDefault="008D3454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30" w:type="dxa"/>
            <w:gridSpan w:val="2"/>
          </w:tcPr>
          <w:p w:rsidR="008D3454" w:rsidRPr="00511D25" w:rsidRDefault="008D3454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Physicians</w:t>
            </w:r>
          </w:p>
        </w:tc>
        <w:tc>
          <w:tcPr>
            <w:tcW w:w="4770" w:type="dxa"/>
            <w:gridSpan w:val="2"/>
          </w:tcPr>
          <w:p w:rsidR="008D3454" w:rsidRPr="00511D25" w:rsidRDefault="008D3454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Advanced Practice Providers</w:t>
            </w:r>
          </w:p>
        </w:tc>
      </w:tr>
      <w:tr w:rsidR="008D3454" w:rsidRPr="00EA41AF" w:rsidTr="008D3454">
        <w:tc>
          <w:tcPr>
            <w:tcW w:w="1367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2494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Median (IQR)</w:t>
            </w:r>
          </w:p>
        </w:tc>
        <w:tc>
          <w:tcPr>
            <w:tcW w:w="1710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3060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Median (IQR)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 w:val="restart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Tier 1</w:t>
            </w: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Emergency Departments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282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78.6% (70.6-84.8%)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140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82.6% (76.3-86.1%)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 xml:space="preserve">Urgent Care Centers 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67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77.5% (71.6-82.1%)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37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80.2% (75.6-85.4%)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 w:val="restart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Tier 2</w:t>
            </w: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Emergency Departments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525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44.4% (32.8-57.9%)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196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53.1% (40.8-62.6%)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 xml:space="preserve">Urgent Care Centers 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113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53.5% (41.1-62.3%)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48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56.0% (48.0-62.0%)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 w:val="restart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Tier 3 respiratory</w:t>
            </w: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Emergency Departments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192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50.0% (25.2-74.5%)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133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53.7% (32.4-69.4%)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 xml:space="preserve">Urgent Care Centers 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73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53.9% (31.6-77.6%)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37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48.5% (31.1-64.3%)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 w:val="restart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 xml:space="preserve">Tier 3 </w:t>
            </w: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non-respiratory</w:t>
            </w:r>
          </w:p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Emergency Departments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1414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tabs>
                <w:tab w:val="left" w:pos="960"/>
              </w:tabs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5.2% (3.5-7.2%)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311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6.0% (4.2-8.0%)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 xml:space="preserve">Urgent Care Centers </w:t>
            </w:r>
          </w:p>
        </w:tc>
        <w:tc>
          <w:tcPr>
            <w:tcW w:w="836" w:type="dxa"/>
          </w:tcPr>
          <w:p w:rsidR="008D3454" w:rsidRPr="00511D25" w:rsidRDefault="008D3454" w:rsidP="009A5170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251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5.5% (3.9-8.1%)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84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6.2% (4.9-8.7%)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 w:val="restart"/>
          </w:tcPr>
          <w:p w:rsidR="008D3454" w:rsidRPr="00511D25" w:rsidRDefault="008D3454" w:rsidP="003F6F52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8D3454" w:rsidRPr="00511D25" w:rsidRDefault="008D3454" w:rsidP="003F6F52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511D25">
              <w:rPr>
                <w:rFonts w:ascii="Arial" w:hAnsi="Arial" w:cs="Arial"/>
                <w:b/>
                <w:bCs/>
              </w:rPr>
              <w:t>All visits</w:t>
            </w:r>
          </w:p>
        </w:tc>
        <w:tc>
          <w:tcPr>
            <w:tcW w:w="2858" w:type="dxa"/>
          </w:tcPr>
          <w:p w:rsidR="008D3454" w:rsidRPr="00511D25" w:rsidRDefault="008D3454" w:rsidP="003F6F52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Emergency Departments</w:t>
            </w:r>
          </w:p>
        </w:tc>
        <w:tc>
          <w:tcPr>
            <w:tcW w:w="836" w:type="dxa"/>
          </w:tcPr>
          <w:p w:rsidR="008D3454" w:rsidRPr="00511D25" w:rsidRDefault="008D3454" w:rsidP="003F6F52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1502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17.1% (12.8-21.6%)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329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22.0% (15.5-26.1%)</w:t>
            </w:r>
          </w:p>
        </w:tc>
      </w:tr>
      <w:tr w:rsidR="008D3454" w:rsidRPr="00EA41AF" w:rsidTr="008D3454">
        <w:trPr>
          <w:trHeight w:val="562"/>
        </w:trPr>
        <w:tc>
          <w:tcPr>
            <w:tcW w:w="1367" w:type="dxa"/>
            <w:vMerge/>
          </w:tcPr>
          <w:p w:rsidR="008D3454" w:rsidRPr="00511D25" w:rsidRDefault="008D3454" w:rsidP="003F6F52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8" w:type="dxa"/>
          </w:tcPr>
          <w:p w:rsidR="008D3454" w:rsidRPr="00511D25" w:rsidRDefault="008D3454" w:rsidP="003F6F52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 xml:space="preserve">Urgent Care Centers </w:t>
            </w:r>
          </w:p>
        </w:tc>
        <w:tc>
          <w:tcPr>
            <w:tcW w:w="836" w:type="dxa"/>
          </w:tcPr>
          <w:p w:rsidR="008D3454" w:rsidRPr="00511D25" w:rsidRDefault="008D3454" w:rsidP="003F6F52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260</w:t>
            </w:r>
          </w:p>
        </w:tc>
        <w:tc>
          <w:tcPr>
            <w:tcW w:w="2494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20.0% (14.2-26.9%)</w:t>
            </w:r>
          </w:p>
        </w:tc>
        <w:tc>
          <w:tcPr>
            <w:tcW w:w="171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94</w:t>
            </w:r>
          </w:p>
        </w:tc>
        <w:tc>
          <w:tcPr>
            <w:tcW w:w="3060" w:type="dxa"/>
          </w:tcPr>
          <w:p w:rsidR="008D3454" w:rsidRPr="00511D25" w:rsidRDefault="008D3454" w:rsidP="00731A23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511D25">
              <w:rPr>
                <w:rFonts w:ascii="Arial" w:hAnsi="Arial" w:cs="Arial"/>
              </w:rPr>
              <w:t>24.3% (19.1-29.3%)</w:t>
            </w:r>
          </w:p>
        </w:tc>
      </w:tr>
    </w:tbl>
    <w:p w:rsidR="00606269" w:rsidRPr="00BD5A04" w:rsidRDefault="00606269" w:rsidP="00606269">
      <w:pPr>
        <w:spacing w:line="240" w:lineRule="auto"/>
        <w:contextualSpacing/>
        <w:rPr>
          <w:rFonts w:ascii="Arial" w:hAnsi="Arial" w:cs="Arial"/>
        </w:rPr>
      </w:pPr>
      <w:r w:rsidRPr="00BD5A04">
        <w:rPr>
          <w:rFonts w:ascii="Arial" w:hAnsi="Arial" w:cs="Arial"/>
        </w:rPr>
        <w:t>Abbreviations:</w:t>
      </w:r>
      <w:r w:rsidR="005C7A9E" w:rsidRPr="00BD5A04">
        <w:rPr>
          <w:rFonts w:ascii="Arial" w:hAnsi="Arial" w:cs="Arial"/>
        </w:rPr>
        <w:t xml:space="preserve"> ED Emergency Department;</w:t>
      </w:r>
      <w:r w:rsidRPr="00BD5A04">
        <w:rPr>
          <w:rFonts w:ascii="Arial" w:hAnsi="Arial" w:cs="Arial"/>
        </w:rPr>
        <w:t xml:space="preserve"> IQR interquartile range</w:t>
      </w:r>
      <w:r w:rsidR="005C7A9E" w:rsidRPr="00BD5A04">
        <w:rPr>
          <w:rFonts w:ascii="Arial" w:hAnsi="Arial" w:cs="Arial"/>
        </w:rPr>
        <w:t>; UCC Urgent Care Center</w:t>
      </w:r>
    </w:p>
    <w:p w:rsidR="00606269" w:rsidRPr="00BD5A04" w:rsidRDefault="00606269" w:rsidP="00606269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D5A04">
        <w:rPr>
          <w:rFonts w:ascii="Arial" w:hAnsi="Arial" w:cs="Arial"/>
          <w:sz w:val="22"/>
          <w:szCs w:val="22"/>
        </w:rPr>
        <w:t>Tier 1 diagnoses included conditions in which antibiotics are almost always indicated (i.e. appropriate). Tier 2 diagnoses include conditions in which antibiotics are sometimes indicated (i.e. potentially appropriate). Tier 3 diagnoses includes conditions in which antibiotics are almost never indicated (i.e. inappropriate). Specific diagnoses within each tier are shown in Supplemental Table 1.</w:t>
      </w:r>
    </w:p>
    <w:p w:rsidR="00606269" w:rsidRDefault="00606269" w:rsidP="00606269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D5A04">
        <w:rPr>
          <w:rFonts w:ascii="Arial" w:hAnsi="Arial" w:cs="Arial"/>
          <w:sz w:val="22"/>
          <w:szCs w:val="22"/>
        </w:rPr>
        <w:t>Only clinicians with ≥ 100 visits within the specified tier were included.</w:t>
      </w:r>
    </w:p>
    <w:p w:rsidR="00BD5A04" w:rsidRPr="00BD5A04" w:rsidRDefault="00BD5A04" w:rsidP="00BD5A04">
      <w:pPr>
        <w:pStyle w:val="ListParagraph"/>
        <w:rPr>
          <w:rFonts w:ascii="Arial" w:hAnsi="Arial" w:cs="Arial"/>
          <w:sz w:val="22"/>
          <w:szCs w:val="22"/>
        </w:rPr>
      </w:pPr>
    </w:p>
    <w:p w:rsidR="005C7A9E" w:rsidRPr="00673E4D" w:rsidRDefault="00BD5A04" w:rsidP="005C7A9E">
      <w:pPr>
        <w:spacing w:line="240" w:lineRule="auto"/>
        <w:contextualSpacing/>
        <w:rPr>
          <w:rFonts w:ascii="Arial" w:hAnsi="Arial" w:cs="Arial"/>
          <w:b/>
          <w:bCs/>
        </w:rPr>
      </w:pPr>
      <w:r w:rsidRPr="00673E4D">
        <w:rPr>
          <w:rFonts w:ascii="Arial" w:hAnsi="Arial" w:cs="Arial"/>
          <w:b/>
          <w:bCs/>
        </w:rPr>
        <w:lastRenderedPageBreak/>
        <w:t xml:space="preserve">Supplemental Table 3. </w:t>
      </w:r>
      <w:r w:rsidR="005C7A9E" w:rsidRPr="00673E4D">
        <w:rPr>
          <w:rFonts w:ascii="Arial" w:hAnsi="Arial" w:cs="Arial"/>
          <w:b/>
          <w:bCs/>
        </w:rPr>
        <w:t>Frequency of antibiotic-prescribing for patient-visits in EDs and UCCs based on tier of diagnosis, stratified by US Census Region (2016-2018)</w:t>
      </w:r>
      <w:r w:rsidR="005C7A9E" w:rsidRPr="00673E4D">
        <w:rPr>
          <w:rFonts w:ascii="Arial" w:hAnsi="Arial" w:cs="Arial"/>
          <w:vertAlign w:val="superscript"/>
        </w:rPr>
        <w:t xml:space="preserve"> 1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6"/>
        <w:gridCol w:w="1864"/>
        <w:gridCol w:w="2134"/>
        <w:gridCol w:w="2355"/>
        <w:gridCol w:w="2406"/>
        <w:gridCol w:w="2335"/>
      </w:tblGrid>
      <w:tr w:rsidR="002D1CEC" w:rsidRPr="00606269" w:rsidTr="002D1CEC">
        <w:tc>
          <w:tcPr>
            <w:tcW w:w="3720" w:type="dxa"/>
            <w:gridSpan w:val="2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Northeast (1)</w:t>
            </w:r>
          </w:p>
        </w:tc>
        <w:tc>
          <w:tcPr>
            <w:tcW w:w="2355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Midwest (2)</w:t>
            </w:r>
          </w:p>
        </w:tc>
        <w:tc>
          <w:tcPr>
            <w:tcW w:w="2406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South (3)</w:t>
            </w:r>
          </w:p>
        </w:tc>
        <w:tc>
          <w:tcPr>
            <w:tcW w:w="2335" w:type="dxa"/>
          </w:tcPr>
          <w:p w:rsidR="002D1CEC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West (4)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 w:val="restart"/>
          </w:tcPr>
          <w:p w:rsidR="002D1CEC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Tier 1</w:t>
            </w: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13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29,314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49,200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87,871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52,739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13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65.5%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78.7%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72.2%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77.4%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 w:val="restart"/>
          </w:tcPr>
          <w:p w:rsidR="002D1CEC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Tier 2</w:t>
            </w: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13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53,517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94,451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158,639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80,667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134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41.4%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51.7%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49.2%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46.5%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 w:val="restart"/>
          </w:tcPr>
          <w:p w:rsidR="002D1CEC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 xml:space="preserve">Tier 3 </w:t>
            </w: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respiratory</w:t>
            </w: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13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27,097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46,691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84,090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39,918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134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44.0%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50.4%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51.3%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47.8%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 w:val="restart"/>
          </w:tcPr>
          <w:p w:rsidR="002D1CEC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Tier 3</w:t>
            </w: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non-respiratory</w:t>
            </w: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13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306,596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537,291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995,301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538,212</w:t>
            </w:r>
          </w:p>
        </w:tc>
      </w:tr>
      <w:tr w:rsidR="002D1CEC" w:rsidRPr="00606269" w:rsidTr="002D1CEC">
        <w:trPr>
          <w:trHeight w:val="240"/>
        </w:trPr>
        <w:tc>
          <w:tcPr>
            <w:tcW w:w="1856" w:type="dxa"/>
            <w:vMerge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134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5.8%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7.3%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6.8%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6.9%</w:t>
            </w:r>
          </w:p>
        </w:tc>
      </w:tr>
      <w:tr w:rsidR="002D1CEC" w:rsidRPr="00606269" w:rsidTr="002D1CEC">
        <w:trPr>
          <w:trHeight w:val="386"/>
        </w:trPr>
        <w:tc>
          <w:tcPr>
            <w:tcW w:w="1856" w:type="dxa"/>
            <w:vMerge w:val="restart"/>
          </w:tcPr>
          <w:p w:rsidR="002D1CEC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Total</w:t>
            </w:r>
            <w:r w:rsidR="0005018B" w:rsidRPr="0005018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visits</w:t>
            </w:r>
          </w:p>
        </w:tc>
        <w:tc>
          <w:tcPr>
            <w:tcW w:w="213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416,</w:t>
            </w:r>
            <w:r w:rsidR="0005018B">
              <w:rPr>
                <w:rFonts w:ascii="Arial" w:hAnsi="Arial" w:cs="Arial"/>
              </w:rPr>
              <w:t>678</w:t>
            </w:r>
          </w:p>
        </w:tc>
        <w:tc>
          <w:tcPr>
            <w:tcW w:w="2355" w:type="dxa"/>
          </w:tcPr>
          <w:p w:rsidR="002D1CEC" w:rsidRPr="00606269" w:rsidRDefault="0005018B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728,057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1,32</w:t>
            </w:r>
            <w:r w:rsidR="0005018B">
              <w:rPr>
                <w:rFonts w:ascii="Arial" w:hAnsi="Arial" w:cs="Arial"/>
              </w:rPr>
              <w:t>6,408</w:t>
            </w:r>
          </w:p>
        </w:tc>
        <w:tc>
          <w:tcPr>
            <w:tcW w:w="2335" w:type="dxa"/>
          </w:tcPr>
          <w:p w:rsidR="002D1CEC" w:rsidRPr="00606269" w:rsidRDefault="0005018B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711,783</w:t>
            </w:r>
          </w:p>
        </w:tc>
      </w:tr>
      <w:tr w:rsidR="002D1CEC" w:rsidRPr="00606269" w:rsidTr="002D1CEC">
        <w:trPr>
          <w:trHeight w:val="220"/>
        </w:trPr>
        <w:tc>
          <w:tcPr>
            <w:tcW w:w="1856" w:type="dxa"/>
            <w:vMerge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4" w:type="dxa"/>
          </w:tcPr>
          <w:p w:rsidR="002D1CEC" w:rsidRPr="00606269" w:rsidRDefault="002D1CEC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134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17.1%</w:t>
            </w:r>
          </w:p>
        </w:tc>
        <w:tc>
          <w:tcPr>
            <w:tcW w:w="235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20.6%</w:t>
            </w:r>
          </w:p>
        </w:tc>
        <w:tc>
          <w:tcPr>
            <w:tcW w:w="2406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19.1%</w:t>
            </w:r>
          </w:p>
        </w:tc>
        <w:tc>
          <w:tcPr>
            <w:tcW w:w="2335" w:type="dxa"/>
          </w:tcPr>
          <w:p w:rsidR="002D1CEC" w:rsidRPr="00606269" w:rsidRDefault="005C7A9E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18.9%</w:t>
            </w:r>
          </w:p>
        </w:tc>
      </w:tr>
    </w:tbl>
    <w:p w:rsidR="005C7A9E" w:rsidRPr="0005018B" w:rsidRDefault="005C7A9E" w:rsidP="005C7A9E">
      <w:pPr>
        <w:spacing w:line="240" w:lineRule="auto"/>
        <w:contextualSpacing/>
        <w:rPr>
          <w:rFonts w:ascii="Arial" w:hAnsi="Arial" w:cs="Arial"/>
        </w:rPr>
      </w:pPr>
      <w:r w:rsidRPr="0005018B">
        <w:rPr>
          <w:rFonts w:ascii="Arial" w:hAnsi="Arial" w:cs="Arial"/>
        </w:rPr>
        <w:t>Abbreviations: ED Emergency Department; UCC Urgent Care Center</w:t>
      </w:r>
    </w:p>
    <w:p w:rsidR="005C7A9E" w:rsidRPr="00BD5A04" w:rsidRDefault="005C7A9E" w:rsidP="005C7A9E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D5A04">
        <w:rPr>
          <w:rFonts w:ascii="Arial" w:hAnsi="Arial" w:cs="Arial"/>
          <w:sz w:val="22"/>
          <w:szCs w:val="22"/>
        </w:rPr>
        <w:t>Tier 1 diagnoses included conditions in which antibiotics are almost always indicated (i.e. appropriate). Tier 2 diagnoses include conditions in which antibiotics are sometimes indicated (i.e. potentially appropriate). Tier 3 diagnoses includes conditions in which antibiotics are almost never indicated (i.e. inappropriate). Specific diagnoses within each tier are shown in Supplemental Table 1.</w:t>
      </w:r>
    </w:p>
    <w:p w:rsidR="005C7A9E" w:rsidRPr="00BD5A04" w:rsidRDefault="0005018B" w:rsidP="005C7A9E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total includes the</w:t>
      </w:r>
      <w:r w:rsidR="005C7A9E" w:rsidRPr="00BD5A04">
        <w:rPr>
          <w:rFonts w:ascii="Arial" w:hAnsi="Arial" w:cs="Arial"/>
          <w:sz w:val="22"/>
          <w:szCs w:val="22"/>
        </w:rPr>
        <w:t xml:space="preserve"> 1,332 visits that could not be classified into a tier due to the absence of diagnostic codes.</w:t>
      </w:r>
    </w:p>
    <w:p w:rsidR="005C7A9E" w:rsidRDefault="005C7A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06269" w:rsidRPr="00673E4D" w:rsidRDefault="00BD5A04" w:rsidP="00606269">
      <w:pPr>
        <w:spacing w:line="240" w:lineRule="auto"/>
        <w:contextualSpacing/>
        <w:rPr>
          <w:rFonts w:ascii="Arial" w:hAnsi="Arial" w:cs="Arial"/>
          <w:b/>
          <w:bCs/>
        </w:rPr>
      </w:pPr>
      <w:r w:rsidRPr="00673E4D">
        <w:rPr>
          <w:rFonts w:ascii="Arial" w:hAnsi="Arial" w:cs="Arial"/>
          <w:b/>
          <w:bCs/>
        </w:rPr>
        <w:lastRenderedPageBreak/>
        <w:t xml:space="preserve">Supplemental Table 4. </w:t>
      </w:r>
      <w:r w:rsidR="00606269" w:rsidRPr="00673E4D">
        <w:rPr>
          <w:rFonts w:ascii="Arial" w:hAnsi="Arial" w:cs="Arial"/>
          <w:b/>
          <w:bCs/>
        </w:rPr>
        <w:t>Frequency of antibiotic-prescribing for patient-visits in EDs and UCCs based on tier of diagnosis, stratified by year</w:t>
      </w:r>
      <w:r w:rsidR="00606269" w:rsidRPr="00673E4D">
        <w:rPr>
          <w:rFonts w:ascii="Arial" w:hAnsi="Arial" w:cs="Arial"/>
          <w:vertAlign w:val="superscript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0"/>
        <w:gridCol w:w="1945"/>
        <w:gridCol w:w="2250"/>
        <w:gridCol w:w="2520"/>
        <w:gridCol w:w="2610"/>
      </w:tblGrid>
      <w:tr w:rsidR="00606269" w:rsidRPr="00606269" w:rsidTr="00E4443F">
        <w:tc>
          <w:tcPr>
            <w:tcW w:w="3865" w:type="dxa"/>
            <w:gridSpan w:val="2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5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252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2017</w:t>
            </w:r>
          </w:p>
        </w:tc>
        <w:tc>
          <w:tcPr>
            <w:tcW w:w="261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2018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 w:val="restart"/>
          </w:tcPr>
          <w:p w:rsid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Tier 1</w:t>
            </w:r>
          </w:p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5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25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70,877</w:t>
            </w:r>
          </w:p>
        </w:tc>
        <w:tc>
          <w:tcPr>
            <w:tcW w:w="252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73,394</w:t>
            </w:r>
          </w:p>
        </w:tc>
        <w:tc>
          <w:tcPr>
            <w:tcW w:w="261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74,853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5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25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73.6%</w:t>
            </w:r>
          </w:p>
        </w:tc>
        <w:tc>
          <w:tcPr>
            <w:tcW w:w="252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74.0%</w:t>
            </w:r>
          </w:p>
        </w:tc>
        <w:tc>
          <w:tcPr>
            <w:tcW w:w="2610" w:type="dxa"/>
          </w:tcPr>
          <w:p w:rsidR="00606269" w:rsidRPr="00606269" w:rsidRDefault="00606269" w:rsidP="00B81D77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74.3%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 w:val="restart"/>
          </w:tcPr>
          <w:p w:rsid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Tier 2</w:t>
            </w:r>
          </w:p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125,841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130,618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130,815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49.8%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48.4%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46.4%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 w:val="restart"/>
          </w:tcPr>
          <w:p w:rsid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 xml:space="preserve">Tier 3 </w:t>
            </w:r>
          </w:p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respiratory</w:t>
            </w: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64,136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68,476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65,184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53.5%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49.9%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44.8%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 w:val="restart"/>
          </w:tcPr>
          <w:p w:rsid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Tier 3</w:t>
            </w:r>
          </w:p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non-respiratory</w:t>
            </w: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qualifying visits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782,397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801,094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793,909</w:t>
            </w:r>
          </w:p>
        </w:tc>
      </w:tr>
      <w:tr w:rsidR="00606269" w:rsidRPr="00606269" w:rsidTr="00606269">
        <w:trPr>
          <w:trHeight w:val="240"/>
        </w:trPr>
        <w:tc>
          <w:tcPr>
            <w:tcW w:w="1920" w:type="dxa"/>
            <w:vMerge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6.9%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6.9%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6.6%</w:t>
            </w:r>
          </w:p>
        </w:tc>
      </w:tr>
      <w:tr w:rsidR="00606269" w:rsidRPr="00606269" w:rsidTr="00606269">
        <w:trPr>
          <w:trHeight w:val="386"/>
        </w:trPr>
        <w:tc>
          <w:tcPr>
            <w:tcW w:w="1920" w:type="dxa"/>
            <w:vMerge w:val="restart"/>
          </w:tcPr>
          <w:p w:rsid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606269">
              <w:rPr>
                <w:rFonts w:ascii="Arial" w:hAnsi="Arial" w:cs="Arial"/>
                <w:b/>
                <w:bCs/>
              </w:rPr>
              <w:t>Total</w:t>
            </w:r>
            <w:r w:rsidR="0005018B" w:rsidRPr="0005018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Number of visits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1,043,25</w:t>
            </w:r>
            <w:r w:rsidR="0005018B">
              <w:rPr>
                <w:rFonts w:ascii="Arial" w:hAnsi="Arial" w:cs="Arial"/>
              </w:rPr>
              <w:t>3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1,073,</w:t>
            </w:r>
            <w:r w:rsidR="0005018B">
              <w:rPr>
                <w:rFonts w:ascii="Arial" w:hAnsi="Arial" w:cs="Arial"/>
              </w:rPr>
              <w:t>926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1,06</w:t>
            </w:r>
            <w:r w:rsidR="0005018B">
              <w:rPr>
                <w:rFonts w:ascii="Arial" w:hAnsi="Arial" w:cs="Arial"/>
              </w:rPr>
              <w:t>5,747</w:t>
            </w:r>
          </w:p>
        </w:tc>
      </w:tr>
      <w:tr w:rsidR="00606269" w:rsidRPr="00606269" w:rsidTr="00606269">
        <w:trPr>
          <w:trHeight w:val="220"/>
        </w:trPr>
        <w:tc>
          <w:tcPr>
            <w:tcW w:w="1920" w:type="dxa"/>
            <w:vMerge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5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% prescribed antibiotics</w:t>
            </w:r>
          </w:p>
        </w:tc>
        <w:tc>
          <w:tcPr>
            <w:tcW w:w="225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19.5%</w:t>
            </w:r>
          </w:p>
        </w:tc>
        <w:tc>
          <w:tcPr>
            <w:tcW w:w="252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19.3%</w:t>
            </w:r>
          </w:p>
        </w:tc>
        <w:tc>
          <w:tcPr>
            <w:tcW w:w="2610" w:type="dxa"/>
          </w:tcPr>
          <w:p w:rsidR="00606269" w:rsidRPr="00606269" w:rsidRDefault="00606269" w:rsidP="00606269">
            <w:pPr>
              <w:pStyle w:val="EndNoteBibliography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606269">
              <w:rPr>
                <w:rFonts w:ascii="Arial" w:hAnsi="Arial" w:cs="Arial"/>
              </w:rPr>
              <w:t>18.6%</w:t>
            </w:r>
          </w:p>
        </w:tc>
      </w:tr>
    </w:tbl>
    <w:p w:rsidR="005C7A9E" w:rsidRPr="005C7A9E" w:rsidRDefault="005C7A9E" w:rsidP="005C7A9E">
      <w:pPr>
        <w:rPr>
          <w:rFonts w:ascii="Arial" w:hAnsi="Arial" w:cs="Arial"/>
        </w:rPr>
      </w:pPr>
      <w:r w:rsidRPr="005C7A9E">
        <w:rPr>
          <w:rFonts w:ascii="Arial" w:hAnsi="Arial" w:cs="Arial"/>
        </w:rPr>
        <w:t>Abbreviations: ED Emergency Department; UCC Urgent Care Center</w:t>
      </w:r>
    </w:p>
    <w:p w:rsidR="00606269" w:rsidRPr="005C7A9E" w:rsidRDefault="00606269" w:rsidP="005C7A9E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5C7A9E">
        <w:rPr>
          <w:rFonts w:ascii="Arial" w:hAnsi="Arial" w:cs="Arial"/>
          <w:sz w:val="22"/>
          <w:szCs w:val="22"/>
        </w:rPr>
        <w:t>Tier 1 diagnoses included conditions in which antibiotics are almost always indicated (i.e. appropriate). Tier 2 diagnoses include conditions in which antibiotics are sometimes indicated (i.e. potentially appropriate). Tier 3 diagnoses includes conditions in which antibiotics are almost never indicated (i.e. inappropriate). Specific diagnoses within each tier are shown in Supplemental Table 1.</w:t>
      </w:r>
    </w:p>
    <w:p w:rsidR="00606269" w:rsidRPr="005C7A9E" w:rsidRDefault="00606269" w:rsidP="005C7A9E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5C7A9E">
        <w:rPr>
          <w:rFonts w:ascii="Arial" w:hAnsi="Arial" w:cs="Arial"/>
          <w:sz w:val="22"/>
          <w:szCs w:val="22"/>
        </w:rPr>
        <w:t>The</w:t>
      </w:r>
      <w:r w:rsidR="0005018B">
        <w:rPr>
          <w:rFonts w:ascii="Arial" w:hAnsi="Arial" w:cs="Arial"/>
          <w:sz w:val="22"/>
          <w:szCs w:val="22"/>
        </w:rPr>
        <w:t xml:space="preserve"> total includes the</w:t>
      </w:r>
      <w:r w:rsidRPr="005C7A9E">
        <w:rPr>
          <w:rFonts w:ascii="Arial" w:hAnsi="Arial" w:cs="Arial"/>
          <w:sz w:val="22"/>
          <w:szCs w:val="22"/>
        </w:rPr>
        <w:t xml:space="preserve"> 1,332 visits that could not be classified into a tier due to the absence of diagnostic codes.</w:t>
      </w:r>
    </w:p>
    <w:p w:rsidR="00D92E58" w:rsidRDefault="00D92E58">
      <w:r>
        <w:br w:type="page"/>
      </w:r>
    </w:p>
    <w:p w:rsidR="00D92E58" w:rsidRPr="00D92E58" w:rsidRDefault="00D92E58">
      <w:pPr>
        <w:rPr>
          <w:rFonts w:ascii="Arial" w:hAnsi="Arial" w:cs="Arial"/>
          <w:b/>
          <w:bCs/>
        </w:rPr>
      </w:pPr>
      <w:r w:rsidRPr="00D92E58">
        <w:rPr>
          <w:rFonts w:ascii="Arial" w:hAnsi="Arial" w:cs="Arial"/>
          <w:b/>
          <w:bCs/>
        </w:rPr>
        <w:lastRenderedPageBreak/>
        <w:t xml:space="preserve">Supplemental Figure 1. Frequency of antibiotic-prescribing for patient-visits in </w:t>
      </w:r>
      <w:r w:rsidR="00673E4D">
        <w:rPr>
          <w:rFonts w:ascii="Arial" w:hAnsi="Arial" w:cs="Arial"/>
          <w:b/>
          <w:bCs/>
        </w:rPr>
        <w:t>Emergency Departments</w:t>
      </w:r>
      <w:r w:rsidRPr="00D92E58">
        <w:rPr>
          <w:rFonts w:ascii="Arial" w:hAnsi="Arial" w:cs="Arial"/>
          <w:b/>
          <w:bCs/>
        </w:rPr>
        <w:t xml:space="preserve"> based on tier of diagnosis, stratified by clinician type (2016-2018)</w:t>
      </w:r>
      <w:r w:rsidRPr="00D92E58">
        <w:rPr>
          <w:rFonts w:ascii="Arial" w:hAnsi="Arial" w:cs="Arial"/>
          <w:b/>
          <w:bCs/>
          <w:vertAlign w:val="superscript"/>
        </w:rPr>
        <w:t xml:space="preserve"> 1,2</w:t>
      </w:r>
    </w:p>
    <w:p w:rsidR="00D92E58" w:rsidRDefault="00D92E58">
      <w:bookmarkStart w:id="1" w:name="_GoBack"/>
      <w:r w:rsidRPr="007E01E3">
        <w:rPr>
          <w:rFonts w:ascii="Arial" w:hAnsi="Arial" w:cs="Arial"/>
          <w:b/>
          <w:bCs/>
          <w:noProof/>
        </w:rPr>
        <w:drawing>
          <wp:inline distT="0" distB="0" distL="0" distR="0" wp14:anchorId="01F550A6" wp14:editId="3B23A727">
            <wp:extent cx="5807494" cy="4362450"/>
            <wp:effectExtent l="0" t="0" r="3175" b="0"/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229" cy="44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F54FB" w:rsidRPr="00BD5A04" w:rsidRDefault="003F54FB" w:rsidP="003F54FB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BD5A04">
        <w:rPr>
          <w:rFonts w:ascii="Arial" w:hAnsi="Arial" w:cs="Arial"/>
          <w:sz w:val="22"/>
          <w:szCs w:val="22"/>
        </w:rPr>
        <w:t xml:space="preserve">Tier 1 diagnoses include conditions in which antibiotics are almost always indicated (i.e. appropriate). Tier 2 diagnoses include conditions in which antibiotics are sometimes indicated (i.e. potentially appropriate). Tier 3 diagnoses include conditions in which antibiotics are almost never indicated (i.e. inappropriate). </w:t>
      </w:r>
      <w:r>
        <w:rPr>
          <w:rFonts w:ascii="Arial" w:hAnsi="Arial" w:cs="Arial"/>
          <w:sz w:val="22"/>
          <w:szCs w:val="22"/>
        </w:rPr>
        <w:t xml:space="preserve">For the above figure, tier 3 is the same as tier 3 respiratory while tier 4 equates to tier 3 non-respiratory. </w:t>
      </w:r>
      <w:r w:rsidRPr="00BD5A04">
        <w:rPr>
          <w:rFonts w:ascii="Arial" w:hAnsi="Arial" w:cs="Arial"/>
          <w:sz w:val="22"/>
          <w:szCs w:val="22"/>
        </w:rPr>
        <w:t>Specific diagnoses within each tier are shown in Supplemental Table 1.</w:t>
      </w:r>
    </w:p>
    <w:p w:rsidR="00D92E58" w:rsidRPr="00D92E58" w:rsidRDefault="00D92E58" w:rsidP="00D92E58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92E58">
        <w:rPr>
          <w:rFonts w:ascii="Arial" w:hAnsi="Arial" w:cs="Arial"/>
          <w:sz w:val="22"/>
          <w:szCs w:val="22"/>
        </w:rPr>
        <w:t>Only clinicians with ≥ 100 visits within the specified tier were included.</w:t>
      </w:r>
    </w:p>
    <w:p w:rsidR="00D92E58" w:rsidRPr="00D92E58" w:rsidRDefault="00D92E58" w:rsidP="00D92E58">
      <w:pPr>
        <w:rPr>
          <w:rFonts w:ascii="Arial" w:hAnsi="Arial" w:cs="Arial"/>
          <w:b/>
          <w:bCs/>
        </w:rPr>
      </w:pPr>
      <w:r w:rsidRPr="00D92E58">
        <w:rPr>
          <w:rFonts w:ascii="Arial" w:hAnsi="Arial" w:cs="Arial"/>
          <w:b/>
          <w:bCs/>
        </w:rPr>
        <w:lastRenderedPageBreak/>
        <w:t>Supplemental Figure 2. Frequency of antibiotic-prescribing for patient-visits in U</w:t>
      </w:r>
      <w:r w:rsidR="00673E4D">
        <w:rPr>
          <w:rFonts w:ascii="Arial" w:hAnsi="Arial" w:cs="Arial"/>
          <w:b/>
          <w:bCs/>
        </w:rPr>
        <w:t>rgent Care Centers</w:t>
      </w:r>
      <w:r w:rsidRPr="00D92E58">
        <w:rPr>
          <w:rFonts w:ascii="Arial" w:hAnsi="Arial" w:cs="Arial"/>
          <w:b/>
          <w:bCs/>
        </w:rPr>
        <w:t xml:space="preserve"> based on tier of diagnosis, stratified by clinician type (2016-2018)</w:t>
      </w:r>
      <w:r w:rsidRPr="00D92E58">
        <w:rPr>
          <w:rFonts w:ascii="Arial" w:hAnsi="Arial" w:cs="Arial"/>
          <w:b/>
          <w:bCs/>
          <w:vertAlign w:val="superscript"/>
        </w:rPr>
        <w:t xml:space="preserve"> 1,2</w:t>
      </w:r>
    </w:p>
    <w:p w:rsidR="00606269" w:rsidRDefault="00D92E58">
      <w:r w:rsidRPr="007E01E3">
        <w:rPr>
          <w:rFonts w:ascii="Arial" w:hAnsi="Arial" w:cs="Arial"/>
          <w:b/>
          <w:bCs/>
          <w:noProof/>
        </w:rPr>
        <w:drawing>
          <wp:inline distT="0" distB="0" distL="0" distR="0" wp14:anchorId="230B06CC" wp14:editId="79107A67">
            <wp:extent cx="5553075" cy="4171336"/>
            <wp:effectExtent l="0" t="0" r="0" b="635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330" cy="4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E58" w:rsidRPr="00BD5A04" w:rsidRDefault="00D92E58" w:rsidP="00D92E58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D5A04">
        <w:rPr>
          <w:rFonts w:ascii="Arial" w:hAnsi="Arial" w:cs="Arial"/>
          <w:sz w:val="22"/>
          <w:szCs w:val="22"/>
        </w:rPr>
        <w:t xml:space="preserve">Tier 1 diagnoses include conditions in which antibiotics are almost always indicated (i.e. appropriate). Tier 2 diagnoses include conditions in which antibiotics are sometimes indicated (i.e. potentially appropriate). Tier 3 diagnoses include conditions in which antibiotics are almost never indicated (i.e. inappropriate). </w:t>
      </w:r>
      <w:r w:rsidR="003F54FB">
        <w:rPr>
          <w:rFonts w:ascii="Arial" w:hAnsi="Arial" w:cs="Arial"/>
          <w:sz w:val="22"/>
          <w:szCs w:val="22"/>
        </w:rPr>
        <w:t xml:space="preserve">For the above figure, tier 3 is the same as tier 3 respiratory while tier 4 equates to tier 3 non-respiratory. </w:t>
      </w:r>
      <w:r w:rsidRPr="00BD5A04">
        <w:rPr>
          <w:rFonts w:ascii="Arial" w:hAnsi="Arial" w:cs="Arial"/>
          <w:sz w:val="22"/>
          <w:szCs w:val="22"/>
        </w:rPr>
        <w:t>Specific diagnoses within each tier are shown in Supplemental Table 1.</w:t>
      </w:r>
    </w:p>
    <w:p w:rsidR="00D92E58" w:rsidRDefault="00D92E58" w:rsidP="00673E4D">
      <w:pPr>
        <w:pStyle w:val="ListParagraph"/>
        <w:numPr>
          <w:ilvl w:val="0"/>
          <w:numId w:val="4"/>
        </w:numPr>
      </w:pPr>
      <w:r w:rsidRPr="00673E4D">
        <w:rPr>
          <w:rFonts w:ascii="Arial" w:hAnsi="Arial" w:cs="Arial"/>
          <w:sz w:val="22"/>
          <w:szCs w:val="22"/>
        </w:rPr>
        <w:t>Only clinicians with ≥ 100 visits within the specified tier were included.</w:t>
      </w:r>
    </w:p>
    <w:sectPr w:rsidR="00D92E58" w:rsidSect="00673E4D">
      <w:headerReference w:type="default" r:id="rId9"/>
      <w:pgSz w:w="15840" w:h="12240" w:orient="landscape"/>
      <w:pgMar w:top="1440" w:right="1440" w:bottom="1440" w:left="1440" w:header="720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E4D" w:rsidRDefault="00673E4D" w:rsidP="00673E4D">
      <w:pPr>
        <w:spacing w:after="0" w:line="240" w:lineRule="auto"/>
      </w:pPr>
      <w:r>
        <w:separator/>
      </w:r>
    </w:p>
  </w:endnote>
  <w:endnote w:type="continuationSeparator" w:id="0">
    <w:p w:rsidR="00673E4D" w:rsidRDefault="00673E4D" w:rsidP="00673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E4D" w:rsidRDefault="00673E4D" w:rsidP="00673E4D">
      <w:pPr>
        <w:spacing w:after="0" w:line="240" w:lineRule="auto"/>
      </w:pPr>
      <w:r>
        <w:separator/>
      </w:r>
    </w:p>
  </w:footnote>
  <w:footnote w:type="continuationSeparator" w:id="0">
    <w:p w:rsidR="00673E4D" w:rsidRDefault="00673E4D" w:rsidP="00673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14045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3E4D" w:rsidRDefault="00673E4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3E4D" w:rsidRDefault="00673E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B7FB1"/>
    <w:multiLevelType w:val="hybridMultilevel"/>
    <w:tmpl w:val="5C720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E3C0E"/>
    <w:multiLevelType w:val="hybridMultilevel"/>
    <w:tmpl w:val="5C720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82D6F"/>
    <w:multiLevelType w:val="hybridMultilevel"/>
    <w:tmpl w:val="875444EC"/>
    <w:lvl w:ilvl="0" w:tplc="718A19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81A2A"/>
    <w:multiLevelType w:val="hybridMultilevel"/>
    <w:tmpl w:val="E196DF00"/>
    <w:lvl w:ilvl="0" w:tplc="87E6EBD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69"/>
    <w:rsid w:val="0005018B"/>
    <w:rsid w:val="002D1CEC"/>
    <w:rsid w:val="003D2A4D"/>
    <w:rsid w:val="003F54FB"/>
    <w:rsid w:val="003F6F52"/>
    <w:rsid w:val="00511D25"/>
    <w:rsid w:val="005C7A9E"/>
    <w:rsid w:val="00606269"/>
    <w:rsid w:val="00673E4D"/>
    <w:rsid w:val="00731A23"/>
    <w:rsid w:val="008D3454"/>
    <w:rsid w:val="008D7ED9"/>
    <w:rsid w:val="009A5170"/>
    <w:rsid w:val="00BD5A04"/>
    <w:rsid w:val="00D801E3"/>
    <w:rsid w:val="00D92E58"/>
    <w:rsid w:val="00FD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24600"/>
  <w15:chartTrackingRefBased/>
  <w15:docId w15:val="{A8CFCC14-C9DF-47C8-AA3A-469055FA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2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606269"/>
    <w:pPr>
      <w:spacing w:after="200"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06269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6062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06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5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1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3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E4D"/>
  </w:style>
  <w:style w:type="paragraph" w:styleId="Footer">
    <w:name w:val="footer"/>
    <w:basedOn w:val="Normal"/>
    <w:link w:val="FooterChar"/>
    <w:uiPriority w:val="99"/>
    <w:unhideWhenUsed/>
    <w:rsid w:val="00673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Veterans Affairs</Company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Livorsi, Daniel J.</dc:creator>
  <cp:keywords/>
  <dc:description/>
  <cp:lastModifiedBy>Livorsi, Daniel J.</cp:lastModifiedBy>
  <cp:revision>10</cp:revision>
  <dcterms:created xsi:type="dcterms:W3CDTF">2020-09-15T13:43:00Z</dcterms:created>
  <dcterms:modified xsi:type="dcterms:W3CDTF">2020-11-16T17:25:00Z</dcterms:modified>
</cp:coreProperties>
</file>